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ep-earnings-predictions--2026-07-30"/>
    <w:p>
      <w:pPr>
        <w:pStyle w:val="Heading1"/>
      </w:pPr>
      <w:r>
        <w:t xml:space="preserve">AEP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~$1.55 vs. cons $1.48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~$5.45B vs. cons $5.30B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Weather-Normalized Retail Sales/Load Growth (y/y %)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~8.5% vs. cons ~6.5%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Operating EPS Guidance (midpoint)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~$6.30 vs. cons $6.32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Incremental Contracted Load by 2030 (GW)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~68GW vs. cons/prior 63GW (by 2030)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2026-2030 Five-Year Capital Plan ($B)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~$78B vs. cons $78B (2026-2030, formal update expected Q3)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-1.5% (FADE)</w:t>
            </w:r>
          </w:p>
        </w:tc>
        <w:tc>
          <w:tcPr/>
          <w:p>
            <w:pPr>
              <w:pStyle w:val="Compact"/>
            </w:pPr>
            <w:r>
              <w:t xml:space="preserve">Mirrors the Q1 2026 pattern: AEP beat EPS/revenue and raised load figures, producing a same-day pop (+1.8% raw vs SPY +0.8%), but within days the stock gave back all of it and more (net -3% vs SPY +3% over the following week) as the market digested dilution risk from the ~$2.9B forward equity sale and lingering PJM/SPP interconnection friction. With the incremental $10B capex still not formally funded until Q3, another GW-raise or capex hint this quarter likely reignites equity-overhang and affordability-headline concerns, causing an initial pop to fade over the next few sessions even if headline EPS beats.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2026-07-29T18:24:25Z</dcterms:created>
  <dcterms:modified xsi:type="dcterms:W3CDTF">2026-07-29T18:24:25Z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