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X4adbd76862dc2f0bbcc5dfebf9426b677b5516b"/>
    <w:p>
      <w:pPr>
        <w:pStyle w:val="Heading1"/>
      </w:pPr>
      <w:r>
        <w:t xml:space="preserve">American Electric Power (AEP) — Q2 2026 Earnings Preview</w:t>
      </w:r>
    </w:p>
    <w:p>
      <w:pPr>
        <w:pStyle w:val="FirstParagraph"/>
      </w:pPr>
      <w:r>
        <w:rPr>
          <w:b/>
          <w:bCs/>
        </w:rPr>
        <w:t xml:space="preserve">Report Date:</w:t>
      </w:r>
      <w:r>
        <w:t xml:space="preserve"> </w:t>
      </w:r>
      <w:r>
        <w:t xml:space="preserve">July 30, 2026 (before market open) |</w:t>
      </w:r>
      <w:r>
        <w:t xml:space="preserve"> </w:t>
      </w:r>
      <w:r>
        <w:rPr>
          <w:b/>
          <w:bCs/>
        </w:rPr>
        <w:t xml:space="preserve">Ticker:</w:t>
      </w:r>
      <w:r>
        <w:t xml:space="preserve"> </w:t>
      </w:r>
      <w:r>
        <w:t xml:space="preserve">NASDAQ: AEP |</w:t>
      </w:r>
      <w:r>
        <w:t xml:space="preserve"> </w:t>
      </w:r>
      <w:r>
        <w:rPr>
          <w:b/>
          <w:bCs/>
        </w:rPr>
        <w:t xml:space="preserve">Event:</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AEP heads into tomorrow's report as one of the market's clearest proxies for the data-center/AI power-demand story, and expectations have risen accordingly. Wall Street consensus is looking for</w:t>
      </w:r>
      <w:r>
        <w:t xml:space="preserve"> </w:t>
      </w:r>
      <w:r>
        <w:rPr>
          <w:b/>
          <w:bCs/>
        </w:rPr>
        <w:t xml:space="preserve">operating EPS of roughly</w:t>
      </w:r>
      <w:r>
        <w:rPr>
          <w:b/>
          <w:bCs/>
        </w:rPr>
        <w:t xml:space="preserve"> </w:t>
      </w:r>
      <m:oMath>
        <m:r>
          <m:t>1.48</m:t>
        </m:r>
        <m:r>
          <m:rPr>
            <m:sty m:val="p"/>
          </m:rPr>
          <m:t>–</m:t>
        </m:r>
      </m:oMath>
      <w:r>
        <w:rPr>
          <w:b/>
          <w:bCs/>
        </w:rPr>
        <w:t xml:space="preserve">1.49</w:t>
      </w:r>
      <w:r>
        <w:t xml:space="preserve"> </w:t>
      </w:r>
      <w:r>
        <w:t xml:space="preserve">on revenue near</w:t>
      </w:r>
      <w:r>
        <w:t xml:space="preserve"> </w:t>
      </w:r>
      <m:oMath>
        <m:r>
          <m:t>5.3</m:t>
        </m:r>
        <m:r>
          <m:t>b</m:t>
        </m:r>
        <m:r>
          <m:t>i</m:t>
        </m:r>
        <m:r>
          <m:t>l</m:t>
        </m:r>
        <m:r>
          <m:t>l</m:t>
        </m:r>
        <m:r>
          <m:t>i</m:t>
        </m:r>
        <m:r>
          <m:t>o</m:t>
        </m:r>
        <m:r>
          <m:t>n</m:t>
        </m:r>
        <m:r>
          <m:rPr>
            <m:sty m:val="p"/>
          </m:rPr>
          <m:t>*</m:t>
        </m:r>
        <m:r>
          <m:rPr>
            <m:sty m:val="p"/>
          </m:rPr>
          <m:t>*</m:t>
        </m:r>
        <m:r>
          <m:rPr>
            <m:sty m:val="p"/>
          </m:rPr>
          <m:t>,</m:t>
        </m:r>
        <m:r>
          <m:t>v</m:t>
        </m:r>
        <m:r>
          <m:t>e</m:t>
        </m:r>
        <m:r>
          <m:t>r</m:t>
        </m:r>
        <m:r>
          <m:t>s</m:t>
        </m:r>
        <m:r>
          <m:t>u</m:t>
        </m:r>
        <m:r>
          <m:t>s</m:t>
        </m:r>
        <m:r>
          <m:t>o</m:t>
        </m:r>
        <m:r>
          <m:t>p</m:t>
        </m:r>
        <m:r>
          <m:t>e</m:t>
        </m:r>
        <m:r>
          <m:t>r</m:t>
        </m:r>
        <m:r>
          <m:t>a</m:t>
        </m:r>
        <m:r>
          <m:t>t</m:t>
        </m:r>
        <m:r>
          <m:t>i</m:t>
        </m:r>
        <m:r>
          <m:t>n</m:t>
        </m:r>
        <m:r>
          <m:t>g</m:t>
        </m:r>
        <m:r>
          <m:t>E</m:t>
        </m:r>
        <m:r>
          <m:t>P</m:t>
        </m:r>
        <m:r>
          <m:t>S</m:t>
        </m:r>
        <m:r>
          <m:t>o</m:t>
        </m:r>
        <m:r>
          <m:t>f</m:t>
        </m:r>
        <m:r>
          <m:rPr>
            <m:sty m:val="p"/>
          </m:rPr>
          <m:t>*</m:t>
        </m:r>
        <m:r>
          <m:rPr>
            <m:sty m:val="p"/>
          </m:rPr>
          <m:t>*</m:t>
        </m:r>
      </m:oMath>
      <w:r>
        <w:rPr>
          <w:b/>
          <w:bCs/>
        </w:rPr>
        <w:t xml:space="preserve">1.43 in Q2 2025</w:t>
      </w:r>
      <w:r>
        <w:t xml:space="preserve"> </w:t>
      </w:r>
      <w:r>
        <w:t xml:space="preserve">— a mid-single-digit year-over-year increase. AEP has a strong recent track record against estimates: it topped consensus in Q1 2026 with operating EPS of $1.64 versus an expected $1.55, a beat of roughly 6%.</w:t>
      </w:r>
    </w:p>
    <w:p>
      <w:pPr>
        <w:pStyle w:val="BodyText"/>
      </w:pPr>
      <w:r>
        <w:t xml:space="preserve">The stock has had a strong run over the past year (~</w:t>
      </w:r>
      <m:oMath>
        <m:r>
          <m:t>109</m:t>
        </m:r>
        <m:r>
          <m:t>t</m:t>
        </m:r>
        <m:r>
          <m:t>o</m:t>
        </m:r>
        <m:r>
          <m:t> </m:t>
        </m:r>
      </m:oMath>
      <w:r>
        <w:t xml:space="preserve">130-135, with a 52-week high near</w:t>
      </w:r>
      <w:r>
        <w:t xml:space="preserve"> </w:t>
      </w:r>
      <m:oMath>
        <m:r>
          <m:t>138.7</m:t>
        </m:r>
        <m:r>
          <m:t>h</m:t>
        </m:r>
        <m:r>
          <m:t>i</m:t>
        </m:r>
        <m:r>
          <m:t>t</m:t>
        </m:r>
        <m:r>
          <m:t>i</m:t>
        </m:r>
        <m:r>
          <m:t>n</m:t>
        </m:r>
        <m:r>
          <m:t>l</m:t>
        </m:r>
        <m:r>
          <m:t>a</m:t>
        </m:r>
        <m:r>
          <m:t>t</m:t>
        </m:r>
        <m:r>
          <m:t>e</m:t>
        </m:r>
        <m:r>
          <m:t>J</m:t>
        </m:r>
        <m:r>
          <m:t>u</m:t>
        </m:r>
        <m:r>
          <m:t>n</m:t>
        </m:r>
        <m:r>
          <m:t>e</m:t>
        </m:r>
        <m:r>
          <m:rPr>
            <m:sty m:val="p"/>
          </m:rPr>
          <m:t>)</m:t>
        </m:r>
        <m:r>
          <m:rPr>
            <m:sty m:val="p"/>
          </m:rPr>
          <m:t>,</m:t>
        </m:r>
        <m:r>
          <m:t>b</m:t>
        </m:r>
        <m:r>
          <m:t>u</m:t>
        </m:r>
        <m:r>
          <m:t>t</m:t>
        </m:r>
        <m:r>
          <m:t>i</m:t>
        </m:r>
        <m:r>
          <m:t>t</m:t>
        </m:r>
        <m:r>
          <m:t>h</m:t>
        </m:r>
        <m:r>
          <m:t>a</m:t>
        </m:r>
        <m:r>
          <m:t>s</m:t>
        </m:r>
        <m:r>
          <m:t>p</m:t>
        </m:r>
        <m:r>
          <m:t>u</m:t>
        </m:r>
        <m:r>
          <m:t>l</m:t>
        </m:r>
        <m:r>
          <m:t>l</m:t>
        </m:r>
        <m:r>
          <m:t>e</m:t>
        </m:r>
        <m:r>
          <m:t>d</m:t>
        </m:r>
        <m:r>
          <m:t>b</m:t>
        </m:r>
        <m:r>
          <m:t>a</m:t>
        </m:r>
        <m:r>
          <m:t>c</m:t>
        </m:r>
        <m:r>
          <m:t>k</m:t>
        </m:r>
        <m:r>
          <m:t>m</m:t>
        </m:r>
        <m:r>
          <m:t>o</m:t>
        </m:r>
        <m:r>
          <m:t>d</m:t>
        </m:r>
        <m:r>
          <m:t>e</m:t>
        </m:r>
        <m:r>
          <m:t>s</m:t>
        </m:r>
        <m:r>
          <m:t>t</m:t>
        </m:r>
        <m:r>
          <m:t>l</m:t>
        </m:r>
        <m:r>
          <m:t>y</m:t>
        </m:r>
        <m:r>
          <m:t>i</m:t>
        </m:r>
        <m:r>
          <m:t>n</m:t>
        </m:r>
        <m:r>
          <m:t>t</m:t>
        </m:r>
        <m:r>
          <m:t>o</m:t>
        </m:r>
        <m:r>
          <m:t>t</m:t>
        </m:r>
        <m:r>
          <m:t>h</m:t>
        </m:r>
        <m:r>
          <m:t>e</m:t>
        </m:r>
        <m:r>
          <m:t>p</m:t>
        </m:r>
        <m:r>
          <m:t>r</m:t>
        </m:r>
        <m:r>
          <m:t>i</m:t>
        </m:r>
        <m:r>
          <m:t>n</m:t>
        </m:r>
        <m:r>
          <m:t>t</m:t>
        </m:r>
        <m:r>
          <m:rPr>
            <m:sty m:val="p"/>
          </m:rPr>
          <m:t>,</m:t>
        </m:r>
        <m:r>
          <m:t>c</m:t>
        </m:r>
        <m:r>
          <m:t>l</m:t>
        </m:r>
        <m:r>
          <m:t>o</m:t>
        </m:r>
        <m:r>
          <m:t>s</m:t>
        </m:r>
        <m:r>
          <m:t>i</m:t>
        </m:r>
        <m:r>
          <m:t>n</m:t>
        </m:r>
        <m:r>
          <m:t>g</m:t>
        </m:r>
        <m:r>
          <m:t>a</m:t>
        </m:r>
        <m:r>
          <m:t>t</m:t>
        </m:r>
        <m:r>
          <m:rPr>
            <m:sty m:val="p"/>
          </m:rPr>
          <m:t>*</m:t>
        </m:r>
        <m:r>
          <m:rPr>
            <m:sty m:val="p"/>
          </m:rPr>
          <m:t>*</m:t>
        </m:r>
      </m:oMath>
      <w:r>
        <w:t xml:space="preserve">130.14** on July 29. Sell-side sentiment is mixed-to-positive: TD Cowen recently raised its price target to $148 (Buy), while BMO Capital trimmed its target to $139 (Market Perform), and Raymond James sits at $138 (Outperform) — reflecting a debate over how much of AEP's growth acceleration is already priced in.</w:t>
      </w:r>
    </w:p>
    <w:bookmarkEnd w:id="9"/>
    <w:bookmarkStart w:id="10" w:name="what-to-watch-the-load-growth-story"/>
    <w:p>
      <w:pPr>
        <w:pStyle w:val="Heading2"/>
      </w:pPr>
      <w:r>
        <w:t xml:space="preserve">What to Watch: The Load-Growth Story</w:t>
      </w:r>
    </w:p>
    <w:p>
      <w:pPr>
        <w:pStyle w:val="FirstParagraph"/>
      </w:pPr>
      <w:r>
        <w:t xml:space="preserve">The single biggest swing factor for AEP's long-term thesis — and likely the focus of tomorrow's call — is the trajectory of contracted large-load demand. On the Q1 2026 call, management raised guidance sharply:</w:t>
      </w:r>
    </w:p>
    <w:p>
      <w:pPr>
        <w:pStyle w:val="Compact"/>
        <w:numPr>
          <w:ilvl w:val="0"/>
          <w:numId w:val="1001"/>
        </w:numPr>
      </w:pPr>
      <w:r>
        <w:t xml:space="preserve">This is a defining period for our industry. The pace of change is accelerating and the opportunities ahead of us are expanding.</w:t>
      </w:r>
    </w:p>
    <w:p>
      <w:pPr>
        <w:pStyle w:val="Compact"/>
        <w:numPr>
          <w:ilvl w:val="0"/>
          <w:numId w:val="1001"/>
        </w:numPr>
      </w:pPr>
      <w:r>
        <w:t xml:space="preserve">In the first quarter, we contracted an additional 7 gigawatts of load, coming mostly from AEP Texas and AEP Ohio. And we now have an Incremental Contracted total of 63 gigawatts expected by 2030. This is an increase from the 56 gigawatts we shared just last quarter. Of the 63 gigawatts, nearly 90% are data centers, which include hyperscalers, while the rest are industrials.</w:t>
      </w:r>
    </w:p>
    <w:p>
      <w:pPr>
        <w:pStyle w:val="Compact"/>
        <w:numPr>
          <w:ilvl w:val="0"/>
          <w:numId w:val="1001"/>
        </w:numPr>
      </w:pPr>
      <w:r>
        <w:t xml:space="preserve">Growth is concentrated in Texas (ERCOT), where Load increased to 41 gigawatts, up from 36 gigawatts reported at the end of the fourth quarter, secured through executed Letters of Agreement under Texas Senate Bill 6.</w:t>
      </w:r>
    </w:p>
    <w:p>
      <w:pPr>
        <w:pStyle w:val="FirstParagraph"/>
      </w:pPr>
      <w:r>
        <w:t xml:space="preserve">Investors should watch for: (1) another sequential increase in the 63 GW contracted-load figure; (2) commentary on the</w:t>
      </w:r>
      <w:r>
        <w:t xml:space="preserve"> </w:t>
      </w:r>
      <w:r>
        <w:rPr>
          <w:b/>
          <w:bCs/>
        </w:rPr>
        <w:t xml:space="preserve">Piketon, Ohio 10 GW SB Energy data-center campus</w:t>
      </w:r>
      <w:r>
        <w:t xml:space="preserve"> </w:t>
      </w:r>
      <w:r>
        <w:t xml:space="preserve">and the</w:t>
      </w:r>
      <w:r>
        <w:t xml:space="preserve"> </w:t>
      </w:r>
      <w:r>
        <w:rPr>
          <w:b/>
          <w:bCs/>
        </w:rPr>
        <w:t xml:space="preserve">multibillion-dollar Google project in Putnam County, WV</w:t>
      </w:r>
      <w:r>
        <w:t xml:space="preserve">, both of which are not yet in AEP's official forecast; and (3) clarity on ERCOT's Senate Bill 6 rulemaking, which management said should bring "greater clarity and certainty later this summer as the rule-making progresses on when these loans will ultimately interconnect."</w:t>
      </w:r>
    </w:p>
    <w:bookmarkEnd w:id="10"/>
    <w:bookmarkStart w:id="11" w:name="capital-plan-and-financing"/>
    <w:p>
      <w:pPr>
        <w:pStyle w:val="Heading2"/>
      </w:pPr>
      <w:r>
        <w:t xml:space="preserve">Capital Plan and Financing</w:t>
      </w:r>
    </w:p>
    <w:p>
      <w:pPr>
        <w:pStyle w:val="FirstParagraph"/>
      </w:pPr>
      <w:r>
        <w:t xml:space="preserve">AEP raised its five-year (2026-2030) capital plan to</w:t>
      </w:r>
      <w:r>
        <w:t xml:space="preserve"> </w:t>
      </w:r>
      <w:r>
        <w:rPr>
          <w:b/>
          <w:bCs/>
        </w:rPr>
        <w:t xml:space="preserve">$78 billion</w:t>
      </w:r>
      <w:r>
        <w:t xml:space="preserve"> </w:t>
      </w:r>
      <w:r>
        <w:t xml:space="preserve">(from $72 billion) at Q1, driven by newly awarded PJM/SPP transmission projects and new I&amp;M gas generation, and flagged</w:t>
      </w:r>
      <w:r>
        <w:t xml:space="preserve"> </w:t>
      </w:r>
      <w:r>
        <w:rPr>
          <w:b/>
          <w:bCs/>
        </w:rPr>
        <w:t xml:space="preserve">line of sight to over</w:t>
      </w:r>
      <w:r>
        <w:rPr>
          <w:b/>
          <w:bCs/>
        </w:rPr>
        <w:t xml:space="preserve"> </w:t>
      </w:r>
      <w:r>
        <w:rPr>
          <w:b/>
          <w:bCs/>
        </w:rPr>
        <w:t xml:space="preserve">$10 billion of additional investment** (Piketon transmission, Wyoming fuel cells, more generation) to be formally incorporated at the **Q3 update**. Management raised its expected long-term operating-earnings CAGR to **"greater than 9%"** from 2026-2030, while reaffirming the **7%-9% headline growth range** and full-year 2026 guidance of **$</w:t>
      </w:r>
      <w:r>
        <w:rPr>
          <w:b/>
          <w:bCs/>
        </w:rPr>
        <w:t xml:space="preserve">6.15-$6.45 operating EPS</w:t>
      </w:r>
      <w:r>
        <w:t xml:space="preserve">.</w:t>
      </w:r>
    </w:p>
    <w:p>
      <w:pPr>
        <w:pStyle w:val="BodyText"/>
      </w:pPr>
      <w:r>
        <w:t xml:space="preserve">On financing, AEP has been active: it completed</w:t>
      </w:r>
      <w:r>
        <w:t xml:space="preserve"> </w:t>
      </w:r>
      <m:oMath>
        <m:r>
          <m:t>665</m:t>
        </m:r>
        <m:r>
          <m:t>m</m:t>
        </m:r>
        <m:r>
          <m:t>i</m:t>
        </m:r>
        <m:r>
          <m:t>l</m:t>
        </m:r>
        <m:r>
          <m:t>l</m:t>
        </m:r>
        <m:r>
          <m:t>i</m:t>
        </m:r>
        <m:r>
          <m:t>o</m:t>
        </m:r>
        <m:r>
          <m:t>n</m:t>
        </m:r>
        <m:r>
          <m:t>o</m:t>
        </m:r>
        <m:r>
          <m:t>f</m:t>
        </m:r>
        <m:r>
          <m:t>a</m:t>
        </m:r>
        <m:r>
          <m:t>t</m:t>
        </m:r>
        <m:r>
          <m:rPr>
            <m:sty m:val="p"/>
          </m:rPr>
          <m:t>−</m:t>
        </m:r>
        <m:r>
          <m:t>t</m:t>
        </m:r>
        <m:r>
          <m:t>h</m:t>
        </m:r>
        <m:r>
          <m:t>e</m:t>
        </m:r>
        <m:r>
          <m:rPr>
            <m:sty m:val="p"/>
          </m:rPr>
          <m:t>−</m:t>
        </m:r>
        <m:r>
          <m:t>m</m:t>
        </m:r>
        <m:r>
          <m:t>a</m:t>
        </m:r>
        <m:r>
          <m:t>r</m:t>
        </m:r>
        <m:r>
          <m:t>k</m:t>
        </m:r>
        <m:r>
          <m:t>e</m:t>
        </m:r>
        <m:r>
          <m:t>t</m:t>
        </m:r>
        <m:r>
          <m:t>e</m:t>
        </m:r>
        <m:r>
          <m:t>q</m:t>
        </m:r>
        <m:r>
          <m:t>u</m:t>
        </m:r>
        <m:r>
          <m:t>i</m:t>
        </m:r>
        <m:r>
          <m:t>t</m:t>
        </m:r>
        <m:r>
          <m:t>y</m:t>
        </m:r>
        <m:r>
          <m:rPr>
            <m:sty m:val="p"/>
          </m:rPr>
          <m:t>*</m:t>
        </m:r>
        <m:r>
          <m:rPr>
            <m:sty m:val="p"/>
          </m:rPr>
          <m:t>*</m:t>
        </m:r>
        <m:r>
          <m:t>e</m:t>
        </m:r>
        <m:r>
          <m:t>a</m:t>
        </m:r>
        <m:r>
          <m:t>r</m:t>
        </m:r>
        <m:r>
          <m:t>l</m:t>
        </m:r>
        <m:r>
          <m:t>y</m:t>
        </m:r>
        <m:r>
          <m:t>i</m:t>
        </m:r>
        <m:r>
          <m:t>n</m:t>
        </m:r>
        <m:r>
          <m:t>t</m:t>
        </m:r>
        <m:r>
          <m:t>h</m:t>
        </m:r>
        <m:r>
          <m:t>e</m:t>
        </m:r>
        <m:r>
          <m:t>y</m:t>
        </m:r>
        <m:r>
          <m:t>e</m:t>
        </m:r>
        <m:r>
          <m:t>a</m:t>
        </m:r>
        <m:r>
          <m:t>r</m:t>
        </m:r>
        <m:r>
          <m:t>a</m:t>
        </m:r>
        <m:r>
          <m:t>n</m:t>
        </m:r>
        <m:r>
          <m:t>d</m:t>
        </m:r>
        <m:r>
          <m:rPr>
            <m:sty m:val="p"/>
          </m:rPr>
          <m:t>,</m:t>
        </m:r>
        <m:r>
          <m:t>n</m:t>
        </m:r>
        <m:r>
          <m:t>o</m:t>
        </m:r>
        <m:r>
          <m:t>t</m:t>
        </m:r>
        <m:r>
          <m:t>a</m:t>
        </m:r>
        <m:r>
          <m:t>b</m:t>
        </m:r>
        <m:r>
          <m:t>l</m:t>
        </m:r>
        <m:r>
          <m:t>y</m:t>
        </m:r>
        <m:r>
          <m:rPr>
            <m:sty m:val="p"/>
          </m:rPr>
          <m:t>,</m:t>
        </m:r>
        <m:r>
          <m:t>e</m:t>
        </m:r>
        <m:r>
          <m:t>x</m:t>
        </m:r>
        <m:r>
          <m:t>e</m:t>
        </m:r>
        <m:r>
          <m:t>c</m:t>
        </m:r>
        <m:r>
          <m:t>u</m:t>
        </m:r>
        <m:r>
          <m:t>t</m:t>
        </m:r>
        <m:r>
          <m:t>e</m:t>
        </m:r>
        <m:r>
          <m:t>d</m:t>
        </m:r>
        <m:r>
          <m:t>a</m:t>
        </m:r>
        <m:r>
          <m:rPr>
            <m:sty m:val="p"/>
          </m:rPr>
          <m:t>*</m:t>
        </m:r>
        <m:r>
          <m:rPr>
            <m:sty m:val="p"/>
          </m:rPr>
          <m:t>*</m:t>
        </m:r>
      </m:oMath>
      <w:r>
        <w:rPr>
          <w:b/>
          <w:bCs/>
        </w:rPr>
        <w:t xml:space="preserve">2.9 billion forward sale of ~23.5 million common shares</w:t>
      </w:r>
      <w:r>
        <w:t xml:space="preserve"> </w:t>
      </w:r>
      <w:r>
        <w:t xml:space="preserve">in May 2026 (via BofA, Goldman Sachs and Morgan Stanley) at an initial forward price of $124.968/share, settling by May 2028. This equity issuance, combined with the modest ~18% equity content on the incremental $6 billion of capex, supports AEP's credit metrics — FFO-to-debt of 14.7% (S&amp;P) and 13.9% (Moody's) as of Q1, both above the 13% downgrade threshold but the Moody's figure just shy of AEP's 14-15% target range. Expect an update on 2026 equity issuance progress and any additional financing tied to the incremental $10 billion pipeline.</w:t>
      </w:r>
    </w:p>
    <w:bookmarkEnd w:id="11"/>
    <w:bookmarkStart w:id="12" w:name="key-watch-items-and-risk-factors"/>
    <w:p>
      <w:pPr>
        <w:pStyle w:val="Heading2"/>
      </w:pPr>
      <w:r>
        <w:t xml:space="preserve">Key Watch Items and Risk Factors</w:t>
      </w:r>
    </w:p>
    <w:p>
      <w:pPr>
        <w:pStyle w:val="Compact"/>
        <w:numPr>
          <w:ilvl w:val="0"/>
          <w:numId w:val="1002"/>
        </w:numPr>
      </w:pPr>
      <w:r>
        <w:rPr>
          <w:b/>
          <w:bCs/>
        </w:rPr>
        <w:t xml:space="preserve">RTO friction (PJM/SPP):</w:t>
      </w:r>
      <w:r>
        <w:t xml:space="preserve"> </w:t>
      </w:r>
      <w:r>
        <w:t xml:space="preserve">Management has taken an unusually pointed stance, saying it is "currently assessing all of our options" regarding PJM membership due to slow generation-interconnection processes, and conducting a similar review of SPP. Any escalation or resolution here would be market-moving, as would news on FERC's proposed reliability "backstop" generation procurement, which AEP said it may bid into via its unregulated business.</w:t>
      </w:r>
    </w:p>
    <w:p>
      <w:pPr>
        <w:pStyle w:val="Compact"/>
        <w:numPr>
          <w:ilvl w:val="0"/>
          <w:numId w:val="1002"/>
        </w:numPr>
      </w:pPr>
      <w:r>
        <w:rPr>
          <w:b/>
          <w:bCs/>
        </w:rPr>
        <w:t xml:space="preserve">Affordability/political backlash:</w:t>
      </w:r>
      <w:r>
        <w:t xml:space="preserve"> </w:t>
      </w:r>
      <w:r>
        <w:t xml:space="preserve">An Ohio state legislator introduced a bill to freeze utility rate increases for a year amid concerns that residential electricity prices in Ohio grew sharply from 2019-2024 — a reminder that regulatory/political risk around large-load cost allocation remains live even as AEP touts up to</w:t>
      </w:r>
      <w:r>
        <w:t xml:space="preserve"> </w:t>
      </w:r>
      <w:r>
        <w:rPr>
          <w:b/>
          <w:bCs/>
        </w:rPr>
        <w:t xml:space="preserve">$16 billion in cost offsets for existing customers</w:t>
      </w:r>
      <w:r>
        <w:t xml:space="preserve"> </w:t>
      </w:r>
      <w:r>
        <w:t xml:space="preserve">from large-load contracts.</w:t>
      </w:r>
    </w:p>
    <w:p>
      <w:pPr>
        <w:pStyle w:val="Compact"/>
        <w:numPr>
          <w:ilvl w:val="0"/>
          <w:numId w:val="1002"/>
        </w:numPr>
      </w:pPr>
      <w:r>
        <w:rPr>
          <w:b/>
          <w:bCs/>
        </w:rPr>
        <w:t xml:space="preserve">Regulatory cadence:</w:t>
      </w:r>
      <w:r>
        <w:t xml:space="preserve"> </w:t>
      </w:r>
      <w:r>
        <w:t xml:space="preserve">Q1 saw constructive outcomes in Ohio (9.84% ROE), Arkansas (9.65% ROE) and a notably favorable West Virginia reconsideration (ROE raised to 9.75% from 9.25%). Watch for updates on pending cases in Indiana, Michigan, Oklahoma, Texas and Virginia.</w:t>
      </w:r>
    </w:p>
    <w:p>
      <w:pPr>
        <w:pStyle w:val="Compact"/>
        <w:numPr>
          <w:ilvl w:val="0"/>
          <w:numId w:val="1002"/>
        </w:numPr>
      </w:pPr>
      <w:r>
        <w:rPr>
          <w:b/>
          <w:bCs/>
        </w:rPr>
        <w:t xml:space="preserve">Generation build-out:</w:t>
      </w:r>
      <w:r>
        <w:t xml:space="preserve"> </w:t>
      </w:r>
      <w:r>
        <w:t xml:space="preserve">AEP has secured</w:t>
      </w:r>
      <w:r>
        <w:t xml:space="preserve"> </w:t>
      </w:r>
      <w:r>
        <w:rPr>
          <w:b/>
          <w:bCs/>
        </w:rPr>
        <w:t xml:space="preserve">10+ GW of gas turbine capacity</w:t>
      </w:r>
      <w:r>
        <w:t xml:space="preserve"> </w:t>
      </w:r>
      <w:r>
        <w:t xml:space="preserve">from GE and Mitsubishi and continues to evaluate nuclear options; watch for updates on the Wyoming Bloom fuel-cell project, where a key customer decision deadline was flagged for end of Q2 2026 (with a backstop "put" protection at cost-plus ~10% if the project doesn't proceed).</w:t>
      </w:r>
    </w:p>
    <w:p>
      <w:pPr>
        <w:pStyle w:val="Compact"/>
        <w:numPr>
          <w:ilvl w:val="0"/>
          <w:numId w:val="1002"/>
        </w:numPr>
      </w:pPr>
      <w:r>
        <w:rPr>
          <w:b/>
          <w:bCs/>
        </w:rPr>
        <w:t xml:space="preserve">Board refresh:</w:t>
      </w:r>
      <w:r>
        <w:t xml:space="preserve"> </w:t>
      </w:r>
      <w:r>
        <w:t xml:space="preserve">AEP added</w:t>
      </w:r>
      <w:r>
        <w:t xml:space="preserve"> </w:t>
      </w:r>
      <w:r>
        <w:rPr>
          <w:b/>
          <w:bCs/>
        </w:rPr>
        <w:t xml:space="preserve">David Marriott (Chairman, Marriott International)</w:t>
      </w:r>
      <w:r>
        <w:t xml:space="preserve"> </w:t>
      </w:r>
      <w:r>
        <w:t xml:space="preserve">and</w:t>
      </w:r>
      <w:r>
        <w:t xml:space="preserve"> </w:t>
      </w:r>
      <w:r>
        <w:rPr>
          <w:b/>
          <w:bCs/>
        </w:rPr>
        <w:t xml:space="preserve">Charles Meyers (Executive Chairman, Equinix)</w:t>
      </w:r>
      <w:r>
        <w:t xml:space="preserve"> </w:t>
      </w:r>
      <w:r>
        <w:t xml:space="preserve">to its board on July 20 — the Equinix connection is particularly notable given Equinix's role as a major data-center/colocation operator, reinforcing AEP's positioning around hyperscale demand.</w:t>
      </w:r>
    </w:p>
    <w:p>
      <w:pPr>
        <w:pStyle w:val="Compact"/>
        <w:numPr>
          <w:ilvl w:val="0"/>
          <w:numId w:val="1002"/>
        </w:numPr>
      </w:pPr>
      <w:r>
        <w:rPr>
          <w:b/>
          <w:bCs/>
        </w:rPr>
        <w:t xml:space="preserve">Interconnection queue growth:</w:t>
      </w:r>
      <w:r>
        <w:t xml:space="preserve"> </w:t>
      </w:r>
      <w:r>
        <w:t xml:space="preserve">Management noted its generation interconnection queue has grown to roughly 190 GW, underscoring the scale of prospective (not yet contracted) demand but also the execution risk in converting queue positions into firm, credit-backed contracts.</w:t>
      </w:r>
    </w:p>
    <w:bookmarkEnd w:id="12"/>
    <w:bookmarkStart w:id="13" w:name="bottom-line"/>
    <w:p>
      <w:pPr>
        <w:pStyle w:val="Heading2"/>
      </w:pPr>
      <w:r>
        <w:t xml:space="preserve">Bottom Line</w:t>
      </w:r>
    </w:p>
    <w:p>
      <w:pPr>
        <w:pStyle w:val="FirstParagraph"/>
      </w:pPr>
      <w:r>
        <w:t xml:space="preserve">AEP goes into Q2 with a straightforward setup: modest expected EPS growth (~4-6% y/y) framed by an accelerating multi-year capital and load-growth story that has repeatedly been revised upward (56 GW → 63 GW of contracted load in one quarter; $72B → $78B capital plan). Given AEP's track record of beating estimates and raising both load and capex figures intra-year, the key questions for tomorrow are less about the quarterly EPS beat/miss and more about: (1) whether contracted load keeps climbing toward or past 63 GW, (2) tone on the PJM/SPP interconnection dispute, (3) any incremental detail ahead of the formal Q3 capital-plan refresh, and (4) how management balances the affordability narrative against continued rapid capex growth and equity issuance.</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2026-07-29T18:24:25Z</dcterms:created>
  <dcterms:modified xsi:type="dcterms:W3CDTF">2026-07-29T18:24:25Z</dcterms:modified>
</cp:coreProperties>
</file>

<file path=docProps/custom.xml><?xml version="1.0" encoding="utf-8"?>
<Properties xmlns="http://schemas.openxmlformats.org/officeDocument/2006/custom-properties" xmlns:vt="http://schemas.openxmlformats.org/officeDocument/2006/docPropsVTypes"/>
</file>