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aep-2026-q2-earnings-preview"/>
    <w:p>
      <w:pPr>
        <w:pStyle w:val="Heading1"/>
      </w:pPr>
      <w:r>
        <w:t xml:space="preserve">AEP 2026 Q2 Earnings Preview</w:t>
      </w:r>
    </w:p>
    <w:p>
      <w:pPr>
        <w:pStyle w:val="FirstParagraph"/>
      </w:pPr>
      <w:r>
        <w:rPr>
          <w:b/>
          <w:bCs/>
        </w:rPr>
        <w:t xml:space="preserve">Report:</w:t>
      </w:r>
      <w:r>
        <w:t xml:space="preserve"> </w:t>
      </w:r>
      <w:r>
        <w:t xml:space="preserve">Thursday, July 30, 2026</w:t>
      </w:r>
      <w:r>
        <w:br/>
      </w:r>
      <w:r>
        <w:rPr>
          <w:b/>
          <w:bCs/>
        </w:rPr>
        <w:t xml:space="preserve">Conference call:</w:t>
      </w:r>
      <w:r>
        <w:t xml:space="preserve"> </w:t>
      </w:r>
      <w:r>
        <w:t xml:space="preserve">9:00 a.m. ET (</w:t>
      </w:r>
      <w:hyperlink r:id="rId9">
        <w:r>
          <w:rPr>
            <w:rStyle w:val="Hyperlink"/>
          </w:rPr>
          <w:t xml:space="preserve">aep.com</w:t>
        </w:r>
      </w:hyperlink>
      <w:r>
        <w:t xml:space="preserve">)</w:t>
      </w:r>
    </w:p>
    <w:bookmarkStart w:id="13" w:name="earnings-snapshot"/>
    <w:p>
      <w:pPr>
        <w:pStyle w:val="Heading2"/>
      </w:pPr>
      <w:r>
        <w:t xml:space="preserve">Earnings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Operating EPS</w:t>
            </w:r>
          </w:p>
        </w:tc>
        <w:tc>
          <w:tcPr/>
          <w:p>
            <w:pPr>
              <w:pStyle w:val="Compact"/>
              <w:jc w:val="right"/>
            </w:pPr>
            <w:r>
              <w:rPr>
                <w:b/>
                <w:bCs/>
              </w:rPr>
              <w:t xml:space="preserve">$1.52</w:t>
            </w:r>
          </w:p>
        </w:tc>
        <w:tc>
          <w:tcPr/>
          <w:p>
            <w:pPr>
              <w:pStyle w:val="Compact"/>
              <w:jc w:val="right"/>
            </w:pPr>
            <w:r>
              <w:t xml:space="preserve">$1.43</w:t>
            </w:r>
          </w:p>
        </w:tc>
        <w:tc>
          <w:tcPr/>
          <w:p>
            <w:pPr>
              <w:pStyle w:val="Compact"/>
              <w:jc w:val="right"/>
            </w:pPr>
            <w:r>
              <w:t xml:space="preserve">+6%</w:t>
            </w:r>
          </w:p>
        </w:tc>
      </w:tr>
      <w:tr>
        <w:tc>
          <w:tcPr/>
          <w:p>
            <w:pPr>
              <w:pStyle w:val="Compact"/>
            </w:pPr>
            <w:r>
              <w:t xml:space="preserve">Revenue</w:t>
            </w:r>
          </w:p>
        </w:tc>
        <w:tc>
          <w:tcPr/>
          <w:p>
            <w:pPr>
              <w:pStyle w:val="Compact"/>
              <w:jc w:val="right"/>
            </w:pPr>
            <w:r>
              <w:rPr>
                <w:b/>
                <w:bCs/>
              </w:rPr>
              <w:t xml:space="preserve">$5.51 billion</w:t>
            </w:r>
          </w:p>
        </w:tc>
        <w:tc>
          <w:tcPr/>
          <w:p>
            <w:pPr>
              <w:pStyle w:val="Compact"/>
              <w:jc w:val="right"/>
            </w:pPr>
            <w:r>
              <w:t xml:space="preserve">$5.09 billion</w:t>
            </w:r>
          </w:p>
        </w:tc>
        <w:tc>
          <w:tcPr/>
          <w:p>
            <w:pPr>
              <w:pStyle w:val="Compact"/>
              <w:jc w:val="right"/>
            </w:pPr>
            <w:r>
              <w:t xml:space="preserve">+8%</w:t>
            </w:r>
          </w:p>
        </w:tc>
      </w:tr>
    </w:tbl>
    <w:p>
      <w:pPr>
        <w:pStyle w:val="BodyText"/>
      </w:pPr>
      <w:r>
        <w:t xml:space="preserve">The published consensus is approximately $1.52 in EPS and $5.51 billion in revenue. AEP earned $1.43 per share on $5.09 billion of revenue in the year-ago quarter. (</w:t>
      </w:r>
      <w:hyperlink r:id="rId10">
        <w:r>
          <w:rPr>
            <w:rStyle w:val="Hyperlink"/>
          </w:rPr>
          <w:t xml:space="preserve">investing.com</w:t>
        </w:r>
      </w:hyperlink>
      <w:r>
        <w:t xml:space="preserve">)</w:t>
      </w:r>
    </w:p>
    <w:p>
      <w:pPr>
        <w:pStyle w:val="BodyText"/>
      </w:pPr>
      <w:r>
        <w:t xml:space="preserve">AEP entered the quarter with:</w:t>
      </w:r>
    </w:p>
    <w:p>
      <w:pPr>
        <w:pStyle w:val="Compact"/>
        <w:numPr>
          <w:ilvl w:val="0"/>
          <w:numId w:val="1001"/>
        </w:numPr>
      </w:pPr>
      <w:r>
        <w:t xml:space="preserve">2026 operating EPS guidance of</w:t>
      </w:r>
      <w:r>
        <w:t xml:space="preserve"> </w:t>
      </w:r>
      <m:oMath>
        <m:r>
          <m:t>6.15</m:t>
        </m:r>
        <m:r>
          <m:rPr>
            <m:sty m:val="p"/>
          </m:rPr>
          <m:t>−</m:t>
        </m:r>
      </m:oMath>
      <w:r>
        <w:rPr>
          <w:b/>
          <w:bCs/>
        </w:rPr>
        <w:t xml:space="preserve">6.45</w:t>
      </w:r>
    </w:p>
    <w:p>
      <w:pPr>
        <w:pStyle w:val="Compact"/>
        <w:numPr>
          <w:ilvl w:val="0"/>
          <w:numId w:val="1001"/>
        </w:numPr>
      </w:pPr>
      <w:r>
        <w:t xml:space="preserve">Q1 operating EPS of</w:t>
      </w:r>
      <w:r>
        <w:t xml:space="preserve"> </w:t>
      </w:r>
      <w:r>
        <w:rPr>
          <w:b/>
          <w:bCs/>
        </w:rPr>
        <w:t xml:space="preserve">$1.64</w:t>
      </w:r>
    </w:p>
    <w:p>
      <w:pPr>
        <w:pStyle w:val="Compact"/>
        <w:numPr>
          <w:ilvl w:val="0"/>
          <w:numId w:val="1001"/>
        </w:numPr>
      </w:pPr>
      <w:r>
        <w:t xml:space="preserve">A</w:t>
      </w:r>
      <w:r>
        <w:t xml:space="preserve"> </w:t>
      </w:r>
      <w:r>
        <w:rPr>
          <w:b/>
          <w:bCs/>
        </w:rPr>
        <w:t xml:space="preserve">$78 billion</w:t>
      </w:r>
      <w:r>
        <w:t xml:space="preserve"> </w:t>
      </w:r>
      <w:r>
        <w:t xml:space="preserve">2026-2030 capital plan</w:t>
      </w:r>
    </w:p>
    <w:p>
      <w:pPr>
        <w:pStyle w:val="Compact"/>
        <w:numPr>
          <w:ilvl w:val="0"/>
          <w:numId w:val="1001"/>
        </w:numPr>
      </w:pPr>
      <w:r>
        <w:t xml:space="preserve">Nearly</w:t>
      </w:r>
      <w:r>
        <w:t xml:space="preserve"> </w:t>
      </w:r>
      <w:r>
        <w:rPr>
          <w:b/>
          <w:bCs/>
        </w:rPr>
        <w:t xml:space="preserve">11% projected rate-base growth</w:t>
      </w:r>
    </w:p>
    <w:p>
      <w:pPr>
        <w:pStyle w:val="Compact"/>
        <w:numPr>
          <w:ilvl w:val="0"/>
          <w:numId w:val="1001"/>
        </w:numPr>
      </w:pPr>
      <w:r>
        <w:t xml:space="preserve">A 7%-9% annual operating earnings growth target and an expected CAGR above 9% through 2030 (</w:t>
      </w:r>
      <w:hyperlink r:id="rId11">
        <w:r>
          <w:rPr>
            <w:rStyle w:val="Hyperlink"/>
          </w:rPr>
          <w:t xml:space="preserve">aep.com</w:t>
        </w:r>
      </w:hyperlink>
      <w:r>
        <w:t xml:space="preserve">)</w:t>
      </w:r>
    </w:p>
    <w:p>
      <w:pPr>
        <w:pStyle w:val="FirstParagraph"/>
      </w:pPr>
      <w:r>
        <w:t xml:space="preserve">At consensus, first-half operating EPS would be approximately</w:t>
      </w:r>
      <w:r>
        <w:t xml:space="preserve"> </w:t>
      </w:r>
      <m:oMath>
        <m:r>
          <m:t>3.16</m:t>
        </m:r>
        <m:r>
          <m:rPr>
            <m:sty m:val="p"/>
          </m:rPr>
          <m:t>*</m:t>
        </m:r>
        <m:r>
          <m:rPr>
            <m:sty m:val="p"/>
          </m:rPr>
          <m:t>*</m:t>
        </m:r>
        <m:r>
          <m:rPr>
            <m:sty m:val="p"/>
          </m:rPr>
          <m:t>,</m:t>
        </m:r>
        <m:r>
          <m:t>l</m:t>
        </m:r>
        <m:r>
          <m:t>e</m:t>
        </m:r>
        <m:r>
          <m:t>a</m:t>
        </m:r>
        <m:r>
          <m:t>v</m:t>
        </m:r>
        <m:r>
          <m:t>i</m:t>
        </m:r>
        <m:r>
          <m:t>n</m:t>
        </m:r>
        <m:r>
          <m:t>g</m:t>
        </m:r>
        <m:r>
          <m:t>a</m:t>
        </m:r>
        <m:r>
          <m:t>b</m:t>
        </m:r>
        <m:r>
          <m:t>o</m:t>
        </m:r>
        <m:r>
          <m:t>u</m:t>
        </m:r>
        <m:r>
          <m:t>t</m:t>
        </m:r>
        <m:r>
          <m:rPr>
            <m:sty m:val="p"/>
          </m:rPr>
          <m:t>*</m:t>
        </m:r>
        <m:r>
          <m:rPr>
            <m:sty m:val="p"/>
          </m:rPr>
          <m:t>*</m:t>
        </m:r>
      </m:oMath>
      <w:r>
        <w:rPr>
          <w:b/>
          <w:bCs/>
        </w:rPr>
        <w:t xml:space="preserve">3.14</w:t>
      </w:r>
      <w:r>
        <w:t xml:space="preserve"> </w:t>
      </w:r>
      <w:r>
        <w:t xml:space="preserve">to reach the $6.30 guidance midpoint. AEP has said growth in 2026 and 2027 should fall in the lower half of its 7%-9% range, with acceleration thereafter, so a guidance reaffirmation appears more likely than a material increase. (</w:t>
      </w:r>
      <w:hyperlink r:id="rId12">
        <w:r>
          <w:rPr>
            <w:rStyle w:val="Hyperlink"/>
          </w:rPr>
          <w:t xml:space="preserve">docs.aep.com</w:t>
        </w:r>
      </w:hyperlink>
      <w:r>
        <w:t xml:space="preserve">)</w:t>
      </w:r>
    </w:p>
    <w:bookmarkEnd w:id="13"/>
    <w:bookmarkStart w:id="14" w:name="X6267f8361121da0124675d45d5aa6a620787040"/>
    <w:p>
      <w:pPr>
        <w:pStyle w:val="Heading2"/>
      </w:pPr>
      <w:r>
        <w:t xml:space="preserve">The central issue: converting 63 GW into investable, financeable growth</w:t>
      </w:r>
    </w:p>
    <w:p>
      <w:pPr>
        <w:pStyle w:val="FirstParagraph"/>
      </w:pPr>
      <w:r>
        <w:t xml:space="preserve">The quarterly EPS result matters, but the stock’s longer-term thesis rests on whether AEP can convert extraordinary data-center demand into regulated infrastructure investment without creating unacceptable execution, customer-affordability or financing risks.</w:t>
      </w:r>
    </w:p>
    <w:p>
      <w:pPr>
        <w:pStyle w:val="BodyText"/>
      </w:pPr>
      <w:r>
        <w:t xml:space="preserve">AEP’s latest outlook includes</w:t>
      </w:r>
      <w:r>
        <w:t xml:space="preserve"> </w:t>
      </w:r>
      <w:r>
        <w:rPr>
          <w:b/>
          <w:bCs/>
        </w:rPr>
        <w:t xml:space="preserve">63 GW of contracted incremental load by 2030</w:t>
      </w:r>
      <w:r>
        <w:t xml:space="preserve">, of which approximately 89% is data centers. The geographic breakdown is roughly:</w:t>
      </w:r>
    </w:p>
    <w:p>
      <w:pPr>
        <w:pStyle w:val="Compact"/>
        <w:numPr>
          <w:ilvl w:val="0"/>
          <w:numId w:val="1002"/>
        </w:numPr>
      </w:pPr>
      <w:r>
        <w:rPr>
          <w:b/>
          <w:bCs/>
        </w:rPr>
        <w:t xml:space="preserve">41 GW in ERCOT/Texas</w:t>
      </w:r>
    </w:p>
    <w:p>
      <w:pPr>
        <w:pStyle w:val="Compact"/>
        <w:numPr>
          <w:ilvl w:val="0"/>
          <w:numId w:val="1002"/>
        </w:numPr>
      </w:pPr>
      <w:r>
        <w:rPr>
          <w:b/>
          <w:bCs/>
        </w:rPr>
        <w:t xml:space="preserve">16 GW in PJM</w:t>
      </w:r>
    </w:p>
    <w:p>
      <w:pPr>
        <w:pStyle w:val="Compact"/>
        <w:numPr>
          <w:ilvl w:val="0"/>
          <w:numId w:val="1002"/>
        </w:numPr>
      </w:pPr>
      <w:r>
        <w:rPr>
          <w:b/>
          <w:bCs/>
        </w:rPr>
        <w:t xml:space="preserve">6 GW in SPP</w:t>
      </w:r>
    </w:p>
    <w:p>
      <w:pPr>
        <w:pStyle w:val="FirstParagraph"/>
      </w:pPr>
      <w:r>
        <w:t xml:space="preserve">The company also has approximately 190 GW in its broader active interconnection queue. (</w:t>
      </w:r>
      <w:hyperlink r:id="rId12">
        <w:r>
          <w:rPr>
            <w:rStyle w:val="Hyperlink"/>
          </w:rPr>
          <w:t xml:space="preserve">docs.aep.com</w:t>
        </w:r>
      </w:hyperlink>
      <w:r>
        <w:t xml:space="preserve">)</w:t>
      </w:r>
    </w:p>
    <w:p>
      <w:pPr>
        <w:pStyle w:val="BodyText"/>
      </w:pPr>
      <w:r>
        <w:t xml:space="preserve">Investors should look beyond any increase in the headline 63 GW figure. The more important questions are:</w:t>
      </w:r>
    </w:p>
    <w:p>
      <w:pPr>
        <w:pStyle w:val="Compact"/>
        <w:numPr>
          <w:ilvl w:val="0"/>
          <w:numId w:val="1003"/>
        </w:numPr>
      </w:pPr>
      <w:r>
        <w:rPr>
          <w:b/>
          <w:bCs/>
        </w:rPr>
        <w:t xml:space="preserve">How much load has moved from letters of agreement to binding, take-or-pay Electric Service Agreements?</w:t>
      </w:r>
    </w:p>
    <w:p>
      <w:pPr>
        <w:pStyle w:val="Compact"/>
        <w:numPr>
          <w:ilvl w:val="0"/>
          <w:numId w:val="1003"/>
        </w:numPr>
      </w:pPr>
      <w:r>
        <w:rPr>
          <w:b/>
          <w:bCs/>
        </w:rPr>
        <w:t xml:space="preserve">Have expected energization dates changed?</w:t>
      </w:r>
    </w:p>
    <w:p>
      <w:pPr>
        <w:pStyle w:val="Compact"/>
        <w:numPr>
          <w:ilvl w:val="0"/>
          <w:numId w:val="1003"/>
        </w:numPr>
      </w:pPr>
      <w:r>
        <w:rPr>
          <w:b/>
          <w:bCs/>
        </w:rPr>
        <w:t xml:space="preserve">How much new capital is required to serve the additions?</w:t>
      </w:r>
    </w:p>
    <w:p>
      <w:pPr>
        <w:pStyle w:val="Compact"/>
        <w:numPr>
          <w:ilvl w:val="0"/>
          <w:numId w:val="1003"/>
        </w:numPr>
      </w:pPr>
      <w:r>
        <w:rPr>
          <w:b/>
          <w:bCs/>
        </w:rPr>
        <w:t xml:space="preserve">Are customers funding interconnection and construction costs as planned?</w:t>
      </w:r>
    </w:p>
    <w:p>
      <w:pPr>
        <w:pStyle w:val="Compact"/>
        <w:numPr>
          <w:ilvl w:val="0"/>
          <w:numId w:val="1003"/>
        </w:numPr>
      </w:pPr>
      <w:r>
        <w:rPr>
          <w:b/>
          <w:bCs/>
        </w:rPr>
        <w:t xml:space="preserve">Is the supporting generation available on schedule?</w:t>
      </w:r>
    </w:p>
    <w:p>
      <w:pPr>
        <w:pStyle w:val="FirstParagraph"/>
      </w:pPr>
      <w:r>
        <w:t xml:space="preserve">A smaller increase backed by firm commercial terms would be more valuable than another large increase dominated by early-stage requests.</w:t>
      </w:r>
    </w:p>
    <w:bookmarkEnd w:id="14"/>
    <w:bookmarkStart w:id="16" w:name="X68e12aa58f2bb2975c7a1b8dfd5379f7fd116ca"/>
    <w:p>
      <w:pPr>
        <w:pStyle w:val="Heading2"/>
      </w:pPr>
      <w:r>
        <w:t xml:space="preserve">Texas is both the largest opportunity and the largest timing risk</w:t>
      </w:r>
    </w:p>
    <w:p>
      <w:pPr>
        <w:pStyle w:val="FirstParagraph"/>
      </w:pPr>
      <w:r>
        <w:t xml:space="preserve">Texas represents roughly two-thirds of AEP’s contracted load outlook. AEP says all 41 GW meets the requirements of Texas Senate Bill 6 and is backed by signed letters of agreement. Customers must demonstrate financial capability and site control, fund construction upfront, pay study fees and disclose their intended generation sources. (</w:t>
      </w:r>
      <w:hyperlink r:id="rId12">
        <w:r>
          <w:rPr>
            <w:rStyle w:val="Hyperlink"/>
          </w:rPr>
          <w:t xml:space="preserve">docs.aep.com</w:t>
        </w:r>
      </w:hyperlink>
      <w:r>
        <w:t xml:space="preserve">)</w:t>
      </w:r>
    </w:p>
    <w:p>
      <w:pPr>
        <w:pStyle w:val="BodyText"/>
      </w:pPr>
      <w:r>
        <w:t xml:space="preserve">The complication is scale: customer-signed demand is dramatically larger than AEP Texas’ current peak demand of approximately 8 GW. AEP can build the transmission and distribution infrastructure, but energization depends heavily on generation supplied by other parties and the ERCOT planning process. (</w:t>
      </w:r>
      <w:hyperlink r:id="rId12">
        <w:r>
          <w:rPr>
            <w:rStyle w:val="Hyperlink"/>
          </w:rPr>
          <w:t xml:space="preserve">docs.aep.com</w:t>
        </w:r>
      </w:hyperlink>
      <w:r>
        <w:t xml:space="preserve">)</w:t>
      </w:r>
    </w:p>
    <w:p>
      <w:pPr>
        <w:pStyle w:val="BodyText"/>
      </w:pPr>
      <w:r>
        <w:rPr>
          <w:b/>
          <w:bCs/>
        </w:rPr>
        <w:t xml:space="preserve">What to listen for:</w:t>
      </w:r>
    </w:p>
    <w:p>
      <w:pPr>
        <w:pStyle w:val="Compact"/>
        <w:numPr>
          <w:ilvl w:val="0"/>
          <w:numId w:val="1004"/>
        </w:numPr>
      </w:pPr>
      <w:r>
        <w:t xml:space="preserve">Updated assumptions for the 41 GW energization schedule</w:t>
      </w:r>
    </w:p>
    <w:p>
      <w:pPr>
        <w:pStyle w:val="Compact"/>
        <w:numPr>
          <w:ilvl w:val="0"/>
          <w:numId w:val="1004"/>
        </w:numPr>
      </w:pPr>
      <w:r>
        <w:t xml:space="preserve">Progress under the final or developing SB6 rules</w:t>
      </w:r>
    </w:p>
    <w:p>
      <w:pPr>
        <w:pStyle w:val="Compact"/>
        <w:numPr>
          <w:ilvl w:val="0"/>
          <w:numId w:val="1004"/>
        </w:numPr>
      </w:pPr>
      <w:r>
        <w:t xml:space="preserve">Whether any 2027-2029 projects have shifted</w:t>
      </w:r>
    </w:p>
    <w:p>
      <w:pPr>
        <w:pStyle w:val="Compact"/>
        <w:numPr>
          <w:ilvl w:val="0"/>
          <w:numId w:val="1004"/>
        </w:numPr>
      </w:pPr>
      <w:r>
        <w:t xml:space="preserve">Additional ERCOT transmission awards</w:t>
      </w:r>
    </w:p>
    <w:p>
      <w:pPr>
        <w:pStyle w:val="Compact"/>
        <w:numPr>
          <w:ilvl w:val="0"/>
          <w:numId w:val="1004"/>
        </w:numPr>
      </w:pPr>
      <w:r>
        <w:t xml:space="preserve">How much Texas-related capital remains outside the current $78 billion plan</w:t>
      </w:r>
    </w:p>
    <w:p>
      <w:pPr>
        <w:pStyle w:val="FirstParagraph"/>
      </w:pPr>
      <w:r>
        <w:t xml:space="preserve">A constructive development came on July 8: AEP Texas secured an agreement for up to</w:t>
      </w:r>
      <w:r>
        <w:t xml:space="preserve"> </w:t>
      </w:r>
      <w:r>
        <w:rPr>
          <w:b/>
          <w:bCs/>
        </w:rPr>
        <w:t xml:space="preserve">$3.26 billion of federal financing</w:t>
      </w:r>
      <w:r>
        <w:t xml:space="preserve"> </w:t>
      </w:r>
      <w:r>
        <w:t xml:space="preserve">covering nearly 100 reliability and growth projects. AEP estimates the financing could save customers $685 million over 30 years. Investors should ask how quickly AEP can draw this funding and whether it improves parent-level cash flow or credit metrics. (</w:t>
      </w:r>
      <w:hyperlink r:id="rId15">
        <w:r>
          <w:rPr>
            <w:rStyle w:val="Hyperlink"/>
          </w:rPr>
          <w:t xml:space="preserve">aep.com</w:t>
        </w:r>
      </w:hyperlink>
      <w:r>
        <w:t xml:space="preserve">)</w:t>
      </w:r>
    </w:p>
    <w:bookmarkEnd w:id="16"/>
    <w:bookmarkStart w:id="18" w:name="X1ebce0c4d600aedc2bb2a8af9027a145de48644"/>
    <w:p>
      <w:pPr>
        <w:pStyle w:val="Heading2"/>
      </w:pPr>
      <w:r>
        <w:t xml:space="preserve">Capital-plan upside now has funding attached to it</w:t>
      </w:r>
    </w:p>
    <w:p>
      <w:pPr>
        <w:pStyle w:val="FirstParagraph"/>
      </w:pPr>
      <w:r>
        <w:t xml:space="preserve">The current $78 billion plan consists primarily of:</w:t>
      </w:r>
    </w:p>
    <w:p>
      <w:pPr>
        <w:pStyle w:val="Compact"/>
        <w:numPr>
          <w:ilvl w:val="0"/>
          <w:numId w:val="1005"/>
        </w:numPr>
      </w:pPr>
      <w:r>
        <w:rPr>
          <w:b/>
          <w:bCs/>
        </w:rPr>
        <w:t xml:space="preserve">$33 billion of transmission</w:t>
      </w:r>
    </w:p>
    <w:p>
      <w:pPr>
        <w:pStyle w:val="Compact"/>
        <w:numPr>
          <w:ilvl w:val="0"/>
          <w:numId w:val="1005"/>
        </w:numPr>
      </w:pPr>
      <w:r>
        <w:rPr>
          <w:b/>
          <w:bCs/>
        </w:rPr>
        <w:t xml:space="preserve">$24 billion of generation</w:t>
      </w:r>
    </w:p>
    <w:p>
      <w:pPr>
        <w:pStyle w:val="Compact"/>
        <w:numPr>
          <w:ilvl w:val="0"/>
          <w:numId w:val="1005"/>
        </w:numPr>
      </w:pPr>
      <w:r>
        <w:rPr>
          <w:b/>
          <w:bCs/>
        </w:rPr>
        <w:t xml:space="preserve">$17 billion of distribution</w:t>
      </w:r>
    </w:p>
    <w:p>
      <w:pPr>
        <w:pStyle w:val="Compact"/>
        <w:numPr>
          <w:ilvl w:val="0"/>
          <w:numId w:val="1005"/>
        </w:numPr>
      </w:pPr>
      <w:r>
        <w:t xml:space="preserve">Approximately $4 billion of other investment</w:t>
      </w:r>
    </w:p>
    <w:p>
      <w:pPr>
        <w:pStyle w:val="FirstParagraph"/>
      </w:pPr>
      <w:r>
        <w:t xml:space="preserve">AEP expects about $13 billion of capital spending in 2026 and has identified more than $10 billion of potential additional projects not yet included in the base plan. (</w:t>
      </w:r>
      <w:hyperlink r:id="rId12">
        <w:r>
          <w:rPr>
            <w:rStyle w:val="Hyperlink"/>
          </w:rPr>
          <w:t xml:space="preserve">docs.aep.com</w:t>
        </w:r>
      </w:hyperlink>
      <w:r>
        <w:t xml:space="preserve">)</w:t>
      </w:r>
    </w:p>
    <w:p>
      <w:pPr>
        <w:pStyle w:val="BodyText"/>
      </w:pPr>
      <w:r>
        <w:t xml:space="preserve">Since Q1, AEP has substantially de-risked the equity component. In May, it completed the marketing of approximately</w:t>
      </w:r>
      <w:r>
        <w:t xml:space="preserve"> </w:t>
      </w:r>
      <w:r>
        <w:rPr>
          <w:b/>
          <w:bCs/>
        </w:rPr>
        <w:t xml:space="preserve">$3 billion of forward equity</w:t>
      </w:r>
      <w:r>
        <w:t xml:space="preserve">, with expected settlement by May 31, 2028. Management says this fulfills the marketed growth-equity requirement supporting the current $78 billion plan. (</w:t>
      </w:r>
      <w:hyperlink r:id="rId17">
        <w:r>
          <w:rPr>
            <w:rStyle w:val="Hyperlink"/>
          </w:rPr>
          <w:t xml:space="preserve">aep.com</w:t>
        </w:r>
      </w:hyperlink>
      <w:r>
        <w:t xml:space="preserve">)</w:t>
      </w:r>
    </w:p>
    <w:p>
      <w:pPr>
        <w:pStyle w:val="BodyText"/>
      </w:pPr>
      <w:r>
        <w:t xml:space="preserve">That makes the financing discussion more nuanced:</w:t>
      </w:r>
    </w:p>
    <w:p>
      <w:pPr>
        <w:pStyle w:val="Compact"/>
        <w:numPr>
          <w:ilvl w:val="0"/>
          <w:numId w:val="1006"/>
        </w:numPr>
      </w:pPr>
      <w:r>
        <w:t xml:space="preserve">The existing plan is better funded than it was at Q1.</w:t>
      </w:r>
    </w:p>
    <w:p>
      <w:pPr>
        <w:pStyle w:val="Compact"/>
        <w:numPr>
          <w:ilvl w:val="0"/>
          <w:numId w:val="1006"/>
        </w:numPr>
      </w:pPr>
      <w:r>
        <w:t xml:space="preserve">The forward shares will eventually create dilution when settled.</w:t>
      </w:r>
    </w:p>
    <w:p>
      <w:pPr>
        <w:pStyle w:val="Compact"/>
        <w:numPr>
          <w:ilvl w:val="0"/>
          <w:numId w:val="1006"/>
        </w:numPr>
      </w:pPr>
      <w:r>
        <w:t xml:space="preserve">Incremental projects above $78 billion could still require additional equity, hybrids or other financing.</w:t>
      </w:r>
    </w:p>
    <w:p>
      <w:pPr>
        <w:pStyle w:val="Compact"/>
        <w:numPr>
          <w:ilvl w:val="0"/>
          <w:numId w:val="1006"/>
        </w:numPr>
      </w:pPr>
      <w:r>
        <w:t xml:space="preserve">Higher-for-longer interest rates increase the importance of regulatory lag and timely cost recovery.</w:t>
      </w:r>
    </w:p>
    <w:p>
      <w:pPr>
        <w:pStyle w:val="FirstParagraph"/>
      </w:pPr>
      <w:r>
        <w:t xml:space="preserve">Management continues to target</w:t>
      </w:r>
      <w:r>
        <w:t xml:space="preserve"> </w:t>
      </w:r>
      <w:r>
        <w:rPr>
          <w:b/>
          <w:bCs/>
        </w:rPr>
        <w:t xml:space="preserve">14%-15% FFO-to-debt</w:t>
      </w:r>
      <w:r>
        <w:t xml:space="preserve">. A clean update would maintain that target without introducing new near-term common-equity needs. (</w:t>
      </w:r>
      <w:hyperlink r:id="rId12">
        <w:r>
          <w:rPr>
            <w:rStyle w:val="Hyperlink"/>
          </w:rPr>
          <w:t xml:space="preserve">docs.aep.com</w:t>
        </w:r>
      </w:hyperlink>
      <w:r>
        <w:t xml:space="preserve">)</w:t>
      </w:r>
    </w:p>
    <w:bookmarkEnd w:id="18"/>
    <w:bookmarkStart w:id="19" w:name="X98b762a2d5a5066aa8ad1ef5e46894be5b3eeb0"/>
    <w:p>
      <w:pPr>
        <w:pStyle w:val="Heading2"/>
      </w:pPr>
      <w:r>
        <w:t xml:space="preserve">The Wyoming fuel-cell milestone could be the most important project update</w:t>
      </w:r>
    </w:p>
    <w:p>
      <w:pPr>
        <w:pStyle w:val="FirstParagraph"/>
      </w:pPr>
      <w:r>
        <w:t xml:space="preserve">AEP’s proposed Wyoming fuel-cell project was expected to satisfy key offtake conditions during Q2. The project is one of the largest pieces of the more-than-$10-billion incremental capital pipeline. (</w:t>
      </w:r>
      <w:hyperlink r:id="rId12">
        <w:r>
          <w:rPr>
            <w:rStyle w:val="Hyperlink"/>
          </w:rPr>
          <w:t xml:space="preserve">docs.aep.com</w:t>
        </w:r>
      </w:hyperlink>
      <w:r>
        <w:t xml:space="preserve">)</w:t>
      </w:r>
    </w:p>
    <w:p>
      <w:pPr>
        <w:pStyle w:val="BodyText"/>
      </w:pPr>
      <w:r>
        <w:t xml:space="preserve">On the Q1 call, management explained that if the initial location did not proceed, the hyperscale customer had another six months to find an alternative U.S. site. If no site were found by year-end, AEP could put the fuel cells back to the customer at approximately 110% of cost.</w:t>
      </w:r>
    </w:p>
    <w:p>
      <w:pPr>
        <w:pStyle w:val="BodyText"/>
      </w:pPr>
      <w:r>
        <w:t xml:space="preserve">The Q2 call should therefore answer:</w:t>
      </w:r>
    </w:p>
    <w:p>
      <w:pPr>
        <w:pStyle w:val="Compact"/>
        <w:numPr>
          <w:ilvl w:val="0"/>
          <w:numId w:val="1007"/>
        </w:numPr>
      </w:pPr>
      <w:r>
        <w:t xml:space="preserve">Were the required conditions satisfied by June 30?</w:t>
      </w:r>
    </w:p>
    <w:p>
      <w:pPr>
        <w:pStyle w:val="Compact"/>
        <w:numPr>
          <w:ilvl w:val="0"/>
          <w:numId w:val="1007"/>
        </w:numPr>
      </w:pPr>
      <w:r>
        <w:t xml:space="preserve">Is the original Wyoming site moving forward?</w:t>
      </w:r>
    </w:p>
    <w:p>
      <w:pPr>
        <w:pStyle w:val="Compact"/>
        <w:numPr>
          <w:ilvl w:val="0"/>
          <w:numId w:val="1007"/>
        </w:numPr>
      </w:pPr>
      <w:r>
        <w:t xml:space="preserve">Has the alternative-site period begun?</w:t>
      </w:r>
    </w:p>
    <w:p>
      <w:pPr>
        <w:pStyle w:val="Compact"/>
        <w:numPr>
          <w:ilvl w:val="0"/>
          <w:numId w:val="1007"/>
        </w:numPr>
      </w:pPr>
      <w:r>
        <w:t xml:space="preserve">Is the project’s expected cost, return or timing unchanged?</w:t>
      </w:r>
    </w:p>
    <w:p>
      <w:pPr>
        <w:pStyle w:val="Compact"/>
        <w:numPr>
          <w:ilvl w:val="0"/>
          <w:numId w:val="1007"/>
        </w:numPr>
      </w:pPr>
      <w:r>
        <w:t xml:space="preserve">Can any portion enter the formal capital plan before the Q3 capital update?</w:t>
      </w:r>
    </w:p>
    <w:p>
      <w:pPr>
        <w:pStyle w:val="FirstParagraph"/>
      </w:pPr>
      <w:r>
        <w:t xml:space="preserve">A clear go-ahead would de-risk a meaningful investment opportunity. A delay may be financially protected, but it would weaken confidence in the speed at which announced data-center projects become rate-base investment.</w:t>
      </w:r>
    </w:p>
    <w:bookmarkEnd w:id="19"/>
    <w:bookmarkStart w:id="24" w:name="near-term-earnings-drivers-to-monitor"/>
    <w:p>
      <w:pPr>
        <w:pStyle w:val="Heading2"/>
      </w:pPr>
      <w:r>
        <w:t xml:space="preserve">Near-term earnings drivers to monitor</w:t>
      </w:r>
    </w:p>
    <w:bookmarkStart w:id="20" w:name="Xf363817e59fd6781ca5941c9b4b48b4e038a84c"/>
    <w:p>
      <w:pPr>
        <w:pStyle w:val="Heading3"/>
      </w:pPr>
      <w:r>
        <w:t xml:space="preserve">1. Core regulated earnings</w:t>
      </w:r>
    </w:p>
    <w:p>
      <w:pPr>
        <w:pStyle w:val="FirstParagraph"/>
      </w:pPr>
      <w:r>
        <w:t xml:space="preserve">Q1 strength came from constructive rate outcomes and normalized sales growth in the vertically integrated and transmission-and-distribution utilities. Regulated earned ROE improved to 9.3%, with management targeting approximately 9.5% by 2030. (</w:t>
      </w:r>
      <w:hyperlink r:id="rId12">
        <w:r>
          <w:rPr>
            <w:rStyle w:val="Hyperlink"/>
          </w:rPr>
          <w:t xml:space="preserve">docs.aep.com</w:t>
        </w:r>
      </w:hyperlink>
      <w:r>
        <w:t xml:space="preserve">)</w:t>
      </w:r>
    </w:p>
    <w:p>
      <w:pPr>
        <w:pStyle w:val="BodyText"/>
      </w:pPr>
      <w:r>
        <w:t xml:space="preserve">AEP should show continued benefits from rate changes in Ohio, West Virginia, Arkansas and other jurisdictions. Any increase in regulatory lag would be a concern given the capital-spending acceleration.</w:t>
      </w:r>
    </w:p>
    <w:bookmarkEnd w:id="20"/>
    <w:bookmarkStart w:id="21" w:name="X24f18f95fa490c60b7c6c4d8a63c26ed442a82f"/>
    <w:p>
      <w:pPr>
        <w:pStyle w:val="Heading3"/>
      </w:pPr>
      <w:r>
        <w:t xml:space="preserve">2. Commercial and industrial demand</w:t>
      </w:r>
    </w:p>
    <w:p>
      <w:pPr>
        <w:pStyle w:val="FirstParagraph"/>
      </w:pPr>
      <w:r>
        <w:t xml:space="preserve">In Q1, total commercial and industrial sales rose 13.6%, while associated non-fuel revenue increased 15.5%. Minimum-demand provisions provide some protection if data-center customer ramps are delayed. (</w:t>
      </w:r>
      <w:hyperlink r:id="rId12">
        <w:r>
          <w:rPr>
            <w:rStyle w:val="Hyperlink"/>
          </w:rPr>
          <w:t xml:space="preserve">docs.aep.com</w:t>
        </w:r>
      </w:hyperlink>
      <w:r>
        <w:t xml:space="preserve">)</w:t>
      </w:r>
    </w:p>
    <w:p>
      <w:pPr>
        <w:pStyle w:val="BodyText"/>
      </w:pPr>
      <w:r>
        <w:t xml:space="preserve">Investors should distinguish between:</w:t>
      </w:r>
    </w:p>
    <w:p>
      <w:pPr>
        <w:pStyle w:val="Compact"/>
        <w:numPr>
          <w:ilvl w:val="0"/>
          <w:numId w:val="1008"/>
        </w:numPr>
      </w:pPr>
      <w:r>
        <w:t xml:space="preserve">Actual billed data-center consumption</w:t>
      </w:r>
    </w:p>
    <w:p>
      <w:pPr>
        <w:pStyle w:val="Compact"/>
        <w:numPr>
          <w:ilvl w:val="0"/>
          <w:numId w:val="1008"/>
        </w:numPr>
      </w:pPr>
      <w:r>
        <w:t xml:space="preserve">Minimum-demand revenue</w:t>
      </w:r>
    </w:p>
    <w:p>
      <w:pPr>
        <w:pStyle w:val="Compact"/>
        <w:numPr>
          <w:ilvl w:val="0"/>
          <w:numId w:val="1008"/>
        </w:numPr>
      </w:pPr>
      <w:r>
        <w:t xml:space="preserve">Contracted future load that has not yet begun generating revenue</w:t>
      </w:r>
    </w:p>
    <w:bookmarkEnd w:id="21"/>
    <w:bookmarkStart w:id="22" w:name="X1706a128023dab539a341e6aaac53eadf685edf"/>
    <w:p>
      <w:pPr>
        <w:pStyle w:val="Heading3"/>
      </w:pPr>
      <w:r>
        <w:t xml:space="preserve">3. Transmission Holdco costs</w:t>
      </w:r>
    </w:p>
    <w:p>
      <w:pPr>
        <w:pStyle w:val="FirstParagraph"/>
      </w:pPr>
      <w:r>
        <w:t xml:space="preserve">Transmission Holdco underperformed in Q1 because of storm restoration, property taxes and other expenses. Management expected the segment to become favorable year over year by the end of 2026.</w:t>
      </w:r>
    </w:p>
    <w:p>
      <w:pPr>
        <w:pStyle w:val="BodyText"/>
      </w:pPr>
      <w:r>
        <w:t xml:space="preserve">Q2 should show whether that expected recovery remains on track. Persistent expense pressure would matter because transmission represents more than 40% of the capital plan and over half of expected 2026 operating earnings.</w:t>
      </w:r>
    </w:p>
    <w:bookmarkEnd w:id="22"/>
    <w:bookmarkStart w:id="23" w:name="X7b5cfa8eb4bfa38111ee2774067a0ad5ea56426"/>
    <w:p>
      <w:pPr>
        <w:pStyle w:val="Heading3"/>
      </w:pPr>
      <w:r>
        <w:t xml:space="preserve">4. Corporate interest and O&amp;M</w:t>
      </w:r>
    </w:p>
    <w:p>
      <w:pPr>
        <w:pStyle w:val="FirstParagraph"/>
      </w:pPr>
      <w:r>
        <w:t xml:space="preserve">Q1 Corporate and Other results were pressured by higher O&amp;M, interest expense and tax timing. Management expected the tax effect to reverse during the year. Investors should watch for:</w:t>
      </w:r>
    </w:p>
    <w:p>
      <w:pPr>
        <w:pStyle w:val="Compact"/>
        <w:numPr>
          <w:ilvl w:val="0"/>
          <w:numId w:val="1009"/>
        </w:numPr>
      </w:pPr>
      <w:r>
        <w:t xml:space="preserve">Confirmation of that reversal</w:t>
      </w:r>
    </w:p>
    <w:p>
      <w:pPr>
        <w:pStyle w:val="Compact"/>
        <w:numPr>
          <w:ilvl w:val="0"/>
          <w:numId w:val="1009"/>
        </w:numPr>
      </w:pPr>
      <w:r>
        <w:t xml:space="preserve">Updated borrowing-cost assumptions</w:t>
      </w:r>
    </w:p>
    <w:p>
      <w:pPr>
        <w:pStyle w:val="Compact"/>
        <w:numPr>
          <w:ilvl w:val="0"/>
          <w:numId w:val="1009"/>
        </w:numPr>
      </w:pPr>
      <w:r>
        <w:t xml:space="preserve">Reliability and storm spending</w:t>
      </w:r>
    </w:p>
    <w:p>
      <w:pPr>
        <w:pStyle w:val="Compact"/>
        <w:numPr>
          <w:ilvl w:val="0"/>
          <w:numId w:val="1009"/>
        </w:numPr>
      </w:pPr>
      <w:r>
        <w:t xml:space="preserve">Whether O&amp;M remains controlled while the construction program expands</w:t>
      </w:r>
    </w:p>
    <w:bookmarkEnd w:id="23"/>
    <w:bookmarkEnd w:id="24"/>
    <w:bookmarkStart w:id="25" w:name="regulatory-and-affordability-test"/>
    <w:p>
      <w:pPr>
        <w:pStyle w:val="Heading2"/>
      </w:pPr>
      <w:r>
        <w:t xml:space="preserve">Regulatory and affordability test</w:t>
      </w:r>
    </w:p>
    <w:p>
      <w:pPr>
        <w:pStyle w:val="FirstParagraph"/>
      </w:pPr>
      <w:r>
        <w:t xml:space="preserve">AEP’s growth case depends on persuading regulators and politicians that data centers benefit—not burden—existing customers.</w:t>
      </w:r>
    </w:p>
    <w:p>
      <w:pPr>
        <w:pStyle w:val="BodyText"/>
      </w:pPr>
      <w:r>
        <w:t xml:space="preserve">As of June, AEP had filed large-load tariffs in eight states, with five approved and three pending. These tariffs generally include long contract periods, minimum-demand charges, termination payments and collateral requirements. AEP estimates current large-load agreements could generate as much as</w:t>
      </w:r>
      <w:r>
        <w:t xml:space="preserve"> </w:t>
      </w:r>
      <w:r>
        <w:rPr>
          <w:b/>
          <w:bCs/>
        </w:rPr>
        <w:t xml:space="preserve">$16 billion of cost offsets</w:t>
      </w:r>
      <w:r>
        <w:t xml:space="preserve"> </w:t>
      </w:r>
      <w:r>
        <w:t xml:space="preserve">for existing customers over their contractual lives. (</w:t>
      </w:r>
      <w:hyperlink r:id="rId12">
        <w:r>
          <w:rPr>
            <w:rStyle w:val="Hyperlink"/>
          </w:rPr>
          <w:t xml:space="preserve">docs.aep.com</w:t>
        </w:r>
      </w:hyperlink>
      <w:r>
        <w:t xml:space="preserve">)</w:t>
      </w:r>
    </w:p>
    <w:p>
      <w:pPr>
        <w:pStyle w:val="BodyText"/>
      </w:pPr>
      <w:r>
        <w:t xml:space="preserve">The report should update:</w:t>
      </w:r>
    </w:p>
    <w:p>
      <w:pPr>
        <w:pStyle w:val="Compact"/>
        <w:numPr>
          <w:ilvl w:val="0"/>
          <w:numId w:val="1010"/>
        </w:numPr>
      </w:pPr>
      <w:r>
        <w:t xml:space="preserve">Pending tariff approvals in Michigan, Oklahoma and Texas</w:t>
      </w:r>
    </w:p>
    <w:p>
      <w:pPr>
        <w:pStyle w:val="Compact"/>
        <w:numPr>
          <w:ilvl w:val="0"/>
          <w:numId w:val="1010"/>
        </w:numPr>
      </w:pPr>
      <w:r>
        <w:t xml:space="preserve">Progress converting SPP load to take-or-pay agreements</w:t>
      </w:r>
    </w:p>
    <w:p>
      <w:pPr>
        <w:pStyle w:val="Compact"/>
        <w:numPr>
          <w:ilvl w:val="0"/>
          <w:numId w:val="1010"/>
        </w:numPr>
      </w:pPr>
      <w:r>
        <w:t xml:space="preserve">Expected residential bill growth</w:t>
      </w:r>
    </w:p>
    <w:p>
      <w:pPr>
        <w:pStyle w:val="Compact"/>
        <w:numPr>
          <w:ilvl w:val="0"/>
          <w:numId w:val="1010"/>
        </w:numPr>
      </w:pPr>
      <w:r>
        <w:t xml:space="preserve">Any changes in capital-cost allocation between data centers and other customers</w:t>
      </w:r>
    </w:p>
    <w:p>
      <w:pPr>
        <w:pStyle w:val="FirstParagraph"/>
      </w:pPr>
      <w:r>
        <w:t xml:space="preserve">The July federal loan agreement in Texas strengthens the affordability narrative, but investors should still expect greater political scrutiny as electricity bills and data-center development become more prominent public issues.</w:t>
      </w:r>
    </w:p>
    <w:bookmarkEnd w:id="25"/>
    <w:bookmarkStart w:id="26" w:name="stock-setup"/>
    <w:p>
      <w:pPr>
        <w:pStyle w:val="Heading2"/>
      </w:pPr>
      <w:r>
        <w:t xml:space="preserve">Stock setup</w:t>
      </w:r>
    </w:p>
    <w:p>
      <w:pPr>
        <w:pStyle w:val="FirstParagraph"/>
      </w:pPr>
      <w:r>
        <w:t xml:space="preserve">AEP closed July 29 at approximately</w:t>
      </w:r>
      <w:r>
        <w:t xml:space="preserve"> </w:t>
      </w:r>
      <w:r>
        <w:rPr>
          <w:b/>
          <w:bCs/>
        </w:rPr>
        <w:t xml:space="preserve">$130.14</w:t>
      </w:r>
      <w:r>
        <w:t xml:space="preserve">, up about</w:t>
      </w:r>
      <w:r>
        <w:t xml:space="preserve"> </w:t>
      </w:r>
      <w:r>
        <w:rPr>
          <w:b/>
          <w:bCs/>
        </w:rPr>
        <w:t xml:space="preserve">12.4% year to date</w:t>
      </w:r>
      <w:r>
        <w:t xml:space="preserve">, versus roughly 4.2% for the Utilities Select Sector SPDR Fund. The shares are about 6% below their late-June high but still trade at approximately</w:t>
      </w:r>
      <w:r>
        <w:t xml:space="preserve"> </w:t>
      </w:r>
      <w:r>
        <w:rPr>
          <w:b/>
          <w:bCs/>
        </w:rPr>
        <w:t xml:space="preserve">20.7 times</w:t>
      </w:r>
      <w:r>
        <w:t xml:space="preserve"> </w:t>
      </w:r>
      <w:r>
        <w:t xml:space="preserve">the midpoint of 2026 operating EPS guidance.</w:t>
      </w:r>
    </w:p>
    <w:p>
      <w:pPr>
        <w:pStyle w:val="BodyText"/>
      </w:pPr>
      <w:r>
        <w:t xml:space="preserve">That suggests the market already assigns considerable value to the long-term data-center and transmission story. A routine EPS beat may not be enough to drive a strong reaction if the project and load-timing commentary disappoints.</w:t>
      </w:r>
    </w:p>
    <w:bookmarkEnd w:id="26"/>
    <w:bookmarkStart w:id="30" w:name="scenario-framework"/>
    <w:p>
      <w:pPr>
        <w:pStyle w:val="Heading2"/>
      </w:pPr>
      <w:r>
        <w:t xml:space="preserve">Scenario framework</w:t>
      </w:r>
    </w:p>
    <w:bookmarkStart w:id="27" w:name="bullish-report"/>
    <w:p>
      <w:pPr>
        <w:pStyle w:val="Heading3"/>
      </w:pPr>
      <w:r>
        <w:t xml:space="preserve">Bullish report</w:t>
      </w:r>
    </w:p>
    <w:p>
      <w:pPr>
        <w:pStyle w:val="Compact"/>
        <w:numPr>
          <w:ilvl w:val="0"/>
          <w:numId w:val="1011"/>
        </w:numPr>
      </w:pPr>
      <w:r>
        <w:t xml:space="preserve">EPS above approximately $1.52</w:t>
      </w:r>
    </w:p>
    <w:p>
      <w:pPr>
        <w:pStyle w:val="Compact"/>
        <w:numPr>
          <w:ilvl w:val="0"/>
          <w:numId w:val="1011"/>
        </w:numPr>
      </w:pPr>
      <w:r>
        <w:t xml:space="preserve">Guidance reaffirmed with confidence around the midpoint or upper half</w:t>
      </w:r>
    </w:p>
    <w:p>
      <w:pPr>
        <w:pStyle w:val="Compact"/>
        <w:numPr>
          <w:ilvl w:val="0"/>
          <w:numId w:val="1011"/>
        </w:numPr>
      </w:pPr>
      <w:r>
        <w:t xml:space="preserve">Additional contracted load with strong ESA or take-or-pay protection</w:t>
      </w:r>
    </w:p>
    <w:p>
      <w:pPr>
        <w:pStyle w:val="Compact"/>
        <w:numPr>
          <w:ilvl w:val="0"/>
          <w:numId w:val="1011"/>
        </w:numPr>
      </w:pPr>
      <w:r>
        <w:t xml:space="preserve">Improved visibility into Texas energization</w:t>
      </w:r>
    </w:p>
    <w:p>
      <w:pPr>
        <w:pStyle w:val="Compact"/>
        <w:numPr>
          <w:ilvl w:val="0"/>
          <w:numId w:val="1011"/>
        </w:numPr>
      </w:pPr>
      <w:r>
        <w:t xml:space="preserve">Wyoming fuel-cell conditions satisfied</w:t>
      </w:r>
    </w:p>
    <w:p>
      <w:pPr>
        <w:pStyle w:val="Compact"/>
        <w:numPr>
          <w:ilvl w:val="0"/>
          <w:numId w:val="1011"/>
        </w:numPr>
      </w:pPr>
      <w:r>
        <w:t xml:space="preserve">No additional equity required for the current plan</w:t>
      </w:r>
    </w:p>
    <w:p>
      <w:pPr>
        <w:pStyle w:val="Compact"/>
        <w:numPr>
          <w:ilvl w:val="0"/>
          <w:numId w:val="1011"/>
        </w:numPr>
      </w:pPr>
      <w:r>
        <w:t xml:space="preserve">Positive transmission, generation or regulatory milestones</w:t>
      </w:r>
    </w:p>
    <w:bookmarkEnd w:id="27"/>
    <w:bookmarkStart w:id="28" w:name="neutral-report"/>
    <w:p>
      <w:pPr>
        <w:pStyle w:val="Heading3"/>
      </w:pPr>
      <w:r>
        <w:t xml:space="preserve">Neutral report</w:t>
      </w:r>
    </w:p>
    <w:p>
      <w:pPr>
        <w:pStyle w:val="Compact"/>
        <w:numPr>
          <w:ilvl w:val="0"/>
          <w:numId w:val="1012"/>
        </w:numPr>
      </w:pPr>
      <w:r>
        <w:t xml:space="preserve">EPS near consensus</w:t>
      </w:r>
    </w:p>
    <w:p>
      <w:pPr>
        <w:pStyle w:val="Compact"/>
        <w:numPr>
          <w:ilvl w:val="0"/>
          <w:numId w:val="1012"/>
        </w:numPr>
      </w:pPr>
      <w:r>
        <w:t xml:space="preserve">Full-year guidance simply reaffirmed</w:t>
      </w:r>
    </w:p>
    <w:p>
      <w:pPr>
        <w:pStyle w:val="Compact"/>
        <w:numPr>
          <w:ilvl w:val="0"/>
          <w:numId w:val="1012"/>
        </w:numPr>
      </w:pPr>
      <w:r>
        <w:t xml:space="preserve">63 GW load outlook largely unchanged</w:t>
      </w:r>
    </w:p>
    <w:p>
      <w:pPr>
        <w:pStyle w:val="Compact"/>
        <w:numPr>
          <w:ilvl w:val="0"/>
          <w:numId w:val="1012"/>
        </w:numPr>
      </w:pPr>
      <w:r>
        <w:t xml:space="preserve">Texas and Wyoming updates remain preliminary</w:t>
      </w:r>
    </w:p>
    <w:p>
      <w:pPr>
        <w:pStyle w:val="Compact"/>
        <w:numPr>
          <w:ilvl w:val="0"/>
          <w:numId w:val="1012"/>
        </w:numPr>
      </w:pPr>
      <w:r>
        <w:t xml:space="preserve">Management defers major capital-plan changes until Q3</w:t>
      </w:r>
    </w:p>
    <w:bookmarkEnd w:id="28"/>
    <w:bookmarkStart w:id="29" w:name="bearish-report"/>
    <w:p>
      <w:pPr>
        <w:pStyle w:val="Heading3"/>
      </w:pPr>
      <w:r>
        <w:t xml:space="preserve">Bearish report</w:t>
      </w:r>
    </w:p>
    <w:p>
      <w:pPr>
        <w:pStyle w:val="Compact"/>
        <w:numPr>
          <w:ilvl w:val="0"/>
          <w:numId w:val="1013"/>
        </w:numPr>
      </w:pPr>
      <w:r>
        <w:t xml:space="preserve">EPS miss driven by O&amp;M, storms, interest expense or weaker segment performance</w:t>
      </w:r>
    </w:p>
    <w:p>
      <w:pPr>
        <w:pStyle w:val="Compact"/>
        <w:numPr>
          <w:ilvl w:val="0"/>
          <w:numId w:val="1013"/>
        </w:numPr>
      </w:pPr>
      <w:r>
        <w:t xml:space="preserve">Management emphasizes the lower end of guidance</w:t>
      </w:r>
    </w:p>
    <w:p>
      <w:pPr>
        <w:pStyle w:val="Compact"/>
        <w:numPr>
          <w:ilvl w:val="0"/>
          <w:numId w:val="1013"/>
        </w:numPr>
      </w:pPr>
      <w:r>
        <w:t xml:space="preserve">Texas interconnection dates move later</w:t>
      </w:r>
    </w:p>
    <w:p>
      <w:pPr>
        <w:pStyle w:val="Compact"/>
        <w:numPr>
          <w:ilvl w:val="0"/>
          <w:numId w:val="1013"/>
        </w:numPr>
      </w:pPr>
      <w:r>
        <w:t xml:space="preserve">Wyoming enters the alternative-site process without a clear timetable</w:t>
      </w:r>
    </w:p>
    <w:p>
      <w:pPr>
        <w:pStyle w:val="Compact"/>
        <w:numPr>
          <w:ilvl w:val="0"/>
          <w:numId w:val="1013"/>
        </w:numPr>
      </w:pPr>
      <w:r>
        <w:t xml:space="preserve">Incremental capital requires more equity than expected</w:t>
      </w:r>
    </w:p>
    <w:p>
      <w:pPr>
        <w:pStyle w:val="Compact"/>
        <w:numPr>
          <w:ilvl w:val="0"/>
          <w:numId w:val="1013"/>
        </w:numPr>
      </w:pPr>
      <w:r>
        <w:t xml:space="preserve">Regulatory or affordability concerns slow project approvals</w:t>
      </w:r>
    </w:p>
    <w:bookmarkEnd w:id="29"/>
    <w:bookmarkEnd w:id="30"/>
    <w:bookmarkStart w:id="31" w:name="bottom-line"/>
    <w:p>
      <w:pPr>
        <w:pStyle w:val="Heading2"/>
      </w:pPr>
      <w:r>
        <w:t xml:space="preserve">Bottom line</w:t>
      </w:r>
    </w:p>
    <w:p>
      <w:pPr>
        <w:pStyle w:val="FirstParagraph"/>
      </w:pPr>
      <w:r>
        <w:rPr>
          <w:b/>
          <w:bCs/>
        </w:rPr>
        <w:t xml:space="preserve">The most important metric tomorrow is not Q2 EPS—it is the degree to which AEP de-risks the conversion of 63 GW of contracted demand into regulated rate base.</w:t>
      </w:r>
    </w:p>
    <w:p>
      <w:pPr>
        <w:pStyle w:val="BodyText"/>
      </w:pPr>
      <w:r>
        <w:t xml:space="preserve">The base case is a consensus-like quarter and reaffirmed</w:t>
      </w:r>
      <w:r>
        <w:t xml:space="preserve"> </w:t>
      </w:r>
      <m:oMath>
        <m:r>
          <m:t>6.15</m:t>
        </m:r>
        <m:r>
          <m:rPr>
            <m:sty m:val="p"/>
          </m:rPr>
          <m:t>−</m:t>
        </m:r>
      </m:oMath>
      <w:r>
        <w:t xml:space="preserve">6.45 guidance. The potential upside comes from better Texas timing, firmer contractual protection, progress on Wyoming and Piketon, and evidence that federal financing and forward equity can support the buildout without further near-term balance-sheet pressure.</w:t>
      </w:r>
    </w:p>
    <w:p>
      <w:pPr>
        <w:pStyle w:val="BodyText"/>
      </w:pPr>
      <w:r>
        <w:t xml:space="preserve">Given the stock’s year-to-date outperformance and roughly 21-times guidance-midpoint valuation, investors should demand tangible execution milestones rather than another increase in the headline interconnection queue.</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docs.aep.com/docs/investors/eventspresentationsandwebcasts/June_2026_Investor_Handout.pdf" TargetMode="External" /><Relationship Type="http://schemas.openxmlformats.org/officeDocument/2006/relationships/hyperlink" Id="rId9" Target="https://www.aep.com/investors/?utm_source=openai" TargetMode="External" /><Relationship Type="http://schemas.openxmlformats.org/officeDocument/2006/relationships/hyperlink" Id="rId11" Target="https://www.aep.com/news/stories/view/11917/?utm_source=openai" TargetMode="External" /><Relationship Type="http://schemas.openxmlformats.org/officeDocument/2006/relationships/hyperlink" Id="rId17" Target="https://www.aep.com/news/stories/view/11936/?utm_source=openai" TargetMode="External" /><Relationship Type="http://schemas.openxmlformats.org/officeDocument/2006/relationships/hyperlink" Id="rId15" Target="https://www.aep.com/news/stories/view/12063/?utm_source=openai" TargetMode="External" /><Relationship Type="http://schemas.openxmlformats.org/officeDocument/2006/relationships/hyperlink" Id="rId10" Target="https://www.investing.com/equities/american-electric-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docs.aep.com/docs/investors/eventspresentationsandwebcasts/June_2026_Investor_Handout.pdf" TargetMode="External" /><Relationship Type="http://schemas.openxmlformats.org/officeDocument/2006/relationships/hyperlink" Id="rId9" Target="https://www.aep.com/investors/?utm_source=openai" TargetMode="External" /><Relationship Type="http://schemas.openxmlformats.org/officeDocument/2006/relationships/hyperlink" Id="rId11" Target="https://www.aep.com/news/stories/view/11917/?utm_source=openai" TargetMode="External" /><Relationship Type="http://schemas.openxmlformats.org/officeDocument/2006/relationships/hyperlink" Id="rId17" Target="https://www.aep.com/news/stories/view/11936/?utm_source=openai" TargetMode="External" /><Relationship Type="http://schemas.openxmlformats.org/officeDocument/2006/relationships/hyperlink" Id="rId15" Target="https://www.aep.com/news/stories/view/12063/?utm_source=openai" TargetMode="External" /><Relationship Type="http://schemas.openxmlformats.org/officeDocument/2006/relationships/hyperlink" Id="rId10" Target="https://www.investing.com/equities/american-electric-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file>