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aep-2q26-earnings-preview"/>
    <w:p>
      <w:pPr>
        <w:pStyle w:val="Heading1"/>
      </w:pPr>
      <w:r>
        <w:t xml:space="preserve">AEP 2Q26 Earnings Preview</w:t>
      </w:r>
    </w:p>
    <w:p>
      <w:pPr>
        <w:pStyle w:val="FirstParagraph"/>
      </w:pPr>
      <w:r>
        <w:rPr>
          <w:b/>
          <w:bCs/>
        </w:rPr>
        <w:t xml:space="preserve">Earnings date:</w:t>
      </w:r>
      <w:r>
        <w:t xml:space="preserve"> </w:t>
      </w:r>
      <w:r>
        <w:t xml:space="preserve">Thursday, July 30, 2026</w:t>
      </w:r>
      <w:r>
        <w:br/>
      </w:r>
      <w:r>
        <w:rPr>
          <w:b/>
          <w:bCs/>
        </w:rPr>
        <w:t xml:space="preserve">Event:</w:t>
      </w:r>
      <w:r>
        <w:t xml:space="preserve"> </w:t>
      </w:r>
      <w:r>
        <w:t xml:space="preserve">2026Q2 Earnings Call</w:t>
      </w:r>
    </w:p>
    <w:bookmarkStart w:id="9" w:name="bottom-line"/>
    <w:p>
      <w:pPr>
        <w:pStyle w:val="Heading2"/>
      </w:pPr>
      <w:r>
        <w:t xml:space="preserve">Bottom line</w:t>
      </w:r>
    </w:p>
    <w:p>
      <w:pPr>
        <w:pStyle w:val="FirstParagraph"/>
      </w:pPr>
      <w:r>
        <w:t xml:space="preserve">AEP enters 2Q earnings with a strong long-term growth narrative already well established: accelerating large-load demand, a</w:t>
      </w:r>
      <w:r>
        <w:t xml:space="preserve"> </w:t>
      </w:r>
      <w:r>
        <w:rPr>
          <w:b/>
          <w:bCs/>
        </w:rPr>
        <w:t xml:space="preserve">$78 billion 2026–2030 capital plan</w:t>
      </w:r>
      <w:r>
        <w:t xml:space="preserve">, and management’s expectation for</w:t>
      </w:r>
      <w:r>
        <w:t xml:space="preserve"> </w:t>
      </w:r>
      <w:r>
        <w:rPr>
          <w:b/>
          <w:bCs/>
        </w:rPr>
        <w:t xml:space="preserve">greater than 9% operating-EPS CAGR through 2030</w:t>
      </w:r>
      <w:r>
        <w:t xml:space="preserve">. The immediate debate is less about the reported quarter and more about whether AEP can convert its unusually large data-center and industrial-load pipeline into approved, financeable and on-time transmission and generation investment—without eroding customer affordability or pressuring the balance sheet.</w:t>
      </w:r>
    </w:p>
    <w:p>
      <w:pPr>
        <w:pStyle w:val="BodyText"/>
      </w:pPr>
      <w:r>
        <w:t xml:space="preserve">The stock has already reflected some of that optimism. AEP closed July 29 at</w:t>
      </w:r>
      <w:r>
        <w:t xml:space="preserve"> </w:t>
      </w:r>
      <w:r>
        <w:rPr>
          <w:b/>
          <w:bCs/>
        </w:rPr>
        <w:t xml:space="preserve">$130.14</w:t>
      </w:r>
      <w:r>
        <w:t xml:space="preserve">, up approximately</w:t>
      </w:r>
      <w:r>
        <w:t xml:space="preserve"> </w:t>
      </w:r>
      <w:r>
        <w:rPr>
          <w:b/>
          <w:bCs/>
        </w:rPr>
        <w:t xml:space="preserve">12.9%</w:t>
      </w:r>
      <w:r>
        <w:t xml:space="preserve"> </w:t>
      </w:r>
      <w:r>
        <w:t xml:space="preserve">from $115.31 at year-end 2025. A clean guidance reaffirmation may therefore be necessary but not sufficient; investors are likely looking for tangible progress on Texas timing, regulatory recovery, major generation projects, and the forthcoming capital-plan refresh.</w:t>
      </w:r>
    </w:p>
    <w:bookmarkEnd w:id="9"/>
    <w:bookmarkStart w:id="10" w:name="X4b4a73636b08cc1fb2977a28ac02b13e699beca"/>
    <w:p>
      <w:pPr>
        <w:pStyle w:val="Heading2"/>
      </w:pPr>
      <w:r>
        <w:t xml:space="preserve">The setup: AEP has raised the bar for execution</w:t>
      </w:r>
    </w:p>
    <w:p>
      <w:pPr>
        <w:pStyle w:val="FirstParagraph"/>
      </w:pPr>
      <w:r>
        <w:t xml:space="preserve">In 1Q26, AEP reported operating EPS of</w:t>
      </w:r>
      <w:r>
        <w:t xml:space="preserve"> </w:t>
      </w:r>
      <w:r>
        <w:rPr>
          <w:b/>
          <w:bCs/>
        </w:rPr>
        <w:t xml:space="preserve">$1.64</w:t>
      </w:r>
      <w:r>
        <w:t xml:space="preserve">, up from</w:t>
      </w:r>
      <w:r>
        <w:t xml:space="preserve"> </w:t>
      </w:r>
      <m:oMath>
        <m:r>
          <m:t>1.54</m:t>
        </m:r>
        <m:r>
          <m:t>i</m:t>
        </m:r>
        <m:r>
          <m:t>n</m:t>
        </m:r>
        <m:r>
          <m:t>1</m:t>
        </m:r>
        <m:r>
          <m:t>Q</m:t>
        </m:r>
        <m:r>
          <m:t>25</m:t>
        </m:r>
        <m:r>
          <m:rPr>
            <m:sty m:val="p"/>
          </m:rPr>
          <m:t>,</m:t>
        </m:r>
        <m:r>
          <m:t>a</m:t>
        </m:r>
        <m:r>
          <m:t>n</m:t>
        </m:r>
        <m:r>
          <m:t>d</m:t>
        </m:r>
        <m:r>
          <m:t>r</m:t>
        </m:r>
        <m:r>
          <m:t>e</m:t>
        </m:r>
        <m:r>
          <m:t>a</m:t>
        </m:r>
        <m:r>
          <m:t>f</m:t>
        </m:r>
        <m:r>
          <m:t>f</m:t>
        </m:r>
        <m:r>
          <m:t>i</m:t>
        </m:r>
        <m:r>
          <m:t>r</m:t>
        </m:r>
        <m:r>
          <m:t>m</m:t>
        </m:r>
        <m:r>
          <m:t>e</m:t>
        </m:r>
        <m:r>
          <m:t>d</m:t>
        </m:r>
        <m:r>
          <m:t>2026</m:t>
        </m:r>
        <m:r>
          <m:t>o</m:t>
        </m:r>
        <m:r>
          <m:t>p</m:t>
        </m:r>
        <m:r>
          <m:t>e</m:t>
        </m:r>
        <m:r>
          <m:t>r</m:t>
        </m:r>
        <m:r>
          <m:t>a</m:t>
        </m:r>
        <m:r>
          <m:t>t</m:t>
        </m:r>
        <m:r>
          <m:t>i</m:t>
        </m:r>
        <m:r>
          <m:t>n</m:t>
        </m:r>
        <m:r>
          <m:t>g</m:t>
        </m:r>
        <m:r>
          <m:rPr>
            <m:sty m:val="p"/>
          </m:rPr>
          <m:t>−</m:t>
        </m:r>
        <m:r>
          <m:t>E</m:t>
        </m:r>
        <m:r>
          <m:t>P</m:t>
        </m:r>
        <m:r>
          <m:t>S</m:t>
        </m:r>
        <m:r>
          <m:t>g</m:t>
        </m:r>
        <m:r>
          <m:t>u</m:t>
        </m:r>
        <m:r>
          <m:t>i</m:t>
        </m:r>
        <m:r>
          <m:t>d</m:t>
        </m:r>
        <m:r>
          <m:t>a</m:t>
        </m:r>
        <m:r>
          <m:t>n</m:t>
        </m:r>
        <m:r>
          <m:t>c</m:t>
        </m:r>
        <m:r>
          <m:t>e</m:t>
        </m:r>
        <m:r>
          <m:t>o</m:t>
        </m:r>
        <m:r>
          <m:t>f</m:t>
        </m:r>
        <m:r>
          <m:rPr>
            <m:sty m:val="p"/>
          </m:rPr>
          <m:t>*</m:t>
        </m:r>
        <m:r>
          <m:rPr>
            <m:sty m:val="p"/>
          </m:rPr>
          <m:t>*</m:t>
        </m:r>
      </m:oMath>
      <w:r>
        <w:t xml:space="preserve">6.15–$6.45**. The underlying drivers were favorable rate outcomes, transmission investment, and sharply higher commercial and industrial demand—partly offset by higher interest expense, O&amp;M, and weather-related residential softness.</w:t>
      </w:r>
    </w:p>
    <w:p>
      <w:pPr>
        <w:pStyle w:val="BodyText"/>
      </w:pPr>
      <w:r>
        <w:t xml:space="preserve">The strategic update was more important than the quarterly EPS result:</w:t>
      </w:r>
    </w:p>
    <w:p>
      <w:pPr>
        <w:pStyle w:val="Compact"/>
        <w:numPr>
          <w:ilvl w:val="0"/>
          <w:numId w:val="1001"/>
        </w:numPr>
      </w:pPr>
      <w:r>
        <w:rPr>
          <w:b/>
          <w:bCs/>
        </w:rPr>
        <w:t xml:space="preserve">Contracted incremental load rose to 63 GW by 2030</w:t>
      </w:r>
      <w:r>
        <w:t xml:space="preserve">, up from 56 GW at the prior update. Nearly 90% was described as data-center-related load.</w:t>
      </w:r>
    </w:p>
    <w:p>
      <w:pPr>
        <w:pStyle w:val="Compact"/>
        <w:numPr>
          <w:ilvl w:val="0"/>
          <w:numId w:val="1001"/>
        </w:numPr>
      </w:pPr>
      <w:r>
        <w:rPr>
          <w:b/>
          <w:bCs/>
        </w:rPr>
        <w:t xml:space="preserve">Texas represented 41 GW</w:t>
      </w:r>
      <w:r>
        <w:t xml:space="preserve"> </w:t>
      </w:r>
      <w:r>
        <w:t xml:space="preserve">of contracted load, while Texas and Ohio together accounted for the bulk of the total opportunity.</w:t>
      </w:r>
    </w:p>
    <w:p>
      <w:pPr>
        <w:pStyle w:val="Compact"/>
        <w:numPr>
          <w:ilvl w:val="0"/>
          <w:numId w:val="1001"/>
        </w:numPr>
      </w:pPr>
      <w:r>
        <w:t xml:space="preserve">The five-year capital plan increased by</w:t>
      </w:r>
      <w:r>
        <w:t xml:space="preserve"> </w:t>
      </w:r>
      <w:r>
        <w:rPr>
          <w:b/>
          <w:bCs/>
        </w:rPr>
        <w:t xml:space="preserve">$6 billion to $78 billion</w:t>
      </w:r>
      <w:r>
        <w:t xml:space="preserve">, including incremental PJM/SPP transmission awards and Indiana/Michigan gas generation.</w:t>
      </w:r>
    </w:p>
    <w:p>
      <w:pPr>
        <w:pStyle w:val="Compact"/>
        <w:numPr>
          <w:ilvl w:val="0"/>
          <w:numId w:val="1001"/>
        </w:numPr>
      </w:pPr>
      <w:r>
        <w:t xml:space="preserve">AEP expects nearly</w:t>
      </w:r>
      <w:r>
        <w:t xml:space="preserve"> </w:t>
      </w:r>
      <w:r>
        <w:rPr>
          <w:b/>
          <w:bCs/>
        </w:rPr>
        <w:t xml:space="preserve">11% rate-base CAGR</w:t>
      </w:r>
      <w:r>
        <w:t xml:space="preserve"> </w:t>
      </w:r>
      <w:r>
        <w:t xml:space="preserve">over the plan period and upgraded its long-term operating-EPS-CAGR outlook to</w:t>
      </w:r>
      <w:r>
        <w:t xml:space="preserve"> </w:t>
      </w:r>
      <w:r>
        <w:rPr>
          <w:b/>
          <w:bCs/>
        </w:rPr>
        <w:t xml:space="preserve">greater than 9%</w:t>
      </w:r>
      <w:r>
        <w:t xml:space="preserve">.</w:t>
      </w:r>
    </w:p>
    <w:p>
      <w:pPr>
        <w:pStyle w:val="Compact"/>
        <w:numPr>
          <w:ilvl w:val="0"/>
          <w:numId w:val="1001"/>
        </w:numPr>
      </w:pPr>
      <w:r>
        <w:t xml:space="preserve">Management identified an additional</w:t>
      </w:r>
      <w:r>
        <w:t xml:space="preserve"> </w:t>
      </w:r>
      <w:r>
        <w:rPr>
          <w:b/>
          <w:bCs/>
        </w:rPr>
        <w:t xml:space="preserve">more than $10 billion</w:t>
      </w:r>
      <w:r>
        <w:t xml:space="preserve"> </w:t>
      </w:r>
      <w:r>
        <w:t xml:space="preserve">of possible investment beyond the formal plan, including the Piketon transmission project, Wyoming fuel-cell project and incremental generation opportunities.</w:t>
      </w:r>
    </w:p>
    <w:p>
      <w:pPr>
        <w:pStyle w:val="FirstParagraph"/>
      </w:pPr>
      <w:r>
        <w:t xml:space="preserve">This is a premium growth profile for a regulated utility. But it requires increasingly complex execution across ERCOT, PJM, SPP, state commissions, equipment suppliers, and capital markets.</w:t>
      </w:r>
    </w:p>
    <w:bookmarkEnd w:id="10"/>
    <w:bookmarkStart w:id="14" w:name="what-matters-most-in-the-2q-report"/>
    <w:p>
      <w:pPr>
        <w:pStyle w:val="Heading2"/>
      </w:pPr>
      <w:r>
        <w:t xml:space="preserve">What matters most in the 2Q report</w:t>
      </w:r>
    </w:p>
    <w:bookmarkStart w:id="11" w:name="X98b83c3517270799c72df56c54cb3accd781f13"/>
    <w:p>
      <w:pPr>
        <w:pStyle w:val="Heading3"/>
      </w:pPr>
      <w:r>
        <w:t xml:space="preserve">1. 2026 guidance: reaffirmation is the minimum expectation</w:t>
      </w:r>
    </w:p>
    <w:p>
      <w:pPr>
        <w:pStyle w:val="FirstParagraph"/>
      </w:pPr>
      <w:r>
        <w:t xml:space="preserve">The central near-term question is whether AEP maintains its</w:t>
      </w:r>
      <w:r>
        <w:t xml:space="preserve"> </w:t>
      </w:r>
      <m:oMath>
        <m:r>
          <m:t>6.15</m:t>
        </m:r>
        <m:r>
          <m:rPr>
            <m:sty m:val="p"/>
          </m:rPr>
          <m:t>–</m:t>
        </m:r>
      </m:oMath>
      <w:r>
        <w:rPr>
          <w:b/>
          <w:bCs/>
        </w:rPr>
        <w:t xml:space="preserve">6.45 operating-EPS</w:t>
      </w:r>
      <w:r>
        <w:t xml:space="preserve"> </w:t>
      </w:r>
      <w:r>
        <w:t xml:space="preserve">range. A reaffirmation would support the view that first-quarter results and regulatory momentum remain on track, though investors will look for confidence in the back-half earnings cadence.</w:t>
      </w:r>
    </w:p>
    <w:p>
      <w:pPr>
        <w:pStyle w:val="BodyText"/>
      </w:pPr>
      <w:r>
        <w:t xml:space="preserve">Items to monitor in the bridge:</w:t>
      </w:r>
    </w:p>
    <w:p>
      <w:pPr>
        <w:pStyle w:val="Compact"/>
        <w:numPr>
          <w:ilvl w:val="0"/>
          <w:numId w:val="1002"/>
        </w:numPr>
      </w:pPr>
      <w:r>
        <w:rPr>
          <w:b/>
          <w:bCs/>
        </w:rPr>
        <w:t xml:space="preserve">Vertically integrated utilities:</w:t>
      </w:r>
      <w:r>
        <w:t xml:space="preserve"> </w:t>
      </w:r>
      <w:r>
        <w:t xml:space="preserve">Rate implementation, customer-load growth, fuel and purchased-power recovery, and weather normalization.</w:t>
      </w:r>
    </w:p>
    <w:p>
      <w:pPr>
        <w:pStyle w:val="Compact"/>
        <w:numPr>
          <w:ilvl w:val="0"/>
          <w:numId w:val="1002"/>
        </w:numPr>
      </w:pPr>
      <w:r>
        <w:rPr>
          <w:b/>
          <w:bCs/>
        </w:rPr>
        <w:t xml:space="preserve">Transmission and distribution:</w:t>
      </w:r>
      <w:r>
        <w:t xml:space="preserve"> </w:t>
      </w:r>
      <w:r>
        <w:t xml:space="preserve">Progress in Texas and Ohio investment programs, including the timing of recovery mechanisms.</w:t>
      </w:r>
    </w:p>
    <w:p>
      <w:pPr>
        <w:pStyle w:val="Compact"/>
        <w:numPr>
          <w:ilvl w:val="0"/>
          <w:numId w:val="1002"/>
        </w:numPr>
      </w:pPr>
      <w:r>
        <w:rPr>
          <w:b/>
          <w:bCs/>
        </w:rPr>
        <w:t xml:space="preserve">AEP Transmission Holdco:</w:t>
      </w:r>
      <w:r>
        <w:t xml:space="preserve"> </w:t>
      </w:r>
      <w:r>
        <w:t xml:space="preserve">1Q earnings declined year over year despite rising transmission revenue, as higher O&amp;M, property taxes, interest expense and noncontrolling interests outweighed investment growth. Management had expected the segment to become favorable year over year by the end of 2026; the 2Q trajectory matters.</w:t>
      </w:r>
    </w:p>
    <w:p>
      <w:pPr>
        <w:pStyle w:val="Compact"/>
        <w:numPr>
          <w:ilvl w:val="0"/>
          <w:numId w:val="1002"/>
        </w:numPr>
      </w:pPr>
      <w:r>
        <w:rPr>
          <w:b/>
          <w:bCs/>
        </w:rPr>
        <w:t xml:space="preserve">Corporate and other:</w:t>
      </w:r>
      <w:r>
        <w:t xml:space="preserve"> </w:t>
      </w:r>
      <w:r>
        <w:t xml:space="preserve">This was a major 1Q drag, driven by higher O&amp;M, interest expense and tax timing. Evidence of reversal would improve confidence in full-year guidance.</w:t>
      </w:r>
    </w:p>
    <w:bookmarkEnd w:id="11"/>
    <w:bookmarkStart w:id="12" w:name="X716bd6d494227dddbbc13c1b2514d74c74ae2fe"/>
    <w:p>
      <w:pPr>
        <w:pStyle w:val="Heading3"/>
      </w:pPr>
      <w:r>
        <w:t xml:space="preserve">2. Texas: demand is real; timing is the key uncertainty</w:t>
      </w:r>
    </w:p>
    <w:p>
      <w:pPr>
        <w:pStyle w:val="FirstParagraph"/>
      </w:pPr>
      <w:r>
        <w:t xml:space="preserve">Texas is the largest single source of upside and execution risk. AEP Texas had</w:t>
      </w:r>
      <w:r>
        <w:t xml:space="preserve"> </w:t>
      </w:r>
      <w:r>
        <w:rPr>
          <w:b/>
          <w:bCs/>
        </w:rPr>
        <w:t xml:space="preserve">41 GW of executed load agreements</w:t>
      </w:r>
      <w:r>
        <w:t xml:space="preserve"> </w:t>
      </w:r>
      <w:r>
        <w:t xml:space="preserve">at the 1Q update, yet management emphasized that the pace of actual interconnection depends heavily on available generation and the implementation of Texas Senate Bill 6.</w:t>
      </w:r>
    </w:p>
    <w:p>
      <w:pPr>
        <w:pStyle w:val="BodyText"/>
      </w:pPr>
      <w:r>
        <w:t xml:space="preserve">Investors should listen for:</w:t>
      </w:r>
    </w:p>
    <w:p>
      <w:pPr>
        <w:pStyle w:val="Compact"/>
        <w:numPr>
          <w:ilvl w:val="0"/>
          <w:numId w:val="1003"/>
        </w:numPr>
      </w:pPr>
      <w:r>
        <w:t xml:space="preserve">Timing clarity from ERCOT and Senate Bill 6 implementation.</w:t>
      </w:r>
    </w:p>
    <w:p>
      <w:pPr>
        <w:pStyle w:val="Compact"/>
        <w:numPr>
          <w:ilvl w:val="0"/>
          <w:numId w:val="1003"/>
        </w:numPr>
      </w:pPr>
      <w:r>
        <w:t xml:space="preserve">Whether the 41 GW contracted-load figure has increased, stabilized, or been further qualified.</w:t>
      </w:r>
    </w:p>
    <w:p>
      <w:pPr>
        <w:pStyle w:val="Compact"/>
        <w:numPr>
          <w:ilvl w:val="0"/>
          <w:numId w:val="1003"/>
        </w:numPr>
      </w:pPr>
      <w:r>
        <w:t xml:space="preserve">Updated estimates of incremental transmission and distribution spending necessary to serve the Texas pipeline.</w:t>
      </w:r>
    </w:p>
    <w:p>
      <w:pPr>
        <w:pStyle w:val="Compact"/>
        <w:numPr>
          <w:ilvl w:val="0"/>
          <w:numId w:val="1003"/>
        </w:numPr>
      </w:pPr>
      <w:r>
        <w:t xml:space="preserve">Progress on the</w:t>
      </w:r>
      <w:r>
        <w:t xml:space="preserve"> </w:t>
      </w:r>
      <w:r>
        <w:rPr>
          <w:b/>
          <w:bCs/>
        </w:rPr>
        <w:t xml:space="preserve">Unified Tracker Mechanism</w:t>
      </w:r>
      <w:r>
        <w:t xml:space="preserve"> </w:t>
      </w:r>
      <w:r>
        <w:t xml:space="preserve">proceeding. At 1Q, AEP Texas had deferred roughly</w:t>
      </w:r>
      <w:r>
        <w:t xml:space="preserve"> </w:t>
      </w:r>
      <w:r>
        <w:rPr>
          <w:b/>
          <w:bCs/>
        </w:rPr>
        <w:t xml:space="preserve">$80 million</w:t>
      </w:r>
      <w:r>
        <w:t xml:space="preserve"> </w:t>
      </w:r>
      <w:r>
        <w:t xml:space="preserve">of eligible costs under the mechanism, and the final commission outcome remained an important recovery risk.</w:t>
      </w:r>
    </w:p>
    <w:p>
      <w:pPr>
        <w:pStyle w:val="Compact"/>
        <w:numPr>
          <w:ilvl w:val="0"/>
          <w:numId w:val="1003"/>
        </w:numPr>
      </w:pPr>
      <w:r>
        <w:t xml:space="preserve">Any commentary on large-load customer contributions, minimum-demand protections and affordability protections for incumbent residential customers.</w:t>
      </w:r>
    </w:p>
    <w:p>
      <w:pPr>
        <w:pStyle w:val="FirstParagraph"/>
      </w:pPr>
      <w:r>
        <w:t xml:space="preserve">The core question is not simply whether data centers want power; it is whether AEP can build and earn on the required infrastructure on a timetable that customers, regulators and grid operators will accept.</w:t>
      </w:r>
    </w:p>
    <w:bookmarkEnd w:id="12"/>
    <w:bookmarkStart w:id="13" w:name="X4908d7996f3d7271439669901db1d0d2a809127"/>
    <w:p>
      <w:pPr>
        <w:pStyle w:val="Heading3"/>
      </w:pPr>
      <w:r>
        <w:t xml:space="preserve">3. Capital-plan upside versus funding needs</w:t>
      </w:r>
    </w:p>
    <w:p>
      <w:pPr>
        <w:pStyle w:val="FirstParagraph"/>
      </w:pPr>
      <w:r>
        <w:t xml:space="preserve">AEP’s opportunity set is large, but its financing plan is now a more material part of the investment case.</w:t>
      </w:r>
    </w:p>
    <w:p>
      <w:pPr>
        <w:pStyle w:val="BodyText"/>
      </w:pPr>
      <w:r>
        <w:t xml:space="preserve">In May, AEP entered forward-sale agreements covering</w:t>
      </w:r>
      <w:r>
        <w:t xml:space="preserve"> </w:t>
      </w:r>
      <w:r>
        <w:rPr>
          <w:b/>
          <w:bCs/>
        </w:rPr>
        <w:t xml:space="preserve">23.5 million shares</w:t>
      </w:r>
      <w:r>
        <w:t xml:space="preserve"> </w:t>
      </w:r>
      <w:r>
        <w:t xml:space="preserve">at an initial forward price of</w:t>
      </w:r>
      <w:r>
        <w:t xml:space="preserve"> </w:t>
      </w:r>
      <m:oMath>
        <m:r>
          <m:t>124.968</m:t>
        </m:r>
        <m:r>
          <m:t>p</m:t>
        </m:r>
        <m:r>
          <m:t>e</m:t>
        </m:r>
        <m:r>
          <m:t>r</m:t>
        </m:r>
        <m:r>
          <m:t>s</m:t>
        </m:r>
        <m:r>
          <m:t>h</m:t>
        </m:r>
        <m:r>
          <m:t>a</m:t>
        </m:r>
        <m:r>
          <m:t>r</m:t>
        </m:r>
        <m:r>
          <m:t>e</m:t>
        </m:r>
        <m:r>
          <m:rPr>
            <m:sty m:val="p"/>
          </m:rPr>
          <m:t>*</m:t>
        </m:r>
        <m:r>
          <m:rPr>
            <m:sty m:val="p"/>
          </m:rPr>
          <m:t>*</m:t>
        </m:r>
        <m:r>
          <m:rPr>
            <m:sty m:val="p"/>
          </m:rPr>
          <m:t>,</m:t>
        </m:r>
        <m:r>
          <m:t>i</m:t>
        </m:r>
        <m:r>
          <m:t>m</m:t>
        </m:r>
        <m:r>
          <m:t>p</m:t>
        </m:r>
        <m:r>
          <m:t>l</m:t>
        </m:r>
        <m:r>
          <m:t>y</m:t>
        </m:r>
        <m:r>
          <m:t>i</m:t>
        </m:r>
        <m:r>
          <m:t>n</m:t>
        </m:r>
        <m:r>
          <m:t>g</m:t>
        </m:r>
        <m:r>
          <m:t>a</m:t>
        </m:r>
        <m:r>
          <m:t>p</m:t>
        </m:r>
        <m:r>
          <m:t>p</m:t>
        </m:r>
        <m:r>
          <m:t>r</m:t>
        </m:r>
        <m:r>
          <m:t>o</m:t>
        </m:r>
        <m:r>
          <m:t>x</m:t>
        </m:r>
        <m:r>
          <m:t>i</m:t>
        </m:r>
        <m:r>
          <m:t>m</m:t>
        </m:r>
        <m:r>
          <m:t>a</m:t>
        </m:r>
        <m:r>
          <m:t>t</m:t>
        </m:r>
        <m:r>
          <m:t>e</m:t>
        </m:r>
        <m:r>
          <m:t>l</m:t>
        </m:r>
        <m:r>
          <m:t>y</m:t>
        </m:r>
        <m:r>
          <m:rPr>
            <m:sty m:val="p"/>
          </m:rPr>
          <m:t>*</m:t>
        </m:r>
        <m:r>
          <m:rPr>
            <m:sty m:val="p"/>
          </m:rPr>
          <m:t>*</m:t>
        </m:r>
      </m:oMath>
      <w:r>
        <w:rPr>
          <w:b/>
          <w:bCs/>
        </w:rPr>
        <w:t xml:space="preserve">2.94 billion</w:t>
      </w:r>
      <w:r>
        <w:t xml:space="preserve"> </w:t>
      </w:r>
      <w:r>
        <w:t xml:space="preserve">of gross proceeds if physically settled. That share count equals roughly</w:t>
      </w:r>
      <w:r>
        <w:t xml:space="preserve"> </w:t>
      </w:r>
      <w:r>
        <w:rPr>
          <w:b/>
          <w:bCs/>
        </w:rPr>
        <w:t xml:space="preserve">4.3%</w:t>
      </w:r>
      <w:r>
        <w:t xml:space="preserve"> </w:t>
      </w:r>
      <w:r>
        <w:t xml:space="preserve">of March 31 shares outstanding. Settlement is expected by May 31, 2028.</w:t>
      </w:r>
    </w:p>
    <w:p>
      <w:pPr>
        <w:pStyle w:val="BodyText"/>
      </w:pPr>
      <w:r>
        <w:t xml:space="preserve">This equity raise materially supports the balance sheet and capital plan, but it also clarifies the trade-off: more capital investment and a potentially stronger rate-base trajectory in exchange for future dilution.</w:t>
      </w:r>
    </w:p>
    <w:p>
      <w:pPr>
        <w:pStyle w:val="BodyText"/>
      </w:pPr>
      <w:r>
        <w:t xml:space="preserve">Key questions:</w:t>
      </w:r>
    </w:p>
    <w:p>
      <w:pPr>
        <w:pStyle w:val="Compact"/>
        <w:numPr>
          <w:ilvl w:val="0"/>
          <w:numId w:val="1004"/>
        </w:numPr>
      </w:pPr>
      <w:r>
        <w:t xml:space="preserve">Does management alter its 2026–2030 equity, debt, hybrid or structured-financing assumptions following the forward sale?</w:t>
      </w:r>
    </w:p>
    <w:p>
      <w:pPr>
        <w:pStyle w:val="Compact"/>
        <w:numPr>
          <w:ilvl w:val="0"/>
          <w:numId w:val="1004"/>
        </w:numPr>
      </w:pPr>
      <w:r>
        <w:t xml:space="preserve">Is the incremental</w:t>
      </w:r>
      <w:r>
        <w:t xml:space="preserve"> </w:t>
      </w:r>
      <w:r>
        <w:rPr>
          <w:b/>
          <w:bCs/>
        </w:rPr>
        <w:t xml:space="preserve">$10+ billion</w:t>
      </w:r>
      <w:r>
        <w:t xml:space="preserve"> </w:t>
      </w:r>
      <w:r>
        <w:t xml:space="preserve">opportunity pipeline likely to be incorporated into the formal plan at the 3Q update?</w:t>
      </w:r>
    </w:p>
    <w:p>
      <w:pPr>
        <w:pStyle w:val="Compact"/>
        <w:numPr>
          <w:ilvl w:val="0"/>
          <w:numId w:val="1004"/>
        </w:numPr>
      </w:pPr>
      <w:r>
        <w:t xml:space="preserve">What equity content would accompany incremental transmission and generation projects?</w:t>
      </w:r>
    </w:p>
    <w:p>
      <w:pPr>
        <w:pStyle w:val="Compact"/>
        <w:numPr>
          <w:ilvl w:val="0"/>
          <w:numId w:val="1004"/>
        </w:numPr>
      </w:pPr>
      <w:r>
        <w:t xml:space="preserve">Can AEP maintain its stated FFO-to-debt targets while funding accelerating spend?</w:t>
      </w:r>
    </w:p>
    <w:p>
      <w:pPr>
        <w:pStyle w:val="FirstParagraph"/>
      </w:pPr>
      <w:r>
        <w:t xml:space="preserve">At 1Q, AEP reported S&amp;P FFO/debt of</w:t>
      </w:r>
      <w:r>
        <w:t xml:space="preserve"> </w:t>
      </w:r>
      <w:r>
        <w:rPr>
          <w:b/>
          <w:bCs/>
        </w:rPr>
        <w:t xml:space="preserve">14.7%</w:t>
      </w:r>
      <w:r>
        <w:t xml:space="preserve"> </w:t>
      </w:r>
      <w:r>
        <w:t xml:space="preserve">and Moody’s FFO/debt of</w:t>
      </w:r>
      <w:r>
        <w:t xml:space="preserve"> </w:t>
      </w:r>
      <w:r>
        <w:rPr>
          <w:b/>
          <w:bCs/>
        </w:rPr>
        <w:t xml:space="preserve">13.9%</w:t>
      </w:r>
      <w:r>
        <w:t xml:space="preserve">, both above the company’s cited 13% downgrade threshold. That leaves reasonable headroom, but sustained capital-plan expansion will keep financing discipline in focus.</w:t>
      </w:r>
    </w:p>
    <w:bookmarkEnd w:id="13"/>
    <w:bookmarkEnd w:id="14"/>
    <w:bookmarkStart w:id="18" w:name="project-and-regulatory-checkpoints"/>
    <w:p>
      <w:pPr>
        <w:pStyle w:val="Heading2"/>
      </w:pPr>
      <w:r>
        <w:t xml:space="preserve">Project and regulatory checkpoints</w:t>
      </w:r>
    </w:p>
    <w:bookmarkStart w:id="15" w:name="wyoming-fuel-cell-project"/>
    <w:p>
      <w:pPr>
        <w:pStyle w:val="Heading3"/>
      </w:pPr>
      <w:r>
        <w:t xml:space="preserve">Wyoming fuel-cell project</w:t>
      </w:r>
    </w:p>
    <w:p>
      <w:pPr>
        <w:pStyle w:val="FirstParagraph"/>
      </w:pPr>
      <w:r>
        <w:t xml:space="preserve">AEP’s unregulated subsidiary agreed to acquire approximately</w:t>
      </w:r>
      <w:r>
        <w:t xml:space="preserve"> </w:t>
      </w:r>
      <w:r>
        <w:rPr>
          <w:b/>
          <w:bCs/>
        </w:rPr>
        <w:t xml:space="preserve">$2.65 billion</w:t>
      </w:r>
      <w:r>
        <w:t xml:space="preserve"> </w:t>
      </w:r>
      <w:r>
        <w:t xml:space="preserve">of solid-oxide fuel cells for a Wyoming project with a 20-year offtake agreement. At the 1Q call, management expected outstanding conditions to be resolved by the end of June; if they were not, the customer retained a further six-month period to identify an alternative location. AEP indicated it is contractually protected, including the ability to sell the fuel cells to the hyperscale customer at cost plus roughly 10% under specified conditions.</w:t>
      </w:r>
    </w:p>
    <w:p>
      <w:pPr>
        <w:pStyle w:val="BodyText"/>
      </w:pPr>
      <w:r>
        <w:t xml:space="preserve">The 2Q report should provide a clear status update. A resolution would validate AEP’s ability to offer bridging power solutions for hyperscale customers. Continued uncertainty would not necessarily impair economics, but it could reduce confidence in project timing and the pace at which “line-of-sight” investments convert to formal capital.</w:t>
      </w:r>
    </w:p>
    <w:bookmarkEnd w:id="15"/>
    <w:bookmarkStart w:id="16" w:name="pjm-and-spp-interconnection-constraints"/>
    <w:p>
      <w:pPr>
        <w:pStyle w:val="Heading3"/>
      </w:pPr>
      <w:r>
        <w:t xml:space="preserve">PJM and SPP interconnection constraints</w:t>
      </w:r>
    </w:p>
    <w:p>
      <w:pPr>
        <w:pStyle w:val="FirstParagraph"/>
      </w:pPr>
      <w:r>
        <w:t xml:space="preserve">Management’s 1Q commentary on PJM was unusually direct: AEP expressed frustration with the speed of connecting generation to load and said it was assessing a range of alternatives, while not stating an intention to leave PJM. This remains a strategically important risk because much of AEP’s high-growth opportunity depends on more generation being interconnected quickly.</w:t>
      </w:r>
    </w:p>
    <w:p>
      <w:pPr>
        <w:pStyle w:val="BodyText"/>
      </w:pPr>
      <w:r>
        <w:t xml:space="preserve">Watch for developments on:</w:t>
      </w:r>
    </w:p>
    <w:p>
      <w:pPr>
        <w:pStyle w:val="Compact"/>
        <w:numPr>
          <w:ilvl w:val="0"/>
          <w:numId w:val="1005"/>
        </w:numPr>
      </w:pPr>
      <w:r>
        <w:t xml:space="preserve">PJM’s process for connecting new generation and serving large loads.</w:t>
      </w:r>
    </w:p>
    <w:p>
      <w:pPr>
        <w:pStyle w:val="Compact"/>
        <w:numPr>
          <w:ilvl w:val="0"/>
          <w:numId w:val="1005"/>
        </w:numPr>
      </w:pPr>
      <w:r>
        <w:t xml:space="preserve">Potential participation in reliability-backstop or bilateral-generation structures.</w:t>
      </w:r>
    </w:p>
    <w:p>
      <w:pPr>
        <w:pStyle w:val="Compact"/>
        <w:numPr>
          <w:ilvl w:val="0"/>
          <w:numId w:val="1005"/>
        </w:numPr>
      </w:pPr>
      <w:r>
        <w:t xml:space="preserve">AEP’s evaluation of alternative arrangements in PJM and SPP.</w:t>
      </w:r>
    </w:p>
    <w:p>
      <w:pPr>
        <w:pStyle w:val="Compact"/>
        <w:numPr>
          <w:ilvl w:val="0"/>
          <w:numId w:val="1005"/>
        </w:numPr>
      </w:pPr>
      <w:r>
        <w:t xml:space="preserve">Whether interconnection delays affect the timing, rather than the ultimate size, of AEP’s capital opportunity.</w:t>
      </w:r>
    </w:p>
    <w:bookmarkEnd w:id="16"/>
    <w:bookmarkStart w:id="17" w:name="state-regulatory-performance"/>
    <w:p>
      <w:pPr>
        <w:pStyle w:val="Heading3"/>
      </w:pPr>
      <w:r>
        <w:t xml:space="preserve">State regulatory performance</w:t>
      </w:r>
    </w:p>
    <w:p>
      <w:pPr>
        <w:pStyle w:val="FirstParagraph"/>
      </w:pPr>
      <w:r>
        <w:t xml:space="preserve">AEP’s recent regulatory outcomes have generally been constructive, including favorable ROE or rate decisions in Ohio, West Virginia, Arkansas and Kentucky. The next areas to watch include:</w:t>
      </w:r>
    </w:p>
    <w:p>
      <w:pPr>
        <w:pStyle w:val="Compact"/>
        <w:numPr>
          <w:ilvl w:val="0"/>
          <w:numId w:val="1006"/>
        </w:numPr>
      </w:pPr>
      <w:r>
        <w:rPr>
          <w:b/>
          <w:bCs/>
        </w:rPr>
        <w:t xml:space="preserve">SWEPCo Texas base rate case:</w:t>
      </w:r>
      <w:r>
        <w:t xml:space="preserve"> </w:t>
      </w:r>
      <w:r>
        <w:t xml:space="preserve">$95 million requested annual revenue increase and a 10.75% requested ROE.</w:t>
      </w:r>
    </w:p>
    <w:p>
      <w:pPr>
        <w:pStyle w:val="Compact"/>
        <w:numPr>
          <w:ilvl w:val="0"/>
          <w:numId w:val="1006"/>
        </w:numPr>
      </w:pPr>
      <w:r>
        <w:rPr>
          <w:b/>
          <w:bCs/>
        </w:rPr>
        <w:t xml:space="preserve">PSO Oklahoma base rate case:</w:t>
      </w:r>
      <w:r>
        <w:t xml:space="preserve"> </w:t>
      </w:r>
      <w:r>
        <w:t xml:space="preserve">$299 million requested annual revenue increase and a 10.5% requested ROE.</w:t>
      </w:r>
    </w:p>
    <w:p>
      <w:pPr>
        <w:pStyle w:val="Compact"/>
        <w:numPr>
          <w:ilvl w:val="0"/>
          <w:numId w:val="1006"/>
        </w:numPr>
      </w:pPr>
      <w:r>
        <w:rPr>
          <w:b/>
          <w:bCs/>
        </w:rPr>
        <w:t xml:space="preserve">Indiana generation approvals:</w:t>
      </w:r>
      <w:r>
        <w:t xml:space="preserve"> </w:t>
      </w:r>
      <w:r>
        <w:t xml:space="preserve">The Big Sandy acquisition and Sycamore Riverside project are important to serving future I&amp;M load growth.</w:t>
      </w:r>
    </w:p>
    <w:p>
      <w:pPr>
        <w:pStyle w:val="Compact"/>
        <w:numPr>
          <w:ilvl w:val="0"/>
          <w:numId w:val="1006"/>
        </w:numPr>
      </w:pPr>
      <w:r>
        <w:rPr>
          <w:b/>
          <w:bCs/>
        </w:rPr>
        <w:t xml:space="preserve">Large-load tariffs:</w:t>
      </w:r>
      <w:r>
        <w:t xml:space="preserve"> </w:t>
      </w:r>
      <w:r>
        <w:t xml:space="preserve">AEP had filed or advanced large-load structures across multiple states, intended to use long-term contracts, customer credit support and take-or-pay demand provisions to protect existing customers.</w:t>
      </w:r>
    </w:p>
    <w:p>
      <w:pPr>
        <w:pStyle w:val="FirstParagraph"/>
      </w:pPr>
      <w:r>
        <w:t xml:space="preserve">Constructive outcomes are essential to the bull case because they determine whether AEP’s investment growth becomes rate-base and earnings growth rather than regulatory lag or customer-affordability pressure.</w:t>
      </w:r>
    </w:p>
    <w:bookmarkEnd w:id="17"/>
    <w:bookmarkEnd w:id="18"/>
    <w:bookmarkStart w:id="19" w:name="potential-upside-catalysts"/>
    <w:p>
      <w:pPr>
        <w:pStyle w:val="Heading2"/>
      </w:pPr>
      <w:r>
        <w:t xml:space="preserve">Potential upside catalysts</w:t>
      </w:r>
    </w:p>
    <w:p>
      <w:pPr>
        <w:numPr>
          <w:ilvl w:val="0"/>
          <w:numId w:val="1007"/>
        </w:numPr>
      </w:pPr>
      <w:r>
        <w:rPr>
          <w:b/>
          <w:bCs/>
        </w:rPr>
        <w:t xml:space="preserve">Guidance reaffirmation with improved confidence in the upper half of the range.</w:t>
      </w:r>
      <w:r>
        <w:br/>
      </w:r>
      <w:r>
        <w:t xml:space="preserve">Even without a formal raise, stronger commentary on weather-normalized load, regulated returns and back-half earnings could be positively received.</w:t>
      </w:r>
    </w:p>
    <w:p>
      <w:pPr>
        <w:numPr>
          <w:ilvl w:val="0"/>
          <w:numId w:val="1007"/>
        </w:numPr>
      </w:pPr>
      <w:r>
        <w:rPr>
          <w:b/>
          <w:bCs/>
        </w:rPr>
        <w:t xml:space="preserve">Formal progress on Texas interconnection timing.</w:t>
      </w:r>
      <w:r>
        <w:br/>
      </w:r>
      <w:r>
        <w:t xml:space="preserve">Greater certainty around ERCOT and Senate Bill 6 could help investors assign more value to the 41 GW Texas pipeline.</w:t>
      </w:r>
    </w:p>
    <w:p>
      <w:pPr>
        <w:numPr>
          <w:ilvl w:val="0"/>
          <w:numId w:val="1007"/>
        </w:numPr>
      </w:pPr>
      <w:r>
        <w:rPr>
          <w:b/>
          <w:bCs/>
        </w:rPr>
        <w:t xml:space="preserve">Wyoming project conditions resolved.</w:t>
      </w:r>
      <w:r>
        <w:br/>
      </w:r>
      <w:r>
        <w:t xml:space="preserve">A clean update would validate AEP’s ability to deploy bespoke generation solutions for large-load customers.</w:t>
      </w:r>
    </w:p>
    <w:p>
      <w:pPr>
        <w:numPr>
          <w:ilvl w:val="0"/>
          <w:numId w:val="1007"/>
        </w:numPr>
      </w:pPr>
      <w:r>
        <w:rPr>
          <w:b/>
          <w:bCs/>
        </w:rPr>
        <w:t xml:space="preserve">More capital-plan visibility before the 3Q refresh.</w:t>
      </w:r>
      <w:r>
        <w:br/>
      </w:r>
      <w:r>
        <w:t xml:space="preserve">Investors may reward evidence that the $10+ billion of “line-of-sight” investments can move into the funded plan with acceptable regulatory and financing terms.</w:t>
      </w:r>
    </w:p>
    <w:p>
      <w:pPr>
        <w:numPr>
          <w:ilvl w:val="0"/>
          <w:numId w:val="1007"/>
        </w:numPr>
      </w:pPr>
      <w:r>
        <w:rPr>
          <w:b/>
          <w:bCs/>
        </w:rPr>
        <w:t xml:space="preserve">Transmission earnings inflect positively.</w:t>
      </w:r>
      <w:r>
        <w:br/>
      </w:r>
      <w:r>
        <w:t xml:space="preserve">Confirmation that AEP Transmission Holdco is returning to year-over-year growth would support the thesis that higher near-term expenses are temporary and investment-led revenue growth is intact.</w:t>
      </w:r>
    </w:p>
    <w:bookmarkEnd w:id="19"/>
    <w:bookmarkStart w:id="20" w:name="principal-risks-going-into-the-call"/>
    <w:p>
      <w:pPr>
        <w:pStyle w:val="Heading2"/>
      </w:pPr>
      <w:r>
        <w:t xml:space="preserve">Principal risks going into the call</w:t>
      </w:r>
    </w:p>
    <w:p>
      <w:pPr>
        <w:pStyle w:val="Compact"/>
        <w:numPr>
          <w:ilvl w:val="0"/>
          <w:numId w:val="1008"/>
        </w:numPr>
      </w:pPr>
      <w:r>
        <w:rPr>
          <w:b/>
          <w:bCs/>
        </w:rPr>
        <w:t xml:space="preserve">Execution and timing risk:</w:t>
      </w:r>
      <w:r>
        <w:t xml:space="preserve"> </w:t>
      </w:r>
      <w:r>
        <w:t xml:space="preserve">Contracted load does not automatically translate into in-service assets or rate-base growth. Generation availability, interconnection processes, permitting and equipment schedules remain critical.</w:t>
      </w:r>
    </w:p>
    <w:p>
      <w:pPr>
        <w:pStyle w:val="Compact"/>
        <w:numPr>
          <w:ilvl w:val="0"/>
          <w:numId w:val="1008"/>
        </w:numPr>
      </w:pPr>
      <w:r>
        <w:rPr>
          <w:b/>
          <w:bCs/>
        </w:rPr>
        <w:t xml:space="preserve">Affordability and political risk:</w:t>
      </w:r>
      <w:r>
        <w:t xml:space="preserve"> </w:t>
      </w:r>
      <w:r>
        <w:t xml:space="preserve">The larger the data-center buildout, the greater the scrutiny of whether residential customers are subsidizing new load.</w:t>
      </w:r>
    </w:p>
    <w:p>
      <w:pPr>
        <w:pStyle w:val="Compact"/>
        <w:numPr>
          <w:ilvl w:val="0"/>
          <w:numId w:val="1008"/>
        </w:numPr>
      </w:pPr>
      <w:r>
        <w:rPr>
          <w:b/>
          <w:bCs/>
        </w:rPr>
        <w:t xml:space="preserve">Equity dilution:</w:t>
      </w:r>
      <w:r>
        <w:t xml:space="preserve"> </w:t>
      </w:r>
      <w:r>
        <w:t xml:space="preserve">The May forward sale supports growth but makes per-share value creation, not simply capital-plan growth, the key measure.</w:t>
      </w:r>
    </w:p>
    <w:p>
      <w:pPr>
        <w:pStyle w:val="Compact"/>
        <w:numPr>
          <w:ilvl w:val="0"/>
          <w:numId w:val="1008"/>
        </w:numPr>
      </w:pPr>
      <w:r>
        <w:rPr>
          <w:b/>
          <w:bCs/>
        </w:rPr>
        <w:t xml:space="preserve">Interest expense and balance-sheet pressure:</w:t>
      </w:r>
      <w:r>
        <w:t xml:space="preserve"> </w:t>
      </w:r>
      <w:r>
        <w:t xml:space="preserve">AEP is funding a large construction program with already elevated debt levels.</w:t>
      </w:r>
    </w:p>
    <w:p>
      <w:pPr>
        <w:pStyle w:val="Compact"/>
        <w:numPr>
          <w:ilvl w:val="0"/>
          <w:numId w:val="1008"/>
        </w:numPr>
      </w:pPr>
      <w:r>
        <w:rPr>
          <w:b/>
          <w:bCs/>
        </w:rPr>
        <w:t xml:space="preserve">Regulatory disallowances:</w:t>
      </w:r>
      <w:r>
        <w:t xml:space="preserve"> </w:t>
      </w:r>
      <w:r>
        <w:t xml:space="preserve">The Pirkey plant issue, Texas UTM proceeding and future prudence reviews illustrate that not every cost is guaranteed recovery.</w:t>
      </w:r>
    </w:p>
    <w:p>
      <w:pPr>
        <w:pStyle w:val="Compact"/>
        <w:numPr>
          <w:ilvl w:val="0"/>
          <w:numId w:val="1008"/>
        </w:numPr>
      </w:pPr>
      <w:r>
        <w:rPr>
          <w:b/>
          <w:bCs/>
        </w:rPr>
        <w:t xml:space="preserve">Weather and storm variability:</w:t>
      </w:r>
      <w:r>
        <w:t xml:space="preserve"> </w:t>
      </w:r>
      <w:r>
        <w:t xml:space="preserve">Quarterly utility results can be affected by temperature, storms, restoration expense and timing of recovery.</w:t>
      </w:r>
    </w:p>
    <w:bookmarkEnd w:id="20"/>
    <w:bookmarkStart w:id="21" w:name="investor-take"/>
    <w:p>
      <w:pPr>
        <w:pStyle w:val="Heading2"/>
      </w:pPr>
      <w:r>
        <w:t xml:space="preserve">Investor take</w:t>
      </w:r>
    </w:p>
    <w:p>
      <w:pPr>
        <w:pStyle w:val="FirstParagraph"/>
      </w:pPr>
      <w:r>
        <w:t xml:space="preserve">AEP remains one of the more compelling regulated-utility growth stories heading into 2Q26: it has a differentiated transmission footprint, meaningful exposure to data-center-led load growth, a rapidly expanding capital program, and improving regulatory momentum. The report’s investment significance will hinge on the quality of execution evidence rather than on a modest EPS beat or miss.</w:t>
      </w:r>
    </w:p>
    <w:p>
      <w:pPr>
        <w:pStyle w:val="BodyText"/>
      </w:pPr>
      <w:r>
        <w:rPr>
          <w:b/>
          <w:bCs/>
        </w:rPr>
        <w:t xml:space="preserve">The most constructive outcome:</w:t>
      </w:r>
      <w:r>
        <w:t xml:space="preserve"> </w:t>
      </w:r>
      <w:r>
        <w:t xml:space="preserve">guidance reaffirmed, Texas timing improves, Wyoming advances, transmission performance stabilizes, and management reinforces that its 3Q capital update will incorporate additional projects without materially worsening the funding burden.</w:t>
      </w:r>
    </w:p>
    <w:p>
      <w:pPr>
        <w:pStyle w:val="BodyText"/>
      </w:pPr>
      <w:r>
        <w:rPr>
          <w:b/>
          <w:bCs/>
        </w:rPr>
        <w:t xml:space="preserve">The most concerning outcome:</w:t>
      </w:r>
      <w:r>
        <w:t xml:space="preserve"> </w:t>
      </w:r>
      <w:r>
        <w:t xml:space="preserve">guidance is maintained but accompanied by weaker Texas timing, prolonged fuel-cell uncertainty, rising transmission cost pressure, or a larger-than-expected equity need to support capital growth.</w:t>
      </w:r>
    </w:p>
    <w:bookmarkEnd w:id="21"/>
    <w:bookmarkStart w:id="22" w:name="primary-materials-reviewed"/>
    <w:p>
      <w:pPr>
        <w:pStyle w:val="Heading2"/>
      </w:pPr>
      <w:r>
        <w:t xml:space="preserve">Primary materials reviewed</w:t>
      </w:r>
    </w:p>
    <w:p>
      <w:pPr>
        <w:pStyle w:val="Compact"/>
        <w:numPr>
          <w:ilvl w:val="0"/>
          <w:numId w:val="1009"/>
        </w:numPr>
      </w:pPr>
      <w:r>
        <w:t xml:space="preserve">AEP 1Q26 earnings release and earnings-call transcript — May 5, 2026</w:t>
      </w:r>
    </w:p>
    <w:p>
      <w:pPr>
        <w:pStyle w:val="Compact"/>
        <w:numPr>
          <w:ilvl w:val="0"/>
          <w:numId w:val="1009"/>
        </w:numPr>
      </w:pPr>
      <w:r>
        <w:t xml:space="preserve">AEP 1Q26 Form 10-Q — filed May 5, 2026</w:t>
      </w:r>
    </w:p>
    <w:p>
      <w:pPr>
        <w:pStyle w:val="Compact"/>
        <w:numPr>
          <w:ilvl w:val="0"/>
          <w:numId w:val="1009"/>
        </w:numPr>
      </w:pPr>
      <w:r>
        <w:t xml:space="preserve">AEP forward-sale agreement 8-K — May 14, 2026</w:t>
      </w:r>
    </w:p>
    <w:p>
      <w:pPr>
        <w:pStyle w:val="Compact"/>
        <w:numPr>
          <w:ilvl w:val="0"/>
          <w:numId w:val="1009"/>
        </w:numPr>
      </w:pPr>
      <w:r>
        <w:t xml:space="preserve">AEP share-price history through July 29, 2026</w:t>
      </w:r>
    </w:p>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2026-07-29T18:21:32Z</dcterms:created>
  <dcterms:modified xsi:type="dcterms:W3CDTF">2026-07-29T18:21:32Z</dcterms:modified>
</cp:coreProperties>
</file>

<file path=docProps/custom.xml><?xml version="1.0" encoding="utf-8"?>
<Properties xmlns="http://schemas.openxmlformats.org/officeDocument/2006/custom-properties" xmlns:vt="http://schemas.openxmlformats.org/officeDocument/2006/docPropsVTypes"/>
</file>