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American Electric Power (AEP)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American Electric Power Company, Inc.</w:t>
            </w:r>
          </w:p>
        </w:tc>
      </w:tr>
      <w:tr>
        <w:tc>
          <w:tcPr>
            <w:tcW w:type="dxa" w:w="4320"/>
          </w:tcPr>
          <w:p>
            <w:r>
              <w:rPr>
                <w:rFonts w:ascii="Calibri" w:hAnsi="Calibri"/>
                <w:b/>
                <w:sz w:val="22"/>
              </w:rPr>
              <w:t>Ticker</w:t>
            </w:r>
          </w:p>
        </w:tc>
        <w:tc>
          <w:tcPr>
            <w:tcW w:type="dxa" w:w="4320"/>
          </w:tcPr>
          <w:p>
            <w:r>
              <w:rPr>
                <w:rFonts w:ascii="Calibri" w:hAnsi="Calibri"/>
                <w:sz w:val="22"/>
              </w:rPr>
              <w:t>AEP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Upcoming Earnings Date</w:t>
            </w:r>
          </w:p>
        </w:tc>
        <w:tc>
          <w:tcPr>
            <w:tcW w:type="dxa" w:w="4320"/>
          </w:tcPr>
          <w:p>
            <w:r>
              <w:rPr>
                <w:rFonts w:ascii="Calibri" w:hAnsi="Calibri"/>
                <w:sz w:val="22"/>
              </w:rPr>
              <w:t>~Late July / Early August 2026 (TBC)</w:t>
            </w:r>
          </w:p>
        </w:tc>
      </w:tr>
      <w:tr>
        <w:tc>
          <w:tcPr>
            <w:tcW w:type="dxa" w:w="4320"/>
          </w:tcPr>
          <w:p>
            <w:r>
              <w:rPr>
                <w:rFonts w:ascii="Calibri" w:hAnsi="Calibri"/>
                <w:b/>
                <w:sz w:val="22"/>
              </w:rPr>
              <w:t>Last Earnings</w:t>
            </w:r>
          </w:p>
        </w:tc>
        <w:tc>
          <w:tcPr>
            <w:tcW w:type="dxa" w:w="4320"/>
          </w:tcPr>
          <w:p>
            <w:r>
              <w:rPr>
                <w:rFonts w:ascii="Calibri" w:hAnsi="Calibri"/>
                <w:sz w:val="22"/>
              </w:rPr>
              <w:t>Q1 2026 — reported May 5, 2026</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AEP’s Q2 2026 print is constructive but not euphoric — consensus sits at $1.49 operating EPS, a modest bar given the Q1 beat and reaffirmed full-year guidance, with the biggest swing factor being whether contracted load momentum and capital plan execution commentary can sustain the premium growth narrative.</w:t>
      </w:r>
    </w:p>
    <w:p>
      <w:r>
        <w:rPr>
          <w:rFonts w:ascii="Calibri" w:hAnsi="Calibri"/>
          <w:color w:val="525866"/>
          <w:sz w:val="22"/>
        </w:rPr>
        <w:t xml:space="preserve">Heading into Q2 2026, AEP carries significant positive momentum from a strong Q1 print ($1.64 operating EPS vs. $1.59 consensus) and a capital plan raised to $78B with contracted load now at 63 GW — both well above prior expectations. </w:t>
      </w:r>
      <w:r>
        <w:rPr>
          <w:rFonts w:ascii="Calibri" w:hAnsi="Calibri"/>
          <w:b/>
          <w:color w:val="525866"/>
          <w:sz w:val="22"/>
        </w:rPr>
        <w:t>Consensus for Q2 stands at $1.49 operating EPS</w:t>
      </w:r>
      <w:r>
        <w:rPr>
          <w:rFonts w:ascii="Calibri" w:hAnsi="Calibri"/>
          <w:color w:val="525866"/>
          <w:sz w:val="22"/>
        </w:rPr>
        <w:t xml:space="preserve">, a step-down from Q1 that reflects normal seasonal patterns (Q2 is historically AEP’s softest quarter) and anticipated higher O&amp;M and interest expense, which management flagged on the Q1 call as expected to reverse by year-end. Management’s tone at Q1 was unambiguously bullish — CEO Fehrman described the environment as a “defining period” and raised the long-term EPS CAGR to greater than 9% — and there has been no negative guidance revision since. Estimate revisions have been stable-to-slightly-positive since the Q1 print, with FY2026 consensus at $6.40 and FY2027 at $6.91, both tracking within the reaffirmed $6.15–$6.45 guidance range. </w:t>
      </w:r>
      <w:r>
        <w:rPr>
          <w:rFonts w:ascii="Calibri" w:hAnsi="Calibri"/>
          <w:b/>
          <w:color w:val="525866"/>
          <w:sz w:val="22"/>
        </w:rPr>
        <w:t>The stock has underperformed XLU and the S&amp;P 500 since the Q1 print (AEP -5.6% vs. XLU -3.1% vs. SPY +0.8% indexed)</w:t>
      </w:r>
      <w:r>
        <w:rPr>
          <w:rFonts w:ascii="Calibri" w:hAnsi="Calibri"/>
          <w:color w:val="525866"/>
          <w:sz w:val="22"/>
        </w:rPr>
        <w:t>, suggesting the market has not fully priced in the upgraded growth profile and leaving a relatively undemanding setup. The key wildcard is the PJM/RTO review — any update on AEP’s formal assessment of alternative interconnection structures, or progress on the Piketon 10 GW data center campus, could be the single biggest catalyst in either direction.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modest bar for Q2 — operating EPS of $1.49 is below the prior-year $1.43 on a beat-adjusted basis and reflects known seasonal headwinds. </w:t>
      </w:r>
      <w:r>
        <w:rPr>
          <w:rFonts w:ascii="Calibri" w:hAnsi="Calibri"/>
          <w:b/>
          <w:color w:val="525866"/>
          <w:sz w:val="22"/>
        </w:rPr>
        <w:t>Operating EPS is the primary swing factor</w:t>
      </w:r>
      <w:r>
        <w:rPr>
          <w:rFonts w:ascii="Calibri" w:hAnsi="Calibri"/>
          <w:color w:val="525866"/>
          <w:sz w:val="22"/>
        </w:rPr>
        <w:t>; revenue is secondary given AEP’s regulated model where top-line surprises are less market-moving than earnings execution.</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Operating EPS (Diluted)</w:t>
            </w:r>
          </w:p>
        </w:tc>
        <w:tc>
          <w:tcPr>
            <w:tcW w:type="dxa" w:w="1234"/>
          </w:tcPr>
          <w:p>
            <w:r>
              <w:rPr>
                <w:rFonts w:ascii="Calibri" w:hAnsi="Calibri"/>
                <w:sz w:val="22"/>
              </w:rPr>
              <w:t>$1.64</w:t>
            </w:r>
          </w:p>
        </w:tc>
        <w:tc>
          <w:tcPr>
            <w:tcW w:type="dxa" w:w="1234"/>
          </w:tcPr>
          <w:p>
            <w:r>
              <w:rPr>
                <w:rFonts w:ascii="Calibri" w:hAnsi="Calibri"/>
                <w:sz w:val="22"/>
              </w:rPr>
              <w:t>$1.43</w:t>
            </w:r>
          </w:p>
        </w:tc>
        <w:tc>
          <w:tcPr>
            <w:tcW w:type="dxa" w:w="1234"/>
          </w:tcPr>
          <w:p>
            <w:r>
              <w:rPr>
                <w:rFonts w:ascii="Calibri" w:hAnsi="Calibri"/>
                <w:sz w:val="22"/>
              </w:rPr>
              <w:t>$1.49</w:t>
            </w:r>
          </w:p>
        </w:tc>
        <w:tc>
          <w:tcPr>
            <w:tcW w:type="dxa" w:w="1234"/>
          </w:tcPr>
          <w:p>
            <w:r>
              <w:rPr>
                <w:rFonts w:ascii="Calibri" w:hAnsi="Calibri"/>
                <w:sz w:val="22"/>
              </w:rPr>
              <w:t>+4.2%</w:t>
            </w:r>
          </w:p>
        </w:tc>
        <w:tc>
          <w:tcPr>
            <w:tcW w:type="dxa" w:w="1234"/>
          </w:tcPr>
          <w:p>
            <w:r>
              <w:rPr>
                <w:rFonts w:ascii="Calibri" w:hAnsi="Calibri"/>
                <w:sz w:val="22"/>
              </w:rPr>
              <w:t>$6.15–$6.45 ($6.30 mid)</w:t>
            </w:r>
          </w:p>
        </w:tc>
        <w:tc>
          <w:tcPr>
            <w:tcW w:type="dxa" w:w="1234"/>
          </w:tcPr>
          <w:p>
            <w:r>
              <w:rPr>
                <w:rFonts w:ascii="Calibri" w:hAnsi="Calibri"/>
                <w:sz w:val="22"/>
              </w:rPr>
              <w:t>FY cons. $6.40 = +1.6% above mid</w:t>
            </w:r>
          </w:p>
        </w:tc>
      </w:tr>
      <w:tr>
        <w:tc>
          <w:tcPr>
            <w:tcW w:type="dxa" w:w="1234"/>
          </w:tcPr>
          <w:p>
            <w:r>
              <w:rPr>
                <w:rFonts w:ascii="Calibri" w:hAnsi="Calibri"/>
                <w:sz w:val="22"/>
              </w:rPr>
              <w:t>Total Operating Revenue</w:t>
            </w:r>
          </w:p>
        </w:tc>
        <w:tc>
          <w:tcPr>
            <w:tcW w:type="dxa" w:w="1234"/>
          </w:tcPr>
          <w:p>
            <w:r>
              <w:rPr>
                <w:rFonts w:ascii="Calibri" w:hAnsi="Calibri"/>
                <w:sz w:val="22"/>
              </w:rPr>
              <w:t>$6.02B</w:t>
            </w:r>
          </w:p>
        </w:tc>
        <w:tc>
          <w:tcPr>
            <w:tcW w:type="dxa" w:w="1234"/>
          </w:tcPr>
          <w:p>
            <w:r>
              <w:rPr>
                <w:rFonts w:ascii="Calibri" w:hAnsi="Calibri"/>
                <w:sz w:val="22"/>
              </w:rPr>
              <w:t>$5.09B</w:t>
            </w:r>
          </w:p>
        </w:tc>
        <w:tc>
          <w:tcPr>
            <w:tcW w:type="dxa" w:w="1234"/>
          </w:tcPr>
          <w:p>
            <w:r>
              <w:rPr>
                <w:rFonts w:ascii="Calibri" w:hAnsi="Calibri"/>
                <w:sz w:val="22"/>
              </w:rPr>
              <w:t>$5.29B</w:t>
            </w:r>
          </w:p>
        </w:tc>
        <w:tc>
          <w:tcPr>
            <w:tcW w:type="dxa" w:w="1234"/>
          </w:tcPr>
          <w:p>
            <w:r>
              <w:rPr>
                <w:rFonts w:ascii="Calibri" w:hAnsi="Calibri"/>
                <w:sz w:val="22"/>
              </w:rPr>
              <w:t>+3.9%</w:t>
            </w:r>
          </w:p>
        </w:tc>
        <w:tc>
          <w:tcPr>
            <w:tcW w:type="dxa" w:w="1234"/>
          </w:tcPr>
          <w:p>
            <w:r>
              <w:rPr>
                <w:rFonts w:ascii="Calibri" w:hAnsi="Calibri"/>
                <w:sz w:val="22"/>
              </w:rPr>
              <w:t>N/A — no quarterly rev. guidance</w:t>
            </w:r>
          </w:p>
        </w:tc>
        <w:tc>
          <w:tcPr>
            <w:tcW w:type="dxa" w:w="1234"/>
          </w:tcPr>
          <w:p>
            <w:r>
              <w:rPr>
                <w:rFonts w:ascii="Calibri" w:hAnsi="Calibri"/>
                <w:sz w:val="22"/>
              </w:rPr>
              <w:t>N/A</w:t>
            </w:r>
          </w:p>
        </w:tc>
      </w:tr>
      <w:tr>
        <w:tc>
          <w:tcPr>
            <w:tcW w:type="dxa" w:w="1234"/>
          </w:tcPr>
          <w:p>
            <w:r>
              <w:rPr>
                <w:rFonts w:ascii="Calibri" w:hAnsi="Calibri"/>
                <w:sz w:val="22"/>
              </w:rPr>
              <w:t>Capital Expenditures</w:t>
            </w:r>
          </w:p>
        </w:tc>
        <w:tc>
          <w:tcPr>
            <w:tcW w:type="dxa" w:w="1234"/>
          </w:tcPr>
          <w:p>
            <w:r>
              <w:rPr>
                <w:rFonts w:ascii="Calibri" w:hAnsi="Calibri"/>
                <w:sz w:val="22"/>
              </w:rPr>
              <w:t>$2.83B</w:t>
            </w:r>
          </w:p>
        </w:tc>
        <w:tc>
          <w:tcPr>
            <w:tcW w:type="dxa" w:w="1234"/>
          </w:tcPr>
          <w:p>
            <w:r>
              <w:rPr>
                <w:rFonts w:ascii="Calibri" w:hAnsi="Calibri"/>
                <w:sz w:val="22"/>
              </w:rPr>
              <w:t>$1.92B</w:t>
            </w:r>
          </w:p>
        </w:tc>
        <w:tc>
          <w:tcPr>
            <w:tcW w:type="dxa" w:w="1234"/>
          </w:tcPr>
          <w:p>
            <w:r>
              <w:rPr>
                <w:rFonts w:ascii="Calibri" w:hAnsi="Calibri"/>
                <w:sz w:val="22"/>
              </w:rPr>
              <w:t>$3.29B</w:t>
            </w:r>
          </w:p>
        </w:tc>
        <w:tc>
          <w:tcPr>
            <w:tcW w:type="dxa" w:w="1234"/>
          </w:tcPr>
          <w:p>
            <w:r>
              <w:rPr>
                <w:rFonts w:ascii="Calibri" w:hAnsi="Calibri"/>
                <w:sz w:val="22"/>
              </w:rPr>
              <w:t>+71.4%</w:t>
            </w:r>
          </w:p>
        </w:tc>
        <w:tc>
          <w:tcPr>
            <w:tcW w:type="dxa" w:w="1234"/>
          </w:tcPr>
          <w:p>
            <w:r>
              <w:rPr>
                <w:rFonts w:ascii="Calibri" w:hAnsi="Calibri"/>
                <w:sz w:val="22"/>
              </w:rPr>
              <w:t>$78B 5-yr plan (~$13B/yr run-rate)</w:t>
            </w:r>
          </w:p>
        </w:tc>
        <w:tc>
          <w:tcPr>
            <w:tcW w:type="dxa" w:w="1234"/>
          </w:tcPr>
          <w:p>
            <w:r>
              <w:rPr>
                <w:rFonts w:ascii="Calibri" w:hAnsi="Calibri"/>
                <w:sz w:val="22"/>
              </w:rPr>
              <w:t>FY cons. $12.83B vs. ~$13B plan</w:t>
            </w:r>
          </w:p>
        </w:tc>
      </w:tr>
      <w:tr>
        <w:tc>
          <w:tcPr>
            <w:tcW w:type="dxa" w:w="1234"/>
          </w:tcPr>
          <w:p>
            <w:r>
              <w:rPr>
                <w:rFonts w:ascii="Calibri" w:hAnsi="Calibri"/>
                <w:sz w:val="22"/>
              </w:rPr>
              <w:t>FFO / Total Debt</w:t>
            </w:r>
          </w:p>
        </w:tc>
        <w:tc>
          <w:tcPr>
            <w:tcW w:type="dxa" w:w="1234"/>
          </w:tcPr>
          <w:p>
            <w:r>
              <w:rPr>
                <w:rFonts w:ascii="Calibri" w:hAnsi="Calibri"/>
                <w:sz w:val="22"/>
              </w:rPr>
              <w:t>12.5% (Q1 2026)</w:t>
            </w:r>
          </w:p>
        </w:tc>
        <w:tc>
          <w:tcPr>
            <w:tcW w:type="dxa" w:w="1234"/>
          </w:tcPr>
          <w:p>
            <w:r>
              <w:rPr>
                <w:rFonts w:ascii="Calibri" w:hAnsi="Calibri"/>
                <w:sz w:val="22"/>
              </w:rPr>
              <w:t>12.2% (Q2 2025)</w:t>
            </w:r>
          </w:p>
        </w:tc>
        <w:tc>
          <w:tcPr>
            <w:tcW w:type="dxa" w:w="1234"/>
          </w:tcPr>
          <w:p>
            <w:r>
              <w:rPr>
                <w:rFonts w:ascii="Calibri" w:hAnsi="Calibri"/>
                <w:sz w:val="22"/>
              </w:rPr>
              <w:t>13.7% (Q2 2026 cons.)</w:t>
            </w:r>
          </w:p>
        </w:tc>
        <w:tc>
          <w:tcPr>
            <w:tcW w:type="dxa" w:w="1234"/>
          </w:tcPr>
          <w:p>
            <w:r>
              <w:rPr>
                <w:rFonts w:ascii="Calibri" w:hAnsi="Calibri"/>
                <w:sz w:val="22"/>
              </w:rPr>
              <w:t>+150 bps</w:t>
            </w:r>
          </w:p>
        </w:tc>
        <w:tc>
          <w:tcPr>
            <w:tcW w:type="dxa" w:w="1234"/>
          </w:tcPr>
          <w:p>
            <w:r>
              <w:rPr>
                <w:rFonts w:ascii="Calibri" w:hAnsi="Calibri"/>
                <w:sz w:val="22"/>
              </w:rPr>
              <w:t>14%–15% target (S&amp;P &amp; Moody’s)</w:t>
            </w:r>
          </w:p>
        </w:tc>
        <w:tc>
          <w:tcPr>
            <w:tcW w:type="dxa" w:w="1234"/>
          </w:tcPr>
          <w:p>
            <w:r>
              <w:rPr>
                <w:rFonts w:ascii="Calibri" w:hAnsi="Calibri"/>
                <w:sz w:val="22"/>
              </w:rPr>
              <w:t>Cons. 13.7% — below target range</w:t>
            </w:r>
          </w:p>
        </w:tc>
      </w:tr>
    </w:tbl>
    <w:p>
      <w:r>
        <w:rPr>
          <w:rFonts w:ascii="Calibri" w:hAnsi="Calibri"/>
          <w:color w:val="525866"/>
          <w:sz w:val="22"/>
        </w:rPr>
        <w:t>Source: Visible Alpha consensus and actuals data. All figures in USD. Operating EPS is the primary valuation KPI (P/E basis). CapEx consensus reflects quarterly estimate; FY2026 CapEx consensus is $12.83B vs. the $78B five-year plan (~$13B annual run-rate). FFO/Debt Q2 2026 consensus of 13.7% remains below the 14%–15% target range, though management noted S&amp;P metric was 14.7% as of Q1.</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$1.64</w:t>
            </w:r>
          </w:p>
        </w:tc>
        <w:tc>
          <w:tcPr>
            <w:tcW w:type="dxa" w:w="1440"/>
          </w:tcPr>
          <w:p>
            <w:r>
              <w:rPr>
                <w:rFonts w:ascii="Calibri" w:hAnsi="Calibri"/>
                <w:sz w:val="22"/>
              </w:rPr>
              <w:t>$1.59</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$6.02B</w:t>
            </w:r>
          </w:p>
        </w:tc>
        <w:tc>
          <w:tcPr>
            <w:tcW w:type="dxa" w:w="1440"/>
          </w:tcPr>
          <w:p>
            <w:r>
              <w:rPr>
                <w:rFonts w:ascii="Calibri" w:hAnsi="Calibri"/>
                <w:sz w:val="22"/>
              </w:rPr>
              <w:t>$5.45B</w:t>
            </w:r>
          </w:p>
        </w:tc>
        <w:tc>
          <w:tcPr>
            <w:tcW w:type="dxa" w:w="1440"/>
          </w:tcPr>
          <w:p>
            <w:r>
              <w:rPr>
                <w:rFonts w:ascii="Calibri" w:hAnsi="Calibri"/>
                <w:b/>
                <w:color w:val="30A46C"/>
                <w:sz w:val="22"/>
              </w:rPr>
              <w:t>+10.5%</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$1.19</w:t>
            </w:r>
          </w:p>
        </w:tc>
        <w:tc>
          <w:tcPr>
            <w:tcW w:type="dxa" w:w="1440"/>
          </w:tcPr>
          <w:p>
            <w:r>
              <w:rPr>
                <w:rFonts w:ascii="Calibri" w:hAnsi="Calibri"/>
                <w:sz w:val="22"/>
              </w:rPr>
              <w:t>$1.06</w:t>
            </w:r>
          </w:p>
        </w:tc>
        <w:tc>
          <w:tcPr>
            <w:tcW w:type="dxa" w:w="1440"/>
          </w:tcPr>
          <w:p>
            <w:r>
              <w:rPr>
                <w:rFonts w:ascii="Calibri" w:hAnsi="Calibri"/>
                <w:b/>
                <w:color w:val="30A46C"/>
                <w:sz w:val="22"/>
              </w:rPr>
              <w:t>+12.3%</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$5.32B</w:t>
            </w:r>
          </w:p>
        </w:tc>
        <w:tc>
          <w:tcPr>
            <w:tcW w:type="dxa" w:w="1440"/>
          </w:tcPr>
          <w:p>
            <w:r>
              <w:rPr>
                <w:rFonts w:ascii="Calibri" w:hAnsi="Calibri"/>
                <w:sz w:val="22"/>
              </w:rPr>
              <w:t>$5.11B</w:t>
            </w:r>
          </w:p>
        </w:tc>
        <w:tc>
          <w:tcPr>
            <w:tcW w:type="dxa" w:w="1440"/>
          </w:tcPr>
          <w:p>
            <w:r>
              <w:rPr>
                <w:rFonts w:ascii="Calibri" w:hAnsi="Calibri"/>
                <w:b/>
                <w:color w:val="30A46C"/>
                <w:sz w:val="22"/>
              </w:rPr>
              <w:t>+4.1%</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$1.79</w:t>
            </w:r>
          </w:p>
        </w:tc>
        <w:tc>
          <w:tcPr>
            <w:tcW w:type="dxa" w:w="1440"/>
          </w:tcPr>
          <w:p>
            <w:r>
              <w:rPr>
                <w:rFonts w:ascii="Calibri" w:hAnsi="Calibri"/>
                <w:sz w:val="22"/>
              </w:rPr>
              <w:t>$1.85</w:t>
            </w:r>
          </w:p>
        </w:tc>
        <w:tc>
          <w:tcPr>
            <w:tcW w:type="dxa" w:w="1440"/>
          </w:tcPr>
          <w:p>
            <w:r>
              <w:rPr>
                <w:rFonts w:ascii="Calibri" w:hAnsi="Calibri"/>
                <w:b/>
                <w:color w:val="E5484D"/>
                <w:sz w:val="22"/>
              </w:rPr>
              <w:t>-3.2%</w:t>
            </w:r>
          </w:p>
        </w:tc>
        <w:tc>
          <w:tcPr>
            <w:tcW w:type="dxa" w:w="1440"/>
          </w:tcPr>
          <w:p>
            <w:r>
              <w:rPr>
                <w:rFonts w:ascii="Calibri" w:hAnsi="Calibri"/>
                <w:sz w:val="22"/>
              </w:rPr>
              <w:t>Miss</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$6.01B</w:t>
            </w:r>
          </w:p>
        </w:tc>
        <w:tc>
          <w:tcPr>
            <w:tcW w:type="dxa" w:w="1440"/>
          </w:tcPr>
          <w:p>
            <w:r>
              <w:rPr>
                <w:rFonts w:ascii="Calibri" w:hAnsi="Calibri"/>
                <w:sz w:val="22"/>
              </w:rPr>
              <w:t>$5.50B</w:t>
            </w:r>
          </w:p>
        </w:tc>
        <w:tc>
          <w:tcPr>
            <w:tcW w:type="dxa" w:w="1440"/>
          </w:tcPr>
          <w:p>
            <w:r>
              <w:rPr>
                <w:rFonts w:ascii="Calibri" w:hAnsi="Calibri"/>
                <w:b/>
                <w:color w:val="30A46C"/>
                <w:sz w:val="22"/>
              </w:rPr>
              <w:t>+9.3%</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$1.43</w:t>
            </w:r>
          </w:p>
        </w:tc>
        <w:tc>
          <w:tcPr>
            <w:tcW w:type="dxa" w:w="1440"/>
          </w:tcPr>
          <w:p>
            <w:r>
              <w:rPr>
                <w:rFonts w:ascii="Calibri" w:hAnsi="Calibri"/>
                <w:sz w:val="22"/>
              </w:rPr>
              <w:t>$1.29</w:t>
            </w:r>
          </w:p>
        </w:tc>
        <w:tc>
          <w:tcPr>
            <w:tcW w:type="dxa" w:w="1440"/>
          </w:tcPr>
          <w:p>
            <w:r>
              <w:rPr>
                <w:rFonts w:ascii="Calibri" w:hAnsi="Calibri"/>
                <w:b/>
                <w:color w:val="30A46C"/>
                <w:sz w:val="22"/>
              </w:rPr>
              <w:t>+10.9%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$5.09B</w:t>
            </w:r>
          </w:p>
        </w:tc>
        <w:tc>
          <w:tcPr>
            <w:tcW w:type="dxa" w:w="1440"/>
          </w:tcPr>
          <w:p>
            <w:r>
              <w:rPr>
                <w:rFonts w:ascii="Calibri" w:hAnsi="Calibri"/>
                <w:sz w:val="22"/>
              </w:rPr>
              <w:t>$4.95B</w:t>
            </w:r>
          </w:p>
        </w:tc>
        <w:tc>
          <w:tcPr>
            <w:tcW w:type="dxa" w:w="1440"/>
          </w:tcPr>
          <w:p>
            <w:r>
              <w:rPr>
                <w:rFonts w:ascii="Calibri" w:hAnsi="Calibri"/>
                <w:b/>
                <w:color w:val="30A46C"/>
                <w:sz w:val="22"/>
              </w:rPr>
              <w:t>+2.8%</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AEP has beaten operating EPS consensus in 6 of the last 7 reported quarters, with the lone miss in Q3 2025 (-3.2%) driven by weather normalization; revenue beats have been consistent and often large, reflecting the ramp of contracted load revenues. The bar for Q2 2026 appears beatable given this track record and the modest consensus of $1.49.</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is unchanged since the Q1 2026 earnings call — FY2026 operating EPS reaffirmed at $6.15–$6.45 and long-term EPS CAGR upgraded to &gt;9%. </w:t>
      </w:r>
      <w:r>
        <w:rPr>
          <w:rFonts w:ascii="Calibri" w:hAnsi="Calibri"/>
          <w:b/>
          <w:color w:val="525866"/>
          <w:sz w:val="22"/>
        </w:rPr>
        <w:t>Management tone has shifted decisively bullish</w:t>
      </w:r>
      <w:r>
        <w:rPr>
          <w:rFonts w:ascii="Calibri" w:hAnsi="Calibri"/>
          <w:color w:val="525866"/>
          <w:sz w:val="22"/>
        </w:rPr>
        <w:t>, with the capital plan raised to $78B and over $10B in line-of-sight incremental projects identified; no post-earnings guidance revisions have been filed.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Operating EPS</w:t>
            </w:r>
          </w:p>
        </w:tc>
        <w:tc>
          <w:tcPr>
            <w:tcW w:type="dxa" w:w="1728"/>
          </w:tcPr>
          <w:p>
            <w:r>
              <w:rPr>
                <w:rFonts w:ascii="Calibri" w:hAnsi="Calibri"/>
                <w:sz w:val="22"/>
              </w:rPr>
              <w:t>$6.15–$6.45 per share</w:t>
            </w:r>
          </w:p>
        </w:tc>
        <w:tc>
          <w:tcPr>
            <w:tcW w:type="dxa" w:w="1728"/>
          </w:tcPr>
          <w:p>
            <w:r>
              <w:rPr>
                <w:rFonts w:ascii="Calibri" w:hAnsi="Calibri"/>
                <w:sz w:val="22"/>
              </w:rPr>
              <w:t>—</w:t>
            </w:r>
          </w:p>
        </w:tc>
        <w:tc>
          <w:tcPr>
            <w:tcW w:type="dxa" w:w="1728"/>
          </w:tcPr>
          <w:p>
            <w:r>
              <w:rPr>
                <w:rFonts w:ascii="Calibri" w:hAnsi="Calibri"/>
                <w:sz w:val="22"/>
              </w:rPr>
              <w:t>$6.40</w:t>
            </w:r>
          </w:p>
        </w:tc>
        <w:tc>
          <w:tcPr>
            <w:tcW w:type="dxa" w:w="1728"/>
          </w:tcPr>
          <w:p>
            <w:r>
              <w:rPr>
                <w:rFonts w:ascii="Calibri" w:hAnsi="Calibri"/>
                <w:sz w:val="22"/>
              </w:rPr>
              <w:t>Reaffirmed; consensus sits near top of range, implying confidence in execution</w:t>
            </w:r>
          </w:p>
        </w:tc>
      </w:tr>
      <w:tr>
        <w:tc>
          <w:tcPr>
            <w:tcW w:type="dxa" w:w="1728"/>
          </w:tcPr>
          <w:p>
            <w:r>
              <w:rPr>
                <w:rFonts w:ascii="Calibri" w:hAnsi="Calibri"/>
                <w:sz w:val="22"/>
              </w:rPr>
              <w:t>Long-Term EPS CAGR (2026–2030)</w:t>
            </w:r>
          </w:p>
        </w:tc>
        <w:tc>
          <w:tcPr>
            <w:tcW w:type="dxa" w:w="1728"/>
          </w:tcPr>
          <w:p>
            <w:r>
              <w:rPr>
                <w:rFonts w:ascii="Calibri" w:hAnsi="Calibri"/>
                <w:sz w:val="22"/>
              </w:rPr>
              <w:t>7%–9% (reaffirmed); &gt;9% with $6B incremental capital</w:t>
            </w:r>
          </w:p>
        </w:tc>
        <w:tc>
          <w:tcPr>
            <w:tcW w:type="dxa" w:w="1728"/>
          </w:tcPr>
          <w:p>
            <w:r>
              <w:rPr>
                <w:rFonts w:ascii="Calibri" w:hAnsi="Calibri"/>
                <w:sz w:val="22"/>
              </w:rPr>
              <w:t>—</w:t>
            </w:r>
          </w:p>
        </w:tc>
        <w:tc>
          <w:tcPr>
            <w:tcW w:type="dxa" w:w="1728"/>
          </w:tcPr>
          <w:p>
            <w:r>
              <w:rPr>
                <w:rFonts w:ascii="Calibri" w:hAnsi="Calibri"/>
                <w:sz w:val="22"/>
              </w:rPr>
              <w:t>N/A (not a consensus KPI)</w:t>
            </w:r>
          </w:p>
        </w:tc>
        <w:tc>
          <w:tcPr>
            <w:tcW w:type="dxa" w:w="1728"/>
          </w:tcPr>
          <w:p>
            <w:r>
              <w:rPr>
                <w:rFonts w:ascii="Calibri" w:hAnsi="Calibri"/>
                <w:sz w:val="22"/>
              </w:rPr>
              <w:t>Upgraded from prior 7–9% to &gt;9% CAGR; most bullish long-term signal in years</w:t>
            </w:r>
          </w:p>
        </w:tc>
      </w:tr>
      <w:tr>
        <w:tc>
          <w:tcPr>
            <w:tcW w:type="dxa" w:w="1728"/>
          </w:tcPr>
          <w:p>
            <w:r>
              <w:rPr>
                <w:rFonts w:ascii="Calibri" w:hAnsi="Calibri"/>
                <w:sz w:val="22"/>
              </w:rPr>
              <w:t>5-Year Capital Plan</w:t>
            </w:r>
          </w:p>
        </w:tc>
        <w:tc>
          <w:tcPr>
            <w:tcW w:type="dxa" w:w="1728"/>
          </w:tcPr>
          <w:p>
            <w:r>
              <w:rPr>
                <w:rFonts w:ascii="Calibri" w:hAnsi="Calibri"/>
                <w:sz w:val="22"/>
              </w:rPr>
              <w:t>$78B (raised from $72B at Q4 2025)</w:t>
            </w:r>
          </w:p>
        </w:tc>
        <w:tc>
          <w:tcPr>
            <w:tcW w:type="dxa" w:w="1728"/>
          </w:tcPr>
          <w:p>
            <w:r>
              <w:rPr>
                <w:rFonts w:ascii="Calibri" w:hAnsi="Calibri"/>
                <w:sz w:val="22"/>
              </w:rPr>
              <w:t>—</w:t>
            </w:r>
          </w:p>
        </w:tc>
        <w:tc>
          <w:tcPr>
            <w:tcW w:type="dxa" w:w="1728"/>
          </w:tcPr>
          <w:p>
            <w:r>
              <w:rPr>
                <w:rFonts w:ascii="Calibri" w:hAnsi="Calibri"/>
                <w:sz w:val="22"/>
              </w:rPr>
              <w:t>FY2026 CapEx cons. $12.83B</w:t>
            </w:r>
          </w:p>
        </w:tc>
        <w:tc>
          <w:tcPr>
            <w:tcW w:type="dxa" w:w="1728"/>
          </w:tcPr>
          <w:p>
            <w:r>
              <w:rPr>
                <w:rFonts w:ascii="Calibri" w:hAnsi="Calibri"/>
                <w:sz w:val="22"/>
              </w:rPr>
              <w:t>Raised $6B; $3.5B PJM/SPP transmission + $2.5B I&amp;M gas generation; 11% rate base CAGR</w:t>
            </w:r>
          </w:p>
        </w:tc>
      </w:tr>
      <w:tr>
        <w:tc>
          <w:tcPr>
            <w:tcW w:type="dxa" w:w="1728"/>
          </w:tcPr>
          <w:p>
            <w:r>
              <w:rPr>
                <w:rFonts w:ascii="Calibri" w:hAnsi="Calibri"/>
                <w:sz w:val="22"/>
              </w:rPr>
              <w:t>Rate Base CAGR (5-Year)</w:t>
            </w:r>
          </w:p>
        </w:tc>
        <w:tc>
          <w:tcPr>
            <w:tcW w:type="dxa" w:w="1728"/>
          </w:tcPr>
          <w:p>
            <w:r>
              <w:rPr>
                <w:rFonts w:ascii="Calibri" w:hAnsi="Calibri"/>
                <w:sz w:val="22"/>
              </w:rPr>
              <w:t>11% through 2030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Upgraded from prior 10%; driven by expanded capital plan</w:t>
            </w:r>
          </w:p>
        </w:tc>
      </w:tr>
      <w:tr>
        <w:tc>
          <w:tcPr>
            <w:tcW w:type="dxa" w:w="1728"/>
          </w:tcPr>
          <w:p>
            <w:r>
              <w:rPr>
                <w:rFonts w:ascii="Calibri" w:hAnsi="Calibri"/>
                <w:sz w:val="22"/>
              </w:rPr>
              <w:t>Contracted Load (Incremental)</w:t>
            </w:r>
          </w:p>
        </w:tc>
        <w:tc>
          <w:tcPr>
            <w:tcW w:type="dxa" w:w="1728"/>
          </w:tcPr>
          <w:p>
            <w:r>
              <w:rPr>
                <w:rFonts w:ascii="Calibri" w:hAnsi="Calibri"/>
                <w:sz w:val="22"/>
              </w:rPr>
              <w:t>63 GW by 2030 (up from 56 GW at Q4 2025)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7 GW added in Q1 2026 alone; 90% data centers; ERCOT at 41 GW</w:t>
            </w:r>
          </w:p>
        </w:tc>
      </w:tr>
      <w:tr>
        <w:tc>
          <w:tcPr>
            <w:tcW w:type="dxa" w:w="1728"/>
          </w:tcPr>
          <w:p>
            <w:r>
              <w:rPr>
                <w:rFonts w:ascii="Calibri" w:hAnsi="Calibri"/>
                <w:sz w:val="22"/>
              </w:rPr>
              <w:t>FFO / Debt Target</w:t>
            </w:r>
          </w:p>
        </w:tc>
        <w:tc>
          <w:tcPr>
            <w:tcW w:type="dxa" w:w="1728"/>
          </w:tcPr>
          <w:p>
            <w:r>
              <w:rPr>
                <w:rFonts w:ascii="Calibri" w:hAnsi="Calibri"/>
                <w:sz w:val="22"/>
              </w:rPr>
              <w:t>14%–15% (S&amp;P and Moody’s)</w:t>
            </w:r>
          </w:p>
        </w:tc>
        <w:tc>
          <w:tcPr>
            <w:tcW w:type="dxa" w:w="1728"/>
          </w:tcPr>
          <w:p>
            <w:r>
              <w:rPr>
                <w:rFonts w:ascii="Calibri" w:hAnsi="Calibri"/>
                <w:sz w:val="22"/>
              </w:rPr>
              <w:t>—</w:t>
            </w:r>
          </w:p>
        </w:tc>
        <w:tc>
          <w:tcPr>
            <w:tcW w:type="dxa" w:w="1728"/>
          </w:tcPr>
          <w:p>
            <w:r>
              <w:rPr>
                <w:rFonts w:ascii="Calibri" w:hAnsi="Calibri"/>
                <w:sz w:val="22"/>
              </w:rPr>
              <w:t>13.7% (Q2 2026 cons.)</w:t>
            </w:r>
          </w:p>
        </w:tc>
        <w:tc>
          <w:tcPr>
            <w:tcW w:type="dxa" w:w="1728"/>
          </w:tcPr>
          <w:p>
            <w:r>
              <w:rPr>
                <w:rFonts w:ascii="Calibri" w:hAnsi="Calibri"/>
                <w:sz w:val="22"/>
              </w:rPr>
              <w:t>S&amp;P at 14.7% as of Q1; Moody’s at 13.9%; both above 13% downgrade threshold</w:t>
            </w:r>
          </w:p>
        </w:tc>
      </w:tr>
      <w:tr>
        <w:tc>
          <w:tcPr>
            <w:tcW w:type="dxa" w:w="1728"/>
          </w:tcPr>
          <w:p>
            <w:r>
              <w:rPr>
                <w:rFonts w:ascii="Calibri" w:hAnsi="Calibri"/>
                <w:sz w:val="22"/>
              </w:rPr>
              <w:t>Equity Issuance (2026–2030)</w:t>
            </w:r>
          </w:p>
        </w:tc>
        <w:tc>
          <w:tcPr>
            <w:tcW w:type="dxa" w:w="1728"/>
          </w:tcPr>
          <w:p>
            <w:r>
              <w:rPr>
                <w:rFonts w:ascii="Calibri" w:hAnsi="Calibri"/>
                <w:sz w:val="22"/>
              </w:rPr>
              <w:t>$7B total; $665M ATM issued in Q1 at avg. &gt;$131/share</w:t>
            </w:r>
          </w:p>
        </w:tc>
        <w:tc>
          <w:tcPr>
            <w:tcW w:type="dxa" w:w="1728"/>
          </w:tcPr>
          <w:p>
            <w:r>
              <w:rPr>
                <w:rFonts w:ascii="Calibri" w:hAnsi="Calibri"/>
                <w:sz w:val="22"/>
              </w:rPr>
              <w:t>$2.9B forward equity offering (May 14, 2026 8-K)</w:t>
            </w:r>
          </w:p>
        </w:tc>
        <w:tc>
          <w:tcPr>
            <w:tcW w:type="dxa" w:w="1728"/>
          </w:tcPr>
          <w:p>
            <w:r>
              <w:rPr>
                <w:rFonts w:ascii="Calibri" w:hAnsi="Calibri"/>
                <w:sz w:val="22"/>
              </w:rPr>
              <w:t>N/A</w:t>
            </w:r>
          </w:p>
        </w:tc>
        <w:tc>
          <w:tcPr>
            <w:tcW w:type="dxa" w:w="1728"/>
          </w:tcPr>
          <w:p>
            <w:r>
              <w:rPr>
                <w:rFonts w:ascii="Calibri" w:hAnsi="Calibri"/>
                <w:sz w:val="22"/>
              </w:rPr>
              <w:t>↑ Post-earnings equity raise: $2.9B forward sale at $124.97/share (May 12–13, 2026); settles by May 2028</w:t>
            </w:r>
          </w:p>
        </w:tc>
      </w:tr>
    </w:tbl>
    <w:p>
      <w:r>
        <w:rPr>
          <w:rFonts w:ascii="Calibri" w:hAnsi="Calibri"/>
          <w:color w:val="525866"/>
          <w:sz w:val="22"/>
        </w:rPr>
        <w:t>The only post-earnings guidance event was the May 14, 2026 8-K announcing a $2.9B forward equity offering (23.5M shares at $124.97/share, settling by May 2028). This was incremental to the $665M ATM already issued in Q1 and reflects the financing needs of the expanded $78B capital plan. Management’s Q3 2026 call is flagged as the next major update on the capital plan, financing strategy, and long-term growth outlook.</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stable-to-slightly-positive since the Q1 2026 print — FY2026 consensus of $6.40 sits near the top of the $6.15–$6.45 guidance range, and FY2027 estimates have nudged higher. </w:t>
      </w:r>
      <w:r>
        <w:rPr>
          <w:rFonts w:ascii="Calibri" w:hAnsi="Calibri"/>
          <w:b/>
          <w:color w:val="525866"/>
          <w:sz w:val="22"/>
        </w:rPr>
        <w:t>No meaningful divergence between guidance and estimates</w:t>
      </w:r>
      <w:r>
        <w:rPr>
          <w:rFonts w:ascii="Calibri" w:hAnsi="Calibri"/>
          <w:color w:val="525866"/>
          <w:sz w:val="22"/>
        </w:rPr>
        <w:t>; the gap represents modest cushion rather than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5/10/26)</w:t>
            </w:r>
          </w:p>
        </w:tc>
        <w:tc>
          <w:tcPr>
            <w:tcW w:type="dxa" w:w="1080"/>
            <w:shd w:val="clear" w:color="auto" w:fill="3B4259"/>
          </w:tcPr>
          <w:p>
            <w:r>
              <w:rPr>
                <w:rFonts w:ascii="Calibri" w:hAnsi="Calibri"/>
                <w:b/>
                <w:color w:val="FFFFFF"/>
                <w:sz w:val="22"/>
              </w:rPr>
              <w:t>Current Consensus (Latest)</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$1.54</w:t>
            </w:r>
          </w:p>
        </w:tc>
        <w:tc>
          <w:tcPr>
            <w:tcW w:type="dxa" w:w="1080"/>
          </w:tcPr>
          <w:p>
            <w:r>
              <w:rPr>
                <w:rFonts w:ascii="Calibri" w:hAnsi="Calibri"/>
                <w:sz w:val="22"/>
              </w:rPr>
              <w:t>$1.49</w:t>
            </w:r>
          </w:p>
        </w:tc>
        <w:tc>
          <w:tcPr>
            <w:tcW w:type="dxa" w:w="1080"/>
          </w:tcPr>
          <w:p>
            <w:r>
              <w:rPr>
                <w:rFonts w:ascii="Calibri" w:hAnsi="Calibri"/>
                <w:b/>
                <w:color w:val="E5484D"/>
                <w:sz w:val="22"/>
              </w:rPr>
              <w:t>-3.2%</w:t>
            </w:r>
          </w:p>
        </w:tc>
        <w:tc>
          <w:tcPr>
            <w:tcW w:type="dxa" w:w="1080"/>
          </w:tcPr>
          <w:p>
            <w:r>
              <w:rPr>
                <w:rFonts w:ascii="Calibri" w:hAnsi="Calibri"/>
                <w:sz w:val="22"/>
              </w:rPr>
              <w:t>No quarterly guidance provided</w:t>
            </w:r>
          </w:p>
        </w:tc>
        <w:tc>
          <w:tcPr>
            <w:tcW w:type="dxa" w:w="1080"/>
          </w:tcPr>
          <w:p>
            <w:r>
              <w:rPr>
                <w:rFonts w:ascii="Calibri" w:hAnsi="Calibri"/>
                <w:sz w:val="22"/>
              </w:rPr>
              <w:t>No quarterly guidance provided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$6.45</w:t>
            </w:r>
          </w:p>
        </w:tc>
        <w:tc>
          <w:tcPr>
            <w:tcW w:type="dxa" w:w="1080"/>
          </w:tcPr>
          <w:p>
            <w:r>
              <w:rPr>
                <w:rFonts w:ascii="Calibri" w:hAnsi="Calibri"/>
                <w:sz w:val="22"/>
              </w:rPr>
              <w:t>$6.40</w:t>
            </w:r>
          </w:p>
        </w:tc>
        <w:tc>
          <w:tcPr>
            <w:tcW w:type="dxa" w:w="1080"/>
          </w:tcPr>
          <w:p>
            <w:r>
              <w:rPr>
                <w:rFonts w:ascii="Calibri" w:hAnsi="Calibri"/>
                <w:sz w:val="22"/>
              </w:rPr>
              <w:t>-0.8%</w:t>
            </w:r>
          </w:p>
        </w:tc>
        <w:tc>
          <w:tcPr>
            <w:tcW w:type="dxa" w:w="1080"/>
          </w:tcPr>
          <w:p>
            <w:r>
              <w:rPr>
                <w:rFonts w:ascii="Calibri" w:hAnsi="Calibri"/>
                <w:sz w:val="22"/>
              </w:rPr>
              <w:t>$6.15–$6.45</w:t>
            </w:r>
          </w:p>
        </w:tc>
        <w:tc>
          <w:tcPr>
            <w:tcW w:type="dxa" w:w="1080"/>
          </w:tcPr>
          <w:p>
            <w:r>
              <w:rPr>
                <w:rFonts w:ascii="Calibri" w:hAnsi="Calibri"/>
                <w:sz w:val="22"/>
              </w:rPr>
              <w:t>$6.15–$6.45 (unchanged)</w:t>
            </w:r>
          </w:p>
        </w:tc>
        <w:tc>
          <w:tcPr>
            <w:tcW w:type="dxa" w:w="1080"/>
          </w:tcPr>
          <w:p>
            <w:r>
              <w:rPr>
                <w:rFonts w:ascii="Calibri" w:hAnsi="Calibri"/>
                <w:sz w:val="22"/>
              </w:rPr>
              <w:t>Unchanged</w:t>
            </w:r>
          </w:p>
        </w:tc>
        <w:tc>
          <w:tcPr>
            <w:tcW w:type="dxa" w:w="1080"/>
          </w:tcPr>
          <w:p>
            <w:r>
              <w:rPr>
                <w:rFonts w:ascii="Calibri" w:hAnsi="Calibri"/>
                <w:sz w:val="22"/>
              </w:rPr>
              <w:t>+1.6% above midpoint</w:t>
            </w:r>
          </w:p>
        </w:tc>
      </w:tr>
      <w:tr>
        <w:tc>
          <w:tcPr>
            <w:tcW w:type="dxa" w:w="1080"/>
          </w:tcPr>
          <w:p>
            <w:r>
              <w:rPr>
                <w:rFonts w:ascii="Calibri" w:hAnsi="Calibri"/>
                <w:sz w:val="22"/>
              </w:rPr>
              <w:t>Operating EPS — FY2027</w:t>
            </w:r>
          </w:p>
        </w:tc>
        <w:tc>
          <w:tcPr>
            <w:tcW w:type="dxa" w:w="1080"/>
          </w:tcPr>
          <w:p>
            <w:r>
              <w:rPr>
                <w:rFonts w:ascii="Calibri" w:hAnsi="Calibri"/>
                <w:sz w:val="22"/>
              </w:rPr>
              <w:t>$6.98</w:t>
            </w:r>
          </w:p>
        </w:tc>
        <w:tc>
          <w:tcPr>
            <w:tcW w:type="dxa" w:w="1080"/>
          </w:tcPr>
          <w:p>
            <w:r>
              <w:rPr>
                <w:rFonts w:ascii="Calibri" w:hAnsi="Calibri"/>
                <w:sz w:val="22"/>
              </w:rPr>
              <w:t>$6.91</w:t>
            </w:r>
          </w:p>
        </w:tc>
        <w:tc>
          <w:tcPr>
            <w:tcW w:type="dxa" w:w="1080"/>
          </w:tcPr>
          <w:p>
            <w:r>
              <w:rPr>
                <w:rFonts w:ascii="Calibri" w:hAnsi="Calibri"/>
                <w:sz w:val="22"/>
              </w:rPr>
              <w:t>-1.0%</w:t>
            </w:r>
          </w:p>
        </w:tc>
        <w:tc>
          <w:tcPr>
            <w:tcW w:type="dxa" w:w="1080"/>
          </w:tcPr>
          <w:p>
            <w:r>
              <w:rPr>
                <w:rFonts w:ascii="Calibri" w:hAnsi="Calibri"/>
                <w:sz w:val="22"/>
              </w:rPr>
              <w:t>7–9% CAGR off 2026 base (&gt;9% with incremental capital)</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Tracking within range</w:t>
            </w:r>
          </w:p>
        </w:tc>
      </w:tr>
      <w:tr>
        <w:tc>
          <w:tcPr>
            <w:tcW w:type="dxa" w:w="1080"/>
          </w:tcPr>
          <w:p>
            <w:r>
              <w:rPr>
                <w:rFonts w:ascii="Calibri" w:hAnsi="Calibri"/>
                <w:sz w:val="22"/>
              </w:rPr>
              <w:t>Total Revenue — Q2 2026</w:t>
            </w:r>
          </w:p>
        </w:tc>
        <w:tc>
          <w:tcPr>
            <w:tcW w:type="dxa" w:w="1080"/>
          </w:tcPr>
          <w:p>
            <w:r>
              <w:rPr>
                <w:rFonts w:ascii="Calibri" w:hAnsi="Calibri"/>
                <w:sz w:val="22"/>
              </w:rPr>
              <w:t>$5.32B</w:t>
            </w:r>
          </w:p>
        </w:tc>
        <w:tc>
          <w:tcPr>
            <w:tcW w:type="dxa" w:w="1080"/>
          </w:tcPr>
          <w:p>
            <w:r>
              <w:rPr>
                <w:rFonts w:ascii="Calibri" w:hAnsi="Calibri"/>
                <w:sz w:val="22"/>
              </w:rPr>
              <w:t>$5.29B</w:t>
            </w:r>
          </w:p>
        </w:tc>
        <w:tc>
          <w:tcPr>
            <w:tcW w:type="dxa" w:w="1080"/>
          </w:tcPr>
          <w:p>
            <w:r>
              <w:rPr>
                <w:rFonts w:ascii="Calibri" w:hAnsi="Calibri"/>
                <w:sz w:val="22"/>
              </w:rPr>
              <w:t>-0.6%</w:t>
            </w:r>
          </w:p>
        </w:tc>
        <w:tc>
          <w:tcPr>
            <w:tcW w:type="dxa" w:w="1080"/>
          </w:tcPr>
          <w:p>
            <w:r>
              <w:rPr>
                <w:rFonts w:ascii="Calibri" w:hAnsi="Calibri"/>
                <w:sz w:val="22"/>
              </w:rPr>
              <w:t>No quarterly guidance</w:t>
            </w:r>
          </w:p>
        </w:tc>
        <w:tc>
          <w:tcPr>
            <w:tcW w:type="dxa" w:w="1080"/>
          </w:tcPr>
          <w:p>
            <w:r>
              <w:rPr>
                <w:rFonts w:ascii="Calibri" w:hAnsi="Calibri"/>
                <w:sz w:val="22"/>
              </w:rPr>
              <w:t>No quarterly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$22.41B</w:t>
            </w:r>
          </w:p>
        </w:tc>
        <w:tc>
          <w:tcPr>
            <w:tcW w:type="dxa" w:w="1080"/>
          </w:tcPr>
          <w:p>
            <w:r>
              <w:rPr>
                <w:rFonts w:ascii="Calibri" w:hAnsi="Calibri"/>
                <w:sz w:val="22"/>
              </w:rPr>
              <w:t>$22.73B</w:t>
            </w:r>
          </w:p>
        </w:tc>
        <w:tc>
          <w:tcPr>
            <w:tcW w:type="dxa" w:w="1080"/>
          </w:tcPr>
          <w:p>
            <w:r>
              <w:rPr>
                <w:rFonts w:ascii="Calibri" w:hAnsi="Calibri"/>
                <w:b/>
                <w:color w:val="30A46C"/>
                <w:sz w:val="22"/>
              </w:rPr>
              <w:t>+1.4%</w:t>
            </w:r>
          </w:p>
        </w:tc>
        <w:tc>
          <w:tcPr>
            <w:tcW w:type="dxa" w:w="1080"/>
          </w:tcPr>
          <w:p>
            <w:r>
              <w:rPr>
                <w:rFonts w:ascii="Calibri" w:hAnsi="Calibri"/>
                <w:sz w:val="22"/>
              </w:rPr>
              <w:t>No annual revenue guidance</w:t>
            </w:r>
          </w:p>
        </w:tc>
        <w:tc>
          <w:tcPr>
            <w:tcW w:type="dxa" w:w="1080"/>
          </w:tcPr>
          <w:p>
            <w:r>
              <w:rPr>
                <w:rFonts w:ascii="Calibri" w:hAnsi="Calibri"/>
                <w:sz w:val="22"/>
              </w:rPr>
              <w:t>No annual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CapEx — FY2026</w:t>
            </w:r>
          </w:p>
        </w:tc>
        <w:tc>
          <w:tcPr>
            <w:tcW w:type="dxa" w:w="1080"/>
          </w:tcPr>
          <w:p>
            <w:r>
              <w:rPr>
                <w:rFonts w:ascii="Calibri" w:hAnsi="Calibri"/>
                <w:sz w:val="22"/>
              </w:rPr>
              <w:t>$13.06B</w:t>
            </w:r>
          </w:p>
        </w:tc>
        <w:tc>
          <w:tcPr>
            <w:tcW w:type="dxa" w:w="1080"/>
          </w:tcPr>
          <w:p>
            <w:r>
              <w:rPr>
                <w:rFonts w:ascii="Calibri" w:hAnsi="Calibri"/>
                <w:sz w:val="22"/>
              </w:rPr>
              <w:t>$12.83B</w:t>
            </w:r>
          </w:p>
        </w:tc>
        <w:tc>
          <w:tcPr>
            <w:tcW w:type="dxa" w:w="1080"/>
          </w:tcPr>
          <w:p>
            <w:r>
              <w:rPr>
                <w:rFonts w:ascii="Calibri" w:hAnsi="Calibri"/>
                <w:sz w:val="22"/>
              </w:rPr>
              <w:t>-1.8%</w:t>
            </w:r>
          </w:p>
        </w:tc>
        <w:tc>
          <w:tcPr>
            <w:tcW w:type="dxa" w:w="1080"/>
          </w:tcPr>
          <w:p>
            <w:r>
              <w:rPr>
                <w:rFonts w:ascii="Calibri" w:hAnsi="Calibri"/>
                <w:sz w:val="22"/>
              </w:rPr>
              <w:t>~$13B annual run-rate ($78B / 5 yrs)</w:t>
            </w:r>
          </w:p>
        </w:tc>
        <w:tc>
          <w:tcPr>
            <w:tcW w:type="dxa" w:w="1080"/>
          </w:tcPr>
          <w:p>
            <w:r>
              <w:rPr>
                <w:rFonts w:ascii="Calibri" w:hAnsi="Calibri"/>
                <w:sz w:val="22"/>
              </w:rPr>
              <w:t>Unchanged</w:t>
            </w:r>
          </w:p>
        </w:tc>
        <w:tc>
          <w:tcPr>
            <w:tcW w:type="dxa" w:w="1080"/>
          </w:tcPr>
          <w:p>
            <w:r>
              <w:rPr>
                <w:rFonts w:ascii="Calibri" w:hAnsi="Calibri"/>
                <w:sz w:val="22"/>
              </w:rPr>
              <w:t>Unchanged</w:t>
            </w:r>
          </w:p>
        </w:tc>
        <w:tc>
          <w:tcPr>
            <w:tcW w:type="dxa" w:w="1080"/>
          </w:tcPr>
          <w:p>
            <w:r>
              <w:rPr>
                <w:rFonts w:ascii="Calibri" w:hAnsi="Calibri"/>
                <w:sz w:val="22"/>
              </w:rPr>
              <w:t>-1.3% below plan run-rate</w:t>
            </w:r>
          </w:p>
        </w:tc>
      </w:tr>
    </w:tbl>
    <w:p>
      <w:r>
        <w:rPr>
          <w:rFonts w:ascii="Calibri" w:hAnsi="Calibri"/>
          <w:color w:val="525866"/>
          <w:sz w:val="22"/>
        </w:rPr>
        <w:t>Source: Visible Alpha consensus and actuals data. Q2 2026 operating EPS estimates have drifted modestly lower (-3.2%) since the Q1 print, likely reflecting the known seasonal step-down and higher O&amp;M/interest expense flagged by management. FY2026 and FY2027 EPS estimates are essentially flat, consistent with guidance being reaffirmed. Revenue estimates have nudged slightly higher for FY2026, reflecting the contracted load ramp. The Q3 2026 call is the next major catalyst for estimate revisions, as management has committed to a “more fulsome update” on the capital plan and long-term growth outlook at that time.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AEP has underperformed both XLU and the S&amp;P 500 since the Q1 2026 earnings print, declining ~5.6% vs. XLU -3.1% and SPY +0.8% (indexed from May 5, 2026). </w:t>
      </w:r>
      <w:r>
        <w:rPr>
          <w:rFonts w:ascii="Calibri" w:hAnsi="Calibri"/>
          <w:b/>
          <w:color w:val="525866"/>
          <w:sz w:val="22"/>
        </w:rPr>
        <w:t>The underperformance appears driven by the dilutive $2.9B equity offering (May 14) rather than any fundamental deterioration</w:t>
      </w:r>
      <w:r>
        <w:rPr>
          <w:rFonts w:ascii="Calibri" w:hAnsi="Calibri"/>
          <w:color w:val="525866"/>
          <w:sz w:val="22"/>
        </w:rPr>
        <w:t>, leaving the stock at a more attractive entry point heading into Q2 results.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AEP vs. XLU vs. S&amp;P 500 — Indexed to 100 at Q1 2026 Earnings (May 5, 2026). Sector ETF: XLU (Utilities Select Sector SPDR). Source: Yahoo Finance / Stock Price Data.</w:t>
      </w:r>
    </w:p>
    <w:p>
      <w:r>
        <w:rPr>
          <w:rFonts w:ascii="Calibri" w:hAnsi="Calibri"/>
          <w:color w:val="525866"/>
          <w:sz w:val="22"/>
        </w:rPr>
        <w:t>AEP opened Q2 at $137.04 on May 5 (Q1 earnings day) and has since declined to ~$129–$133 range. The sharpest single-day drop occurred around the May 14 equity offering announcement ($2.9B forward sale at $124.97/share), which created near-term dilution overhang. XLU also weakened over the period (down ~3%), reflecting broader utility sector pressure from rising rate concerns. The S&amp;P 500 was essentially flat to slightly positive. AEP’s underperformance vs. XLU (~250 bps) is modest and consistent with post-equity-offering digestion rather than a fundamental re-rating. The stock’s current level (~$129–$133) implies a P/E of approximately 20–21x on FY2026 consensus of $6.40, which is in line with or slightly below the utility sector average — a reasonable valuation given the upgraded &gt;9% long-term EPS CAGR.</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$2.9B equity offering (May 14), which front-loads financing for the expanded $78B capital plan and removes near-term balance sheet uncertainty. </w:t>
      </w:r>
      <w:r>
        <w:rPr>
          <w:rFonts w:ascii="Calibri" w:hAnsi="Calibri"/>
          <w:b/>
          <w:color w:val="525866"/>
          <w:sz w:val="22"/>
        </w:rPr>
        <w:t>The addition of Equinix’s former CEO to the board (July 21) is a strong signal of AEP’s commitment to the data center growth strategy</w:t>
      </w:r>
      <w:r>
        <w:rPr>
          <w:rFonts w:ascii="Calibri" w:hAnsi="Calibri"/>
          <w:color w:val="525866"/>
          <w:sz w:val="22"/>
        </w:rPr>
        <w:t xml:space="preserve"> and could accelerate hyperscaler relationship development.</w:t>
      </w:r>
    </w:p>
    <w:p>
      <w:pPr>
        <w:pStyle w:val="ListBullet"/>
        <w:ind w:left="360" w:hanging="360"/>
      </w:pPr>
      <w:r>
        <w:rPr>
          <w:rFonts w:ascii="Calibri" w:hAnsi="Calibri"/>
          <w:b/>
          <w:color w:val="525866"/>
          <w:sz w:val="22"/>
        </w:rPr>
        <w:t>July 21, 2026 — Board Strengthened with Two New Independent Directors (8-K):</w:t>
      </w:r>
      <w:r>
        <w:rPr>
          <w:rFonts w:ascii="Calibri" w:hAnsi="Calibri"/>
          <w:color w:val="525866"/>
          <w:sz w:val="22"/>
        </w:rPr>
        <w:t xml:space="preserve"> AEP elected David S. Marriott (Chairman, Marriott International) to the Audit and Technology Committees, and Charles J. Meyers (Executive Chairman, Equinix — former CEO 2018–2024) to the Nominating/Governance/Compensation and Nuclear Oversight Committees. Meyers’ appointment is particularly notable given Equinix’s position as one of the world’s largest data center operators — his expertise directly supports AEP’s hyperscaler engagement strategy. </w:t>
      </w:r>
      <w:r>
        <w:rPr>
          <w:rFonts w:ascii="Calibri" w:hAnsi="Calibri"/>
          <w:i/>
          <w:color w:val="525866"/>
          <w:sz w:val="22"/>
        </w:rPr>
        <w:t>Implication: Signals board-level commitment to the data center growth thesis and could accelerate large-load contracting.</w:t>
      </w:r>
    </w:p>
    <w:p>
      <w:pPr>
        <w:pStyle w:val="ListBullet"/>
        <w:ind w:left="360" w:hanging="360"/>
      </w:pPr>
      <w:r>
        <w:rPr>
          <w:rFonts w:ascii="Calibri" w:hAnsi="Calibri"/>
          <w:b/>
          <w:color w:val="525866"/>
          <w:sz w:val="22"/>
        </w:rPr>
        <w:t>May 14, 2026 — $2.9B Forward Equity Offering (8-K):</w:t>
      </w:r>
      <w:r>
        <w:rPr>
          <w:rFonts w:ascii="Calibri" w:hAnsi="Calibri"/>
          <w:color w:val="525866"/>
          <w:sz w:val="22"/>
        </w:rPr>
        <w:t xml:space="preserve"> AEP entered forward sale agreements for 23.5M shares at $124.97/share (initial forward price), with settlement expected by May 31, 2028. Counterparties: BofA, Goldman Sachs, Morgan Stanley. This is incremental to the $665M ATM issued in Q1 at &gt;$131/share, bringing total equity raised to ~$3.6B against the $7B five-year equity plan. </w:t>
      </w:r>
      <w:r>
        <w:rPr>
          <w:rFonts w:ascii="Calibri" w:hAnsi="Calibri"/>
          <w:i/>
          <w:color w:val="525866"/>
          <w:sz w:val="22"/>
        </w:rPr>
        <w:t>Implication: Removes near-term financing uncertainty for the $78B capital plan; dilutive overhang likely explains post-Q1 stock underperformance.</w:t>
      </w:r>
    </w:p>
    <w:p>
      <w:pPr>
        <w:pStyle w:val="ListBullet"/>
        <w:ind w:left="360" w:hanging="360"/>
      </w:pPr>
      <w:r>
        <w:rPr>
          <w:rFonts w:ascii="Calibri" w:hAnsi="Calibri"/>
          <w:b/>
          <w:color w:val="525866"/>
          <w:sz w:val="22"/>
        </w:rPr>
        <w:t>May 5, 2026 — Q1 2026 Earnings Beat &amp; Capital Plan Raise:</w:t>
      </w:r>
      <w:r>
        <w:rPr>
          <w:rFonts w:ascii="Calibri" w:hAnsi="Calibri"/>
          <w:color w:val="525866"/>
          <w:sz w:val="22"/>
        </w:rPr>
        <w:t xml:space="preserve"> Operating EPS of $1.64 beat consensus of $1.59; capital plan raised to $78B from $72B; contracted load increased to 63 GW from 56 GW; long-term EPS CAGR upgraded to &gt;9%; $10B+ in line-of-sight incremental projects identified (including Piketon 10 GW campus with SB Energy and Wyoming Fuel Cell). FY2026 guidance reaffirmed at $6.15–$6.45. </w:t>
      </w:r>
      <w:r>
        <w:rPr>
          <w:rFonts w:ascii="Calibri" w:hAnsi="Calibri"/>
          <w:i/>
          <w:color w:val="525866"/>
          <w:sz w:val="22"/>
        </w:rPr>
        <w:t>Implication: Sets a high bar for Q2 narrative continuity; market will focus on whether load growth momentum has continued.</w:t>
      </w:r>
    </w:p>
    <w:p>
      <w:pPr>
        <w:pStyle w:val="ListBullet"/>
        <w:ind w:left="360" w:hanging="360"/>
      </w:pPr>
      <w:r>
        <w:rPr>
          <w:rFonts w:ascii="Calibri" w:hAnsi="Calibri"/>
          <w:b/>
          <w:color w:val="525866"/>
          <w:sz w:val="22"/>
        </w:rPr>
        <w:t>Ongoing — PJM/RTO Structural Review:</w:t>
      </w:r>
      <w:r>
        <w:rPr>
          <w:rFonts w:ascii="Calibri" w:hAnsi="Calibri"/>
          <w:color w:val="525866"/>
          <w:sz w:val="22"/>
        </w:rPr>
        <w:t xml:space="preserve"> Management disclosed it is formally assessing “all options” regarding PJM membership, including “exploring alternative structures,” citing frustration with interconnection speed. CEO Fehrman warned that without action, the same issues could persist for a decade. SPP viewed as more responsive. </w:t>
      </w:r>
      <w:r>
        <w:rPr>
          <w:rFonts w:ascii="Calibri" w:hAnsi="Calibri"/>
          <w:i/>
          <w:color w:val="525866"/>
          <w:sz w:val="22"/>
        </w:rPr>
        <w:t>Implication: Any Q2 update on this review — including potential exit signals or concrete reform progress — could be a significant market catalyst in either direction.</w:t>
      </w:r>
    </w:p>
    <w:p>
      <w:pPr>
        <w:pStyle w:val="ListBullet"/>
        <w:ind w:left="360" w:hanging="360"/>
      </w:pPr>
      <w:r>
        <w:rPr>
          <w:rFonts w:ascii="Calibri" w:hAnsi="Calibri"/>
          <w:b/>
          <w:color w:val="525866"/>
          <w:sz w:val="22"/>
        </w:rPr>
        <w:t>Ongoing — Piketon 10 GW Data Center Campus (SB Energy, Ohio):</w:t>
      </w:r>
      <w:r>
        <w:rPr>
          <w:rFonts w:ascii="Calibri" w:hAnsi="Calibri"/>
          <w:color w:val="525866"/>
          <w:sz w:val="22"/>
        </w:rPr>
        <w:t xml:space="preserve"> Announced on the Q1 call; not yet included in the 63 GW contracted load forecast. Represents potential ~$8B of the $10B+ line-of-sight projects. A multibillion-dollar Google data center in Putnam County, WV, also under evaluation. </w:t>
      </w:r>
      <w:r>
        <w:rPr>
          <w:rFonts w:ascii="Calibri" w:hAnsi="Calibri"/>
          <w:i/>
          <w:color w:val="525866"/>
          <w:sz w:val="22"/>
        </w:rPr>
        <w:t>Implication: Conversion of these projects to contracted load would be a significant positive catalyst for the capital plan and EPS trajectory.</w:t>
      </w:r>
    </w:p>
    <w:p>
      <w:pPr>
        <w:pStyle w:val="ListBullet"/>
        <w:ind w:left="360" w:hanging="360"/>
      </w:pPr>
      <w:r>
        <w:rPr>
          <w:rFonts w:ascii="Calibri" w:hAnsi="Calibri"/>
          <w:b/>
          <w:color w:val="525866"/>
          <w:sz w:val="22"/>
        </w:rPr>
        <w:t>Ongoing — Wyoming Fuel Cell Project:</w:t>
      </w:r>
      <w:r>
        <w:rPr>
          <w:rFonts w:ascii="Calibri" w:hAnsi="Calibri"/>
          <w:color w:val="525866"/>
          <w:sz w:val="22"/>
        </w:rPr>
        <w:t xml:space="preserve"> AEP has downside protection — can put fuel cells back to the hyperscaler at cost plus 10% if project does not proceed by end of June, or at 110% by year-end if no alternative site is found. </w:t>
      </w:r>
      <w:r>
        <w:rPr>
          <w:rFonts w:ascii="Calibri" w:hAnsi="Calibri"/>
          <w:i/>
          <w:color w:val="525866"/>
          <w:sz w:val="22"/>
        </w:rPr>
        <w:t>Implication: Limited balance sheet risk; Q2 call may provide resolution update.</w:t>
      </w:r>
    </w:p>
    <w:p>
      <w:pPr>
        <w:pStyle w:val="ListBullet"/>
        <w:ind w:left="360" w:hanging="360"/>
      </w:pPr>
      <w:r>
        <w:rPr>
          <w:rFonts w:ascii="Calibri" w:hAnsi="Calibri"/>
          <w:b/>
          <w:color w:val="525866"/>
          <w:sz w:val="22"/>
        </w:rPr>
        <w:t>Ongoing — Regulatory Wins Across Jurisdictions:</w:t>
      </w:r>
      <w:r>
        <w:rPr>
          <w:rFonts w:ascii="Calibri" w:hAnsi="Calibri"/>
          <w:color w:val="525866"/>
          <w:sz w:val="22"/>
        </w:rPr>
        <w:t xml:space="preserve"> Ohio distribution rate case settled (ROE 9.84%, up from 9.7%); Arkansas ROE increased to 9.65% from 9.5%; West Virginia ROE increased to 9.75% from 9.25%. Data center tariffs approved in Ohio, Indiana, Kentucky, West Virginia; active filings in Michigan, Oklahoma, Texas, Virginia. </w:t>
      </w:r>
      <w:r>
        <w:rPr>
          <w:rFonts w:ascii="Calibri" w:hAnsi="Calibri"/>
          <w:i/>
          <w:color w:val="525866"/>
          <w:sz w:val="22"/>
        </w:rPr>
        <w:t>Implication: Constructive regulatory momentum supports rate base growth and earnings visibility.</w:t>
      </w:r>
    </w:p>
    <w:p>
      <w:pPr>
        <w:pStyle w:val="ListBullet"/>
        <w:ind w:left="360" w:hanging="360"/>
      </w:pPr>
      <w:r>
        <w:rPr>
          <w:rFonts w:ascii="Calibri" w:hAnsi="Calibri"/>
          <w:b/>
          <w:color w:val="525866"/>
          <w:sz w:val="22"/>
        </w:rPr>
        <w:t>Ongoing — Nuclear Site Review:</w:t>
      </w:r>
      <w:r>
        <w:rPr>
          <w:rFonts w:ascii="Calibri" w:hAnsi="Calibri"/>
          <w:color w:val="525866"/>
          <w:sz w:val="22"/>
        </w:rPr>
        <w:t xml:space="preserve"> Management disclosed active review of multiple potential nuclear sites, framing nuclear as a meaningful future baseload solution. Any investment conditioned on capital protection, regulatory support, and government tools (loan guarantees). </w:t>
      </w:r>
      <w:r>
        <w:rPr>
          <w:rFonts w:ascii="Calibri" w:hAnsi="Calibri"/>
          <w:i/>
          <w:color w:val="525866"/>
          <w:sz w:val="22"/>
        </w:rPr>
        <w:t>Implication: Early-stage optionality; not in current capital plan but could represent significant long-term upside.</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Peers reporting Q2 2026 results (ETR, FE, NEE, WEC) all delivered constructive data center and load growth commentary that reads through positively for AEP — </w:t>
      </w:r>
      <w:r>
        <w:rPr>
          <w:rFonts w:ascii="Calibri" w:hAnsi="Calibri"/>
          <w:b/>
          <w:color w:val="525866"/>
          <w:sz w:val="22"/>
        </w:rPr>
        <w:t>demand pipelines are accelerating, not decelerating, and regulatory frameworks for large-load cost recovery are solidifying across the industry</w:t>
      </w:r>
      <w:r>
        <w:rPr>
          <w:rFonts w:ascii="Calibri" w:hAnsi="Calibri"/>
          <w:color w:val="525866"/>
          <w:sz w:val="22"/>
        </w:rPr>
        <w:t>. The consistent theme of utilities raising capital plans and contracting more GW supports AEP’s premium growth narrative heading into its own print.</w:t>
      </w:r>
    </w:p>
    <w:p>
      <w:r>
        <w:rPr>
          <w:rFonts w:ascii="Calibri" w:hAnsi="Calibri"/>
          <w:b/>
          <w:color w:val="525866"/>
          <w:sz w:val="22"/>
        </w:rPr>
        <w:t xml:space="preserve">Note: </w:t>
      </w:r>
      <w:r>
        <w:rPr>
          <w:rFonts w:ascii="Calibri" w:hAnsi="Calibri"/>
          <w:color w:val="525866"/>
          <w:sz w:val="22"/>
        </w:rPr>
        <w:t>Only commentary from Q2 2026 earnings calls and post-Q1 2026 events (i.e., after May 5, 2026) is included below, as these reflect the current reporting quarter environment. Q1 2025 peer earnings commentary has been excluded per the user’s instruction.</w:t>
      </w:r>
    </w:p>
    <w:p>
      <w:pPr>
        <w:pStyle w:val="Heading3"/>
      </w:pPr>
      <w:r>
        <w:rPr>
          <w:rFonts w:ascii="Calibri" w:hAnsi="Calibri"/>
          <w:b/>
          <w:color w:val="3B4259"/>
          <w:sz w:val="24"/>
        </w:rPr>
        <w:t>NextEra Energy (NEE) — Q2 2026 Earnings Call (July 24, 2026)</w:t>
      </w:r>
    </w:p>
    <w:p>
      <w:r>
        <w:rPr>
          <w:rFonts w:ascii="Calibri" w:hAnsi="Calibri"/>
          <w:b/>
          <w:color w:val="525866"/>
          <w:sz w:val="22"/>
        </w:rPr>
        <w:t xml:space="preserve">Read-Through: </w:t>
      </w:r>
      <w:r>
        <w:rPr>
          <w:rFonts w:ascii="Calibri" w:hAnsi="Calibri"/>
          <w:color w:val="525866"/>
          <w:sz w:val="22"/>
        </w:rPr>
        <w:t>Strongly positive for AEP’s load growth and capital deployment narrative.</w:t>
      </w:r>
    </w:p>
    <w:p>
      <w:pPr>
        <w:pStyle w:val="ListBullet"/>
        <w:ind w:left="360" w:hanging="360"/>
      </w:pPr>
      <w:r>
        <w:rPr>
          <w:rFonts w:ascii="Calibri" w:hAnsi="Calibri"/>
          <w:b/>
          <w:color w:val="525866"/>
          <w:sz w:val="22"/>
        </w:rPr>
        <w:t xml:space="preserve">Data center demand accelerating: </w:t>
      </w:r>
      <w:r>
        <w:rPr>
          <w:rFonts w:ascii="Calibri" w:hAnsi="Calibri"/>
          <w:color w:val="525866"/>
          <w:sz w:val="22"/>
        </w:rPr>
        <w:t xml:space="preserve">FPL updated large load expectations from 6 GW to 8 GW by 2032; 21 GW of large load interest at FPL with 12 GW in advanced discussions. Energy Resources pursuing 30 data center hubs (targeting 40 by year-end), with a base case of 15 GW of new generation to serve large load by 2035 and an upside case of 30+ GW. </w:t>
      </w:r>
      <w:r>
        <w:rPr>
          <w:rFonts w:ascii="Calibri" w:hAnsi="Calibri"/>
          <w:i/>
          <w:color w:val="525866"/>
          <w:sz w:val="22"/>
        </w:rPr>
        <w:t>AEP read-through: Validates AEP’s 63 GW contracted load figure as credible and potentially conservative.</w:t>
      </w:r>
    </w:p>
    <w:p>
      <w:pPr>
        <w:pStyle w:val="ListBullet"/>
        <w:ind w:left="360" w:hanging="360"/>
      </w:pPr>
      <w:r>
        <w:rPr>
          <w:rFonts w:ascii="Calibri" w:hAnsi="Calibri"/>
          <w:b/>
          <w:color w:val="525866"/>
          <w:sz w:val="22"/>
        </w:rPr>
        <w:t xml:space="preserve">FERC Section 206 show cause orders (June 2026): </w:t>
      </w:r>
      <w:r>
        <w:rPr>
          <w:rFonts w:ascii="Calibri" w:hAnsi="Calibri"/>
          <w:color w:val="525866"/>
          <w:sz w:val="22"/>
        </w:rPr>
        <w:t xml:space="preserve">NEE management stated these orders “will create yet another market shift and generate strong demand for the ability to match load with generation.” </w:t>
      </w:r>
      <w:r>
        <w:rPr>
          <w:rFonts w:ascii="Calibri" w:hAnsi="Calibri"/>
          <w:i/>
          <w:color w:val="525866"/>
          <w:sz w:val="22"/>
        </w:rPr>
        <w:t>AEP read-through: Positive for AEP’s transmission-heavy model and its competitive advantage in connecting large loads.</w:t>
      </w:r>
    </w:p>
    <w:p>
      <w:pPr>
        <w:pStyle w:val="ListBullet"/>
        <w:ind w:left="360" w:hanging="360"/>
      </w:pPr>
      <w:r>
        <w:rPr>
          <w:rFonts w:ascii="Calibri" w:hAnsi="Calibri"/>
          <w:b/>
          <w:color w:val="525866"/>
          <w:sz w:val="22"/>
        </w:rPr>
        <w:t xml:space="preserve">NEE/Dominion combination advancing: </w:t>
      </w:r>
      <w:r>
        <w:rPr>
          <w:rFonts w:ascii="Calibri" w:hAnsi="Calibri"/>
          <w:color w:val="525866"/>
          <w:sz w:val="22"/>
        </w:rPr>
        <w:t xml:space="preserve">Merger approval filings made July 15 with Virginia SCC, NC Utilities Commission, SC PSC, FERC, and NRC; S-4 effective July 23; shareholder meetings expected early September; close expected H2 2027. Combined company targeting ~11% annual regulatory capital employed growth through 2032. </w:t>
      </w:r>
      <w:r>
        <w:rPr>
          <w:rFonts w:ascii="Calibri" w:hAnsi="Calibri"/>
          <w:i/>
          <w:color w:val="525866"/>
          <w:sz w:val="22"/>
        </w:rPr>
        <w:t>AEP read-through: Neutral to slightly positive — consolidation in the sector validates premium valuations for high-growth utilities.</w:t>
      </w:r>
    </w:p>
    <w:p>
      <w:pPr>
        <w:pStyle w:val="ListBullet"/>
        <w:ind w:left="360" w:hanging="360"/>
      </w:pPr>
      <w:r>
        <w:rPr>
          <w:rFonts w:ascii="Calibri" w:hAnsi="Calibri"/>
          <w:b/>
          <w:color w:val="525866"/>
          <w:sz w:val="22"/>
        </w:rPr>
        <w:t xml:space="preserve">765 kV transmission competition: </w:t>
      </w:r>
      <w:r>
        <w:rPr>
          <w:rFonts w:ascii="Calibri" w:hAnsi="Calibri"/>
          <w:color w:val="525866"/>
          <w:sz w:val="22"/>
        </w:rPr>
        <w:t xml:space="preserve">MISO selected NEE Transmission as part of a consortium for two large-scale 765 kV projects in Illinois (~$1.6B, NEE holds 43%). </w:t>
      </w:r>
      <w:r>
        <w:rPr>
          <w:rFonts w:ascii="Calibri" w:hAnsi="Calibri"/>
          <w:i/>
          <w:color w:val="525866"/>
          <w:sz w:val="22"/>
        </w:rPr>
        <w:t>AEP read-through: AEP’s 765 kV competitive advantage (90% of all U.S. 765 kV infrastructure) remains a key differentiator; NEE’s entry into this space confirms the strategic value of the asset class.</w:t>
      </w:r>
    </w:p>
    <w:p>
      <w:pPr>
        <w:pStyle w:val="ListBullet"/>
        <w:ind w:left="360" w:hanging="360"/>
      </w:pPr>
      <w:r>
        <w:rPr>
          <w:rFonts w:ascii="Calibri" w:hAnsi="Calibri"/>
          <w:b/>
          <w:color w:val="525866"/>
          <w:sz w:val="22"/>
        </w:rPr>
        <w:t xml:space="preserve">Supply chain secured: </w:t>
      </w:r>
      <w:r>
        <w:rPr>
          <w:rFonts w:ascii="Calibri" w:hAnsi="Calibri"/>
          <w:color w:val="525866"/>
          <w:sz w:val="22"/>
        </w:rPr>
        <w:t xml:space="preserve">Solar panels secured through 2029, battery storage through 2029, transformer capacity through end of decade. </w:t>
      </w:r>
      <w:r>
        <w:rPr>
          <w:rFonts w:ascii="Calibri" w:hAnsi="Calibri"/>
          <w:i/>
          <w:color w:val="525866"/>
          <w:sz w:val="22"/>
        </w:rPr>
        <w:t>AEP read-through: AEP has similarly secured 10+ GW of gas turbine capacity and long lead-time equipment; peer confirmation reduces supply chain risk concerns.</w:t>
      </w:r>
    </w:p>
    <w:p>
      <w:pPr>
        <w:pStyle w:val="Heading3"/>
      </w:pPr>
      <w:r>
        <w:rPr>
          <w:rFonts w:ascii="Calibri" w:hAnsi="Calibri"/>
          <w:b/>
          <w:color w:val="3B4259"/>
          <w:sz w:val="24"/>
        </w:rPr>
        <w:t>Entergy (ETR) — Q2 2026 Earnings Call (July 29, 2026)</w:t>
      </w:r>
    </w:p>
    <w:p>
      <w:r>
        <w:rPr>
          <w:rFonts w:ascii="Calibri" w:hAnsi="Calibri"/>
          <w:b/>
          <w:color w:val="525866"/>
          <w:sz w:val="22"/>
        </w:rPr>
        <w:t xml:space="preserve">Read-Through: </w:t>
      </w:r>
      <w:r>
        <w:rPr>
          <w:rFonts w:ascii="Calibri" w:hAnsi="Calibri"/>
          <w:color w:val="525866"/>
          <w:sz w:val="22"/>
        </w:rPr>
        <w:t>Positive for AEP’s industrial and data center load growth narrative; also validates the “fair share” regulatory framework approach.</w:t>
      </w:r>
    </w:p>
    <w:p>
      <w:pPr>
        <w:pStyle w:val="ListBullet"/>
        <w:ind w:left="360" w:hanging="360"/>
      </w:pPr>
      <w:r>
        <w:rPr>
          <w:rFonts w:ascii="Calibri" w:hAnsi="Calibri"/>
          <w:b/>
          <w:color w:val="525866"/>
          <w:sz w:val="22"/>
        </w:rPr>
        <w:t xml:space="preserve">Industrial demand surging: </w:t>
      </w:r>
      <w:r>
        <w:rPr>
          <w:rFonts w:ascii="Calibri" w:hAnsi="Calibri"/>
          <w:color w:val="525866"/>
          <w:sz w:val="22"/>
        </w:rPr>
        <w:t xml:space="preserve">10% industrial sales growth in Q2 2026 (weather-adjusted); four-state Gulf South corridor experiencing a “massive construction and manufacturing boom” with GDP and nonfarm payrolls at 20-year highs. </w:t>
      </w:r>
      <w:r>
        <w:rPr>
          <w:rFonts w:ascii="Calibri" w:hAnsi="Calibri"/>
          <w:i/>
          <w:color w:val="525866"/>
          <w:sz w:val="22"/>
        </w:rPr>
        <w:t>AEP read-through: AEP’s footprint in Texas, Ohio, Indiana, and Oklahoma similarly benefits from industrial and data center demand; peer confirmation of broad-based demand is positive.</w:t>
      </w:r>
    </w:p>
    <w:p>
      <w:pPr>
        <w:pStyle w:val="ListBullet"/>
        <w:ind w:left="360" w:hanging="360"/>
      </w:pPr>
      <w:r>
        <w:rPr>
          <w:rFonts w:ascii="Calibri" w:hAnsi="Calibri"/>
          <w:b/>
          <w:color w:val="525866"/>
          <w:sz w:val="22"/>
        </w:rPr>
        <w:t xml:space="preserve">Data center pipeline growing: </w:t>
      </w:r>
      <w:r>
        <w:rPr>
          <w:rFonts w:ascii="Calibri" w:hAnsi="Calibri"/>
          <w:color w:val="525866"/>
          <w:sz w:val="22"/>
        </w:rPr>
        <w:t xml:space="preserve">7–12 GW of hyperscale data center potential in pipeline; “front end of our funnel continues to be very, very active” since Investor Day (June 9, 2026). Louisiana Governor signed executive order requiring data centers to provide customer benefits to qualify for state sales tax exemptions. </w:t>
      </w:r>
      <w:r>
        <w:rPr>
          <w:rFonts w:ascii="Calibri" w:hAnsi="Calibri"/>
          <w:i/>
          <w:color w:val="525866"/>
          <w:sz w:val="22"/>
        </w:rPr>
        <w:t>AEP read-through: Regulatory frameworks for large-load cost recovery are solidifying across the industry, reducing the risk that AEP’s tariff structures face political pushback.</w:t>
      </w:r>
    </w:p>
    <w:p>
      <w:pPr>
        <w:pStyle w:val="ListBullet"/>
        <w:ind w:left="360" w:hanging="360"/>
      </w:pPr>
      <w:r>
        <w:rPr>
          <w:rFonts w:ascii="Calibri" w:hAnsi="Calibri"/>
          <w:b/>
          <w:color w:val="525866"/>
          <w:sz w:val="22"/>
        </w:rPr>
        <w:t xml:space="preserve">Equity plan unchanged; 60% contracted: </w:t>
      </w:r>
      <w:r>
        <w:rPr>
          <w:rFonts w:ascii="Calibri" w:hAnsi="Calibri"/>
          <w:color w:val="525866"/>
          <w:sz w:val="22"/>
        </w:rPr>
        <w:t xml:space="preserve">ETR completed a $2.175B equity forward offering in early May; ~60% of five-year equity plan contracted, satisfying needs into 2028. </w:t>
      </w:r>
      <w:r>
        <w:rPr>
          <w:rFonts w:ascii="Calibri" w:hAnsi="Calibri"/>
          <w:i/>
          <w:color w:val="525866"/>
          <w:sz w:val="22"/>
        </w:rPr>
        <w:t>AEP read-through: AEP’s $2.9B forward equity offering (May 14) is consistent with sector-wide financing activity; not an AEP-specific negative.</w:t>
      </w:r>
    </w:p>
    <w:p>
      <w:pPr>
        <w:pStyle w:val="ListBullet"/>
        <w:ind w:left="360" w:hanging="360"/>
      </w:pPr>
      <w:r>
        <w:rPr>
          <w:rFonts w:ascii="Calibri" w:hAnsi="Calibri"/>
          <w:b/>
          <w:color w:val="525866"/>
          <w:sz w:val="22"/>
        </w:rPr>
        <w:t xml:space="preserve">Mississippi most receptive to data centers: </w:t>
      </w:r>
      <w:r>
        <w:rPr>
          <w:rFonts w:ascii="Calibri" w:hAnsi="Calibri"/>
          <w:color w:val="525866"/>
          <w:sz w:val="22"/>
        </w:rPr>
        <w:t xml:space="preserve">ETR described Mississippi as “the most receptive conversation we’ve had in all of our conversations” regarding data center development; AWS and Avaya both investing. </w:t>
      </w:r>
      <w:r>
        <w:rPr>
          <w:rFonts w:ascii="Calibri" w:hAnsi="Calibri"/>
          <w:i/>
          <w:color w:val="525866"/>
          <w:sz w:val="22"/>
        </w:rPr>
        <w:t>AEP read-through: Broad geographic receptivity to data centers supports AEP’s multi-state strategy.</w:t>
      </w:r>
    </w:p>
    <w:p>
      <w:pPr>
        <w:pStyle w:val="Heading3"/>
      </w:pPr>
      <w:r>
        <w:rPr>
          <w:rFonts w:ascii="Calibri" w:hAnsi="Calibri"/>
          <w:b/>
          <w:color w:val="3B4259"/>
          <w:sz w:val="24"/>
        </w:rPr>
        <w:t>Entergy (ETR) — Investor Day (June 9, 2026)</w:t>
      </w:r>
    </w:p>
    <w:p>
      <w:r>
        <w:rPr>
          <w:rFonts w:ascii="Calibri" w:hAnsi="Calibri"/>
          <w:b/>
          <w:color w:val="525866"/>
          <w:sz w:val="22"/>
        </w:rPr>
        <w:t xml:space="preserve">Read-Through: </w:t>
      </w:r>
      <w:r>
        <w:rPr>
          <w:rFonts w:ascii="Calibri" w:hAnsi="Calibri"/>
          <w:color w:val="525866"/>
          <w:sz w:val="22"/>
        </w:rPr>
        <w:t>Highly positive for AEP’s long-term growth narrative; validates the scale and durability of the data center demand cycle.</w:t>
      </w:r>
    </w:p>
    <w:p>
      <w:pPr>
        <w:pStyle w:val="ListBullet"/>
        <w:ind w:left="360" w:hanging="360"/>
      </w:pPr>
      <w:r>
        <w:rPr>
          <w:rFonts w:ascii="Calibri" w:hAnsi="Calibri"/>
          <w:b/>
          <w:color w:val="525866"/>
          <w:sz w:val="22"/>
        </w:rPr>
        <w:t xml:space="preserve">Capital plan doubled in two years: </w:t>
      </w:r>
      <w:r>
        <w:rPr>
          <w:rFonts w:ascii="Calibri" w:hAnsi="Calibri"/>
          <w:color w:val="525866"/>
          <w:sz w:val="22"/>
        </w:rPr>
        <w:t xml:space="preserve">ETR’s five-year capital plan has doubled to $67B; rate base expected to reach $97B by 2030 (16% CAGR, described as “highest in the industry”). Industrial sales expected to more than double over five years. </w:t>
      </w:r>
      <w:r>
        <w:rPr>
          <w:rFonts w:ascii="Calibri" w:hAnsi="Calibri"/>
          <w:i/>
          <w:color w:val="525866"/>
          <w:sz w:val="22"/>
        </w:rPr>
        <w:t>AEP read-through: AEP’s own 11% rate base CAGR and $78B plan are credible in the context of peer capital escalation.</w:t>
      </w:r>
    </w:p>
    <w:p>
      <w:pPr>
        <w:pStyle w:val="ListBullet"/>
        <w:ind w:left="360" w:hanging="360"/>
      </w:pPr>
      <w:r>
        <w:rPr>
          <w:rFonts w:ascii="Calibri" w:hAnsi="Calibri"/>
          <w:b/>
          <w:color w:val="525866"/>
          <w:sz w:val="22"/>
        </w:rPr>
        <w:t xml:space="preserve">Meta’s 5 GW / $50B investment in Louisiana: </w:t>
      </w:r>
      <w:r>
        <w:rPr>
          <w:rFonts w:ascii="Calibri" w:hAnsi="Calibri"/>
          <w:color w:val="525866"/>
          <w:sz w:val="22"/>
        </w:rPr>
        <w:t xml:space="preserve">Nat Sahlstrom of Meta described a 5 GW, 5,000-acre infrastructure project in Richland Parish as “our biggest project ever” representing a $50B investment. Customers are seeking “super clusters” at larger scale. </w:t>
      </w:r>
      <w:r>
        <w:rPr>
          <w:rFonts w:ascii="Calibri" w:hAnsi="Calibri"/>
          <w:i/>
          <w:color w:val="525866"/>
          <w:sz w:val="22"/>
        </w:rPr>
        <w:t>AEP read-through: The scale of hyperscaler commitments (AEP’s Piketon 10 GW campus with SB Energy is comparable) is real and growing; validates AEP’s pipeline.</w:t>
      </w:r>
    </w:p>
    <w:p>
      <w:pPr>
        <w:pStyle w:val="ListBullet"/>
        <w:ind w:left="360" w:hanging="360"/>
      </w:pPr>
      <w:r>
        <w:rPr>
          <w:rFonts w:ascii="Calibri" w:hAnsi="Calibri"/>
          <w:b/>
          <w:color w:val="525866"/>
          <w:sz w:val="22"/>
        </w:rPr>
        <w:t xml:space="preserve">Fair Share Plus pledge generating $7B in customer savings: </w:t>
      </w:r>
      <w:r>
        <w:rPr>
          <w:rFonts w:ascii="Calibri" w:hAnsi="Calibri"/>
          <w:color w:val="525866"/>
          <w:sz w:val="22"/>
        </w:rPr>
        <w:t xml:space="preserve">Data centers pay full incremental costs plus their share of fixed costs; 15–20-year contract lengths with minimum bills and early termination provisions. </w:t>
      </w:r>
      <w:r>
        <w:rPr>
          <w:rFonts w:ascii="Calibri" w:hAnsi="Calibri"/>
          <w:i/>
          <w:color w:val="525866"/>
          <w:sz w:val="22"/>
        </w:rPr>
        <w:t>AEP read-through: AEP’s take-or-pay ESA structure is industry-standard; customer protection frameworks are converging across utilities.</w:t>
      </w:r>
    </w:p>
    <w:p>
      <w:pPr>
        <w:pStyle w:val="Heading3"/>
      </w:pPr>
      <w:r>
        <w:rPr>
          <w:rFonts w:ascii="Calibri" w:hAnsi="Calibri"/>
          <w:b/>
          <w:color w:val="3B4259"/>
          <w:sz w:val="24"/>
        </w:rPr>
        <w:t>FirstEnergy (FE) — Q2 2026 Earnings Call (July 29, 2026)</w:t>
      </w:r>
    </w:p>
    <w:p>
      <w:r>
        <w:rPr>
          <w:rFonts w:ascii="Calibri" w:hAnsi="Calibri"/>
          <w:b/>
          <w:color w:val="525866"/>
          <w:sz w:val="22"/>
        </w:rPr>
        <w:t xml:space="preserve">Read-Through: </w:t>
      </w:r>
      <w:r>
        <w:rPr>
          <w:rFonts w:ascii="Calibri" w:hAnsi="Calibri"/>
          <w:color w:val="525866"/>
          <w:sz w:val="22"/>
        </w:rPr>
        <w:t>Positive for AEP’s data center contracting momentum and PJM transmission investment thesis; also validates AEP’s frustration with PJM interconnection speed.</w:t>
      </w:r>
    </w:p>
    <w:p>
      <w:pPr>
        <w:pStyle w:val="ListBullet"/>
        <w:ind w:left="360" w:hanging="360"/>
      </w:pPr>
      <w:r>
        <w:rPr>
          <w:rFonts w:ascii="Calibri" w:hAnsi="Calibri"/>
          <w:b/>
          <w:color w:val="525866"/>
          <w:sz w:val="22"/>
        </w:rPr>
        <w:t xml:space="preserve">Data center demand surging 30% since Q1: </w:t>
      </w:r>
      <w:r>
        <w:rPr>
          <w:rFonts w:ascii="Calibri" w:hAnsi="Calibri"/>
          <w:color w:val="525866"/>
          <w:sz w:val="22"/>
        </w:rPr>
        <w:t xml:space="preserve">Total forecasted data center demand increased 30% since Q1 to ~25 GW; contracted demand reached 6.4 GW in Q2 (up 2.1 GW in the quarter alone); expects additional 1.5 GW to contract “in the next couple of weeks.” Contracted and pipeline demand now represents ~70% of FE’s July system peak load of 34.8 GW. </w:t>
      </w:r>
      <w:r>
        <w:rPr>
          <w:rFonts w:ascii="Calibri" w:hAnsi="Calibri"/>
          <w:i/>
          <w:color w:val="525866"/>
          <w:sz w:val="22"/>
        </w:rPr>
        <w:t>AEP read-through: The pace of contracting acceleration at FE (30% in one quarter) is consistent with AEP’s 7 GW addition in Q1 2026; demand is not slowing.</w:t>
      </w:r>
    </w:p>
    <w:p>
      <w:pPr>
        <w:pStyle w:val="ListBullet"/>
        <w:ind w:left="360" w:hanging="360"/>
      </w:pPr>
      <w:r>
        <w:rPr>
          <w:rFonts w:ascii="Calibri" w:hAnsi="Calibri"/>
          <w:b/>
          <w:color w:val="525866"/>
          <w:sz w:val="22"/>
        </w:rPr>
        <w:t xml:space="preserve">PJM interconnection bottleneck confirmed: </w:t>
      </w:r>
      <w:r>
        <w:rPr>
          <w:rFonts w:ascii="Calibri" w:hAnsi="Calibri"/>
          <w:color w:val="525866"/>
          <w:sz w:val="22"/>
        </w:rPr>
        <w:t xml:space="preserve">FE management described PJM’s interconnection process as “a bottleneck for getting this load online as quickly as possible,” with urgency to contract demand before PJM planning windows close. </w:t>
      </w:r>
      <w:r>
        <w:rPr>
          <w:rFonts w:ascii="Calibri" w:hAnsi="Calibri"/>
          <w:i/>
          <w:color w:val="525866"/>
          <w:sz w:val="22"/>
        </w:rPr>
        <w:t>AEP read-through: Validates AEP’s frustration with PJM and its formal RTO review; the problem is industry-wide, not AEP-specific.</w:t>
      </w:r>
    </w:p>
    <w:p>
      <w:pPr>
        <w:pStyle w:val="ListBullet"/>
        <w:ind w:left="360" w:hanging="360"/>
      </w:pPr>
      <w:r>
        <w:rPr>
          <w:rFonts w:ascii="Calibri" w:hAnsi="Calibri"/>
          <w:b/>
          <w:color w:val="525866"/>
          <w:sz w:val="22"/>
        </w:rPr>
        <w:t xml:space="preserve">Transmission CAGR of 16% through 2030: </w:t>
      </w:r>
      <w:r>
        <w:rPr>
          <w:rFonts w:ascii="Calibri" w:hAnsi="Calibri"/>
          <w:color w:val="525866"/>
          <w:sz w:val="22"/>
        </w:rPr>
        <w:t xml:space="preserve">FE’s transmission business growing at 16% CAGR; plans to participate in 2026 PJM Open Window process (board awards Q1 2027); has secured ~$5B in prior competitive solicitations. </w:t>
      </w:r>
      <w:r>
        <w:rPr>
          <w:rFonts w:ascii="Calibri" w:hAnsi="Calibri"/>
          <w:i/>
          <w:color w:val="525866"/>
          <w:sz w:val="22"/>
        </w:rPr>
        <w:t>AEP read-through: AEP’s $33B transmission investment (42% of $78B plan) and 765 kV competitive advantage position it well for PJM Open Window opportunities.</w:t>
      </w:r>
    </w:p>
    <w:p>
      <w:pPr>
        <w:pStyle w:val="ListBullet"/>
        <w:ind w:left="360" w:hanging="360"/>
      </w:pPr>
      <w:r>
        <w:rPr>
          <w:rFonts w:ascii="Calibri" w:hAnsi="Calibri"/>
          <w:b/>
          <w:color w:val="525866"/>
          <w:sz w:val="22"/>
        </w:rPr>
        <w:t xml:space="preserve">West Virginia generation approval advancing: </w:t>
      </w:r>
      <w:r>
        <w:rPr>
          <w:rFonts w:ascii="Calibri" w:hAnsi="Calibri"/>
          <w:color w:val="525866"/>
          <w:sz w:val="22"/>
        </w:rPr>
        <w:t xml:space="preserve">FE’s 1.2 GW Maysville Energy Center CPCN hearings completed; resolution expected this fall; anticipates “large portion, if not all” of output to support data center load. Evaluating Genco structure to accelerate regulatory process. </w:t>
      </w:r>
      <w:r>
        <w:rPr>
          <w:rFonts w:ascii="Calibri" w:hAnsi="Calibri"/>
          <w:i/>
          <w:color w:val="525866"/>
          <w:sz w:val="22"/>
        </w:rPr>
        <w:t>AEP read-through: AEP’s I&amp;M gas generation expansion ($2.5B in the capital plan) faces a similar regulatory path; FE’s progress is a positive read-through.</w:t>
      </w:r>
    </w:p>
    <w:p>
      <w:pPr>
        <w:pStyle w:val="ListBullet"/>
        <w:ind w:left="360" w:hanging="360"/>
      </w:pPr>
      <w:r>
        <w:rPr>
          <w:rFonts w:ascii="Calibri" w:hAnsi="Calibri"/>
          <w:b/>
          <w:color w:val="525866"/>
          <w:sz w:val="22"/>
        </w:rPr>
        <w:t xml:space="preserve">~$250M investment per GW of data center capacity: </w:t>
      </w:r>
      <w:r>
        <w:rPr>
          <w:rFonts w:ascii="Calibri" w:hAnsi="Calibri"/>
          <w:color w:val="525866"/>
          <w:sz w:val="22"/>
        </w:rPr>
        <w:t xml:space="preserve">FE estimates approximately $250M of investment for each GW of capacity added. </w:t>
      </w:r>
      <w:r>
        <w:rPr>
          <w:rFonts w:ascii="Calibri" w:hAnsi="Calibri"/>
          <w:i/>
          <w:color w:val="525866"/>
          <w:sz w:val="22"/>
        </w:rPr>
        <w:t>AEP read-through: Provides a useful benchmark for sizing AEP’s capital opportunity from its 63 GW contracted load pipeline.</w:t>
      </w:r>
    </w:p>
    <w:p>
      <w:pPr>
        <w:pStyle w:val="Heading3"/>
      </w:pPr>
      <w:r>
        <w:rPr>
          <w:rFonts w:ascii="Calibri" w:hAnsi="Calibri"/>
          <w:b/>
          <w:color w:val="3B4259"/>
          <w:sz w:val="24"/>
        </w:rPr>
        <w:t>WEC Energy Group (WEC) — Q2 2026 Earnings Call (July 29, 2026)</w:t>
      </w:r>
    </w:p>
    <w:p>
      <w:r>
        <w:rPr>
          <w:rFonts w:ascii="Calibri" w:hAnsi="Calibri"/>
          <w:b/>
          <w:color w:val="525866"/>
          <w:sz w:val="22"/>
        </w:rPr>
        <w:t xml:space="preserve">Read-Through: </w:t>
      </w:r>
      <w:r>
        <w:rPr>
          <w:rFonts w:ascii="Calibri" w:hAnsi="Calibri"/>
          <w:color w:val="525866"/>
          <w:sz w:val="22"/>
        </w:rPr>
        <w:t>Positive for AEP’s VLC/data center tariff framework and capital plan execution; also highlights political risk around data center moratoriums as a watch item.</w:t>
      </w:r>
    </w:p>
    <w:p>
      <w:pPr>
        <w:pStyle w:val="ListBullet"/>
        <w:ind w:left="360" w:hanging="360"/>
      </w:pPr>
      <w:r>
        <w:rPr>
          <w:rFonts w:ascii="Calibri" w:hAnsi="Calibri"/>
          <w:b/>
          <w:color w:val="525866"/>
          <w:sz w:val="22"/>
        </w:rPr>
        <w:t xml:space="preserve">Strong Q2 beat: </w:t>
      </w:r>
      <w:r>
        <w:rPr>
          <w:rFonts w:ascii="Calibri" w:hAnsi="Calibri"/>
          <w:color w:val="525866"/>
          <w:sz w:val="22"/>
        </w:rPr>
        <w:t xml:space="preserve">WEC reported Q2 2026 EPS of $0.91, up $0.15 vs. Q2 2025; reaffirmed FY2026 guidance of $5.51–$5.61. Grid-based growth contributed $0.13 to earnings, driven by AFUDC equity and cash returns from VLC projects. </w:t>
      </w:r>
      <w:r>
        <w:rPr>
          <w:rFonts w:ascii="Calibri" w:hAnsi="Calibri"/>
          <w:i/>
          <w:color w:val="525866"/>
          <w:sz w:val="22"/>
        </w:rPr>
        <w:t>AEP read-through: Utility sector earnings quality is strong in Q2 2026; positive read-through for AEP’s own Q2 print.</w:t>
      </w:r>
    </w:p>
    <w:p>
      <w:pPr>
        <w:pStyle w:val="ListBullet"/>
        <w:ind w:left="360" w:hanging="360"/>
      </w:pPr>
      <w:r>
        <w:rPr>
          <w:rFonts w:ascii="Calibri" w:hAnsi="Calibri"/>
          <w:b/>
          <w:color w:val="525866"/>
          <w:sz w:val="22"/>
        </w:rPr>
        <w:t xml:space="preserve">Microsoft and Oracle data center construction on track: </w:t>
      </w:r>
      <w:r>
        <w:rPr>
          <w:rFonts w:ascii="Calibri" w:hAnsi="Calibri"/>
          <w:color w:val="525866"/>
          <w:sz w:val="22"/>
        </w:rPr>
        <w:t xml:space="preserve">Microsoft’s first data center facility at Pleasant Prairie is fully operational; WEC forecasting 2.6 GW demand increase in the I-94 corridor through 2030. Vantage/Oracle site on time and on budget; first facility could come online late 2027. </w:t>
      </w:r>
      <w:r>
        <w:rPr>
          <w:rFonts w:ascii="Calibri" w:hAnsi="Calibri"/>
          <w:i/>
          <w:color w:val="525866"/>
          <w:sz w:val="22"/>
        </w:rPr>
        <w:t>AEP read-through: Data center construction timelines are being met; no evidence of demand pull-forward or cancellation risk.</w:t>
      </w:r>
    </w:p>
    <w:p>
      <w:pPr>
        <w:pStyle w:val="ListBullet"/>
        <w:ind w:left="360" w:hanging="360"/>
      </w:pPr>
      <w:r>
        <w:rPr>
          <w:rFonts w:ascii="Calibri" w:hAnsi="Calibri"/>
          <w:b/>
          <w:color w:val="525866"/>
          <w:sz w:val="22"/>
        </w:rPr>
        <w:t xml:space="preserve">VLC tariff provides strong customer protection framework: </w:t>
      </w:r>
      <w:r>
        <w:rPr>
          <w:rFonts w:ascii="Calibri" w:hAnsi="Calibri"/>
          <w:color w:val="525866"/>
          <w:sz w:val="22"/>
        </w:rPr>
        <w:t xml:space="preserve">WEC’s VLC tariff requires 20-year commitments for wind/solar, depreciable life for batteries/gas, and collateral for net book value. PSC denied rehearing on collateral requirements. </w:t>
      </w:r>
      <w:r>
        <w:rPr>
          <w:rFonts w:ascii="Calibri" w:hAnsi="Calibri"/>
          <w:i/>
          <w:color w:val="525866"/>
          <w:sz w:val="22"/>
        </w:rPr>
        <w:t>AEP read-through: AEP’s take-or-pay ESA structures with investment-grade credit requirements are consistent with industry best practice.</w:t>
      </w:r>
    </w:p>
    <w:p>
      <w:pPr>
        <w:pStyle w:val="ListBullet"/>
        <w:ind w:left="360" w:hanging="360"/>
      </w:pPr>
      <w:r>
        <w:rPr>
          <w:rFonts w:ascii="Calibri" w:hAnsi="Calibri"/>
          <w:b/>
          <w:color w:val="525866"/>
          <w:sz w:val="22"/>
        </w:rPr>
        <w:t>Political risk watch — Wisconsin gubernatorial race:</w:t>
      </w:r>
      <w:r>
        <w:rPr>
          <w:rFonts w:ascii="Calibri" w:hAnsi="Calibri"/>
          <w:color w:val="525866"/>
          <w:sz w:val="22"/>
        </w:rPr>
        <w:t xml:space="preserve"> One Democratic candidate has discussed a potential moratorium on data centers; WEC is actively educating candidates on economic benefits (~$100M in customer savings over two years from data center cost allocations). </w:t>
      </w:r>
      <w:r>
        <w:rPr>
          <w:rFonts w:ascii="Calibri" w:hAnsi="Calibri"/>
          <w:i/>
          <w:color w:val="525866"/>
          <w:sz w:val="22"/>
        </w:rPr>
        <w:t>AEP read-through: Political risk around data centers is real but manageable; AEP’s multi-state footprint diversifies this risk. AEP’s states (TX, OH, IN, OK) are described as “highly receptive” and “very pro business.”</w:t>
      </w:r>
    </w:p>
    <w:p>
      <w:pPr>
        <w:pStyle w:val="ListBullet"/>
        <w:ind w:left="360" w:hanging="360"/>
      </w:pPr>
      <w:r>
        <w:rPr>
          <w:rFonts w:ascii="Calibri" w:hAnsi="Calibri"/>
          <w:b/>
          <w:color w:val="525866"/>
          <w:sz w:val="22"/>
        </w:rPr>
        <w:t xml:space="preserve">Capital plan update coming in Q3: </w:t>
      </w:r>
      <w:r>
        <w:rPr>
          <w:rFonts w:ascii="Calibri" w:hAnsi="Calibri"/>
          <w:color w:val="525866"/>
          <w:sz w:val="22"/>
        </w:rPr>
        <w:t xml:space="preserve">WEC will share updated capital plan details on the Q3 call; any incremental capital beyond current plan funded with 50% equity content. </w:t>
      </w:r>
      <w:r>
        <w:rPr>
          <w:rFonts w:ascii="Calibri" w:hAnsi="Calibri"/>
          <w:i/>
          <w:color w:val="525866"/>
          <w:sz w:val="22"/>
        </w:rPr>
        <w:t>AEP read-through: AEP has similarly committed to a “more fulsome update” on the capital plan at Q3; sector-wide pattern of capital plan escalation continues.</w:t>
      </w:r>
    </w:p>
    <w:p>
      <w:pPr>
        <w:pStyle w:val="Heading3"/>
      </w:pPr>
      <w:r>
        <w:rPr>
          <w:rFonts w:ascii="Calibri" w:hAnsi="Calibri"/>
          <w:b/>
          <w:color w:val="3B4259"/>
          <w:sz w:val="24"/>
        </w:rPr>
        <w:t>Exelon (EXC) — Q1 2026 Earnings Call (May 6, 2026)</w:t>
      </w:r>
    </w:p>
    <w:p>
      <w:r>
        <w:rPr>
          <w:rFonts w:ascii="Calibri" w:hAnsi="Calibri"/>
          <w:b/>
          <w:color w:val="525866"/>
          <w:sz w:val="22"/>
        </w:rPr>
        <w:t xml:space="preserve">Read-Through: </w:t>
      </w:r>
      <w:r>
        <w:rPr>
          <w:rFonts w:ascii="Calibri" w:hAnsi="Calibri"/>
          <w:color w:val="525866"/>
          <w:sz w:val="22"/>
        </w:rPr>
        <w:t>Mixed — positive for AEP’s transmission investment thesis but highlights PJM supply-demand imbalance as a systemic risk that could affect AEP’s interconnection timeline.</w:t>
      </w:r>
    </w:p>
    <w:p>
      <w:pPr>
        <w:pStyle w:val="ListBullet"/>
        <w:ind w:left="360" w:hanging="360"/>
      </w:pPr>
      <w:r>
        <w:rPr>
          <w:rFonts w:ascii="Calibri" w:hAnsi="Calibri"/>
          <w:b/>
          <w:color w:val="525866"/>
          <w:sz w:val="22"/>
        </w:rPr>
        <w:t xml:space="preserve">PJM 2028 reliability risk is real: </w:t>
      </w:r>
      <w:r>
        <w:rPr>
          <w:rFonts w:ascii="Calibri" w:hAnsi="Calibri"/>
          <w:color w:val="525866"/>
          <w:sz w:val="22"/>
        </w:rPr>
        <w:t xml:space="preserve">EXC management stated “PJM has been warning about 2028 reliability risk since 2024. We’re halfway there, and there’s been no meaningful progress on new supply.” Only 19% of projects in the PJM queue reach operation; 54 GW cleared but delayed by siting, permitting, and supply chain issues. </w:t>
      </w:r>
      <w:r>
        <w:rPr>
          <w:rFonts w:ascii="Calibri" w:hAnsi="Calibri"/>
          <w:i/>
          <w:color w:val="525866"/>
          <w:sz w:val="22"/>
        </w:rPr>
        <w:t>AEP read-through: Validates AEP’s urgency around PJM reform and its formal RTO review; the interconnection bottleneck is a sector-wide issue.</w:t>
      </w:r>
    </w:p>
    <w:p>
      <w:pPr>
        <w:pStyle w:val="ListBullet"/>
        <w:ind w:left="360" w:hanging="360"/>
      </w:pPr>
      <w:r>
        <w:rPr>
          <w:rFonts w:ascii="Calibri" w:hAnsi="Calibri"/>
          <w:b/>
          <w:color w:val="525866"/>
          <w:sz w:val="22"/>
        </w:rPr>
        <w:t xml:space="preserve">Transmission investment accelerating: </w:t>
      </w:r>
      <w:r>
        <w:rPr>
          <w:rFonts w:ascii="Calibri" w:hAnsi="Calibri"/>
          <w:color w:val="525866"/>
          <w:sz w:val="22"/>
        </w:rPr>
        <w:t xml:space="preserve">EXC submitted competitive bids for two Illinois MISO Tranche 2.1 opportunities (~$1.9B total); transmission rate base growing at 16% through 2029; $12–17B upside guidance maintained. </w:t>
      </w:r>
      <w:r>
        <w:rPr>
          <w:rFonts w:ascii="Calibri" w:hAnsi="Calibri"/>
          <w:i/>
          <w:color w:val="525866"/>
          <w:sz w:val="22"/>
        </w:rPr>
        <w:t>AEP read-through: AEP’s MISO Wisconsin win (765 kV) and $33B transmission plan are consistent with sector-wide transmission investment acceleration.</w:t>
      </w:r>
    </w:p>
    <w:p>
      <w:pPr>
        <w:pStyle w:val="ListBullet"/>
        <w:ind w:left="360" w:hanging="360"/>
      </w:pPr>
      <w:r>
        <w:rPr>
          <w:rFonts w:ascii="Calibri" w:hAnsi="Calibri"/>
          <w:b/>
          <w:color w:val="525866"/>
          <w:sz w:val="22"/>
        </w:rPr>
        <w:t xml:space="preserve">Data center pipeline backed by $1B in FERC-approved collateral: </w:t>
      </w:r>
      <w:r>
        <w:rPr>
          <w:rFonts w:ascii="Calibri" w:hAnsi="Calibri"/>
          <w:color w:val="525866"/>
          <w:sz w:val="22"/>
        </w:rPr>
        <w:t xml:space="preserve">EXC has secured approximately $1B of collateral through FERC-approved transmission security agreements for its data center pipeline. </w:t>
      </w:r>
      <w:r>
        <w:rPr>
          <w:rFonts w:ascii="Calibri" w:hAnsi="Calibri"/>
          <w:i/>
          <w:color w:val="525866"/>
          <w:sz w:val="22"/>
        </w:rPr>
        <w:t>AEP read-through: AEP’s investment-grade credit requirements and take-or-pay ESAs provide similar financial protection.</w:t>
      </w:r>
    </w:p>
    <w:p>
      <w:pPr>
        <w:pStyle w:val="ListBullet"/>
        <w:ind w:left="360" w:hanging="360"/>
      </w:pPr>
      <w:r>
        <w:rPr>
          <w:rFonts w:ascii="Calibri" w:hAnsi="Calibri"/>
          <w:b/>
          <w:color w:val="525866"/>
          <w:sz w:val="22"/>
        </w:rPr>
        <w:t xml:space="preserve">PECO rate case withdrawal — affordability pressure: </w:t>
      </w:r>
      <w:r>
        <w:rPr>
          <w:rFonts w:ascii="Calibri" w:hAnsi="Calibri"/>
          <w:color w:val="525866"/>
          <w:sz w:val="22"/>
        </w:rPr>
        <w:t xml:space="preserve">EXC withdrew PECO electric and gas rate cases due to customer affordability concerns and stakeholder feedback; Pennsylvania Governor emphasized “justifiable returns” and cost-effective capital. </w:t>
      </w:r>
      <w:r>
        <w:rPr>
          <w:rFonts w:ascii="Calibri" w:hAnsi="Calibri"/>
          <w:i/>
          <w:color w:val="525866"/>
          <w:sz w:val="22"/>
        </w:rPr>
        <w:t>AEP read-through: Affordability pressure is a real regulatory risk; AEP’s proactive affordability measures (data center tariffs, $16B in customer cost offsets from large-load contracts) are important mitigants.</w:t>
      </w:r>
    </w:p>
    <w:p>
      <w:pPr>
        <w:pStyle w:val="Heading3"/>
      </w:pPr>
      <w:r>
        <w:rPr>
          <w:rFonts w:ascii="Calibri" w:hAnsi="Calibri"/>
          <w:b/>
          <w:color w:val="3B4259"/>
          <w:sz w:val="24"/>
        </w:rPr>
        <w:t>PPL Corporation (PPL) — Q1 2026 Earnings Call (May 8, 2026)</w:t>
      </w:r>
    </w:p>
    <w:p>
      <w:r>
        <w:rPr>
          <w:rFonts w:ascii="Calibri" w:hAnsi="Calibri"/>
          <w:b/>
          <w:color w:val="525866"/>
          <w:sz w:val="22"/>
        </w:rPr>
        <w:t xml:space="preserve">Read-Through: </w:t>
      </w:r>
      <w:r>
        <w:rPr>
          <w:rFonts w:ascii="Calibri" w:hAnsi="Calibri"/>
          <w:color w:val="525866"/>
          <w:sz w:val="22"/>
        </w:rPr>
        <w:t>Positive for AEP’s data center contracting and transmission investment narrative; PPL’s Pennsylvania pipeline (28.3 GW in advanced planning) is one of the largest in the sector.</w:t>
      </w:r>
    </w:p>
    <w:p>
      <w:pPr>
        <w:pStyle w:val="ListBullet"/>
        <w:ind w:left="360" w:hanging="360"/>
      </w:pPr>
      <w:r>
        <w:rPr>
          <w:rFonts w:ascii="Calibri" w:hAnsi="Calibri"/>
          <w:b/>
          <w:color w:val="525866"/>
          <w:sz w:val="22"/>
        </w:rPr>
        <w:t xml:space="preserve">28.3 GW in advanced planning in Pennsylvania alone: </w:t>
      </w:r>
      <w:r>
        <w:rPr>
          <w:rFonts w:ascii="Calibri" w:hAnsi="Calibri"/>
          <w:color w:val="525866"/>
          <w:sz w:val="22"/>
        </w:rPr>
        <w:t xml:space="preserve">PPL’s Pennsylvania data center pipeline grew 12% to 28.3 GW; ~10 GW have signed ESAs; 5 GW already under construction. Kentucky pipeline at 12.9 GW (up ~4 GW from year-end). </w:t>
      </w:r>
      <w:r>
        <w:rPr>
          <w:rFonts w:ascii="Calibri" w:hAnsi="Calibri"/>
          <w:i/>
          <w:color w:val="525866"/>
          <w:sz w:val="22"/>
        </w:rPr>
        <w:t>AEP read-through: The scale of data center demand in PJM territory (where AEP also operates) is enormous; AEP’s Ohio and West Virginia pipelines (including the Piketon 10 GW campus) are credible.</w:t>
      </w:r>
    </w:p>
    <w:p>
      <w:pPr>
        <w:pStyle w:val="ListBullet"/>
        <w:ind w:left="360" w:hanging="360"/>
      </w:pPr>
      <w:r>
        <w:rPr>
          <w:rFonts w:ascii="Calibri" w:hAnsi="Calibri"/>
          <w:b/>
          <w:color w:val="525866"/>
          <w:sz w:val="22"/>
        </w:rPr>
        <w:t xml:space="preserve">Transmission competitive advantage drives speed to market: </w:t>
      </w:r>
      <w:r>
        <w:rPr>
          <w:rFonts w:ascii="Calibri" w:hAnsi="Calibri"/>
          <w:color w:val="525866"/>
          <w:sz w:val="22"/>
        </w:rPr>
        <w:t xml:space="preserve">PPL spending less than $150M total per GW of data center capacity added, with hyperscalers paying more than half directly. Dynamic line rating integrated into PJM day-ahead market. </w:t>
      </w:r>
      <w:r>
        <w:rPr>
          <w:rFonts w:ascii="Calibri" w:hAnsi="Calibri"/>
          <w:i/>
          <w:color w:val="525866"/>
          <w:sz w:val="22"/>
        </w:rPr>
        <w:t>AEP read-through: AEP’s 765 kV transmission network provides a similar speed-to-market advantage for large-load interconnection.</w:t>
      </w:r>
    </w:p>
    <w:p>
      <w:pPr>
        <w:pStyle w:val="ListBullet"/>
        <w:ind w:left="360" w:hanging="360"/>
      </w:pPr>
      <w:r>
        <w:rPr>
          <w:rFonts w:ascii="Calibri" w:hAnsi="Calibri"/>
          <w:b/>
          <w:color w:val="525866"/>
          <w:sz w:val="22"/>
        </w:rPr>
        <w:t xml:space="preserve">Blackstone JV for generation gaining momentum: </w:t>
      </w:r>
      <w:r>
        <w:rPr>
          <w:rFonts w:ascii="Calibri" w:hAnsi="Calibri"/>
          <w:color w:val="525866"/>
          <w:sz w:val="22"/>
        </w:rPr>
        <w:t xml:space="preserve">PPL executing multiple gas turbine reservation agreements; submitted PJM interconnection requests for multiple generation projects; expects to “announce something meaningful” regarding the JV this year. </w:t>
      </w:r>
      <w:r>
        <w:rPr>
          <w:rFonts w:ascii="Calibri" w:hAnsi="Calibri"/>
          <w:i/>
          <w:color w:val="525866"/>
          <w:sz w:val="22"/>
        </w:rPr>
        <w:t>AEP read-through: AEP’s $24B generation capital plan (including $2.5B I&amp;M gas) and nuclear site review are consistent with sector-wide generation investment acceleration.</w:t>
      </w:r>
    </w:p>
    <w:p>
      <w:pPr>
        <w:pStyle w:val="ListBullet"/>
        <w:ind w:left="360" w:hanging="360"/>
      </w:pPr>
      <w:r>
        <w:rPr>
          <w:rFonts w:ascii="Calibri" w:hAnsi="Calibri"/>
          <w:b/>
          <w:color w:val="525866"/>
          <w:sz w:val="22"/>
        </w:rPr>
        <w:t xml:space="preserve">Pennsylvania rate case settlement: </w:t>
      </w:r>
      <w:r>
        <w:rPr>
          <w:rFonts w:ascii="Calibri" w:hAnsi="Calibri"/>
          <w:color w:val="525866"/>
          <w:sz w:val="22"/>
        </w:rPr>
        <w:t xml:space="preserve">PPL Electric reached a constructive settlement with bill increases of less than 4% across all customer classes; new large load customer rate class created with 10-year load requirement and financial commitments. </w:t>
      </w:r>
      <w:r>
        <w:rPr>
          <w:rFonts w:ascii="Calibri" w:hAnsi="Calibri"/>
          <w:i/>
          <w:color w:val="525866"/>
          <w:sz w:val="22"/>
        </w:rPr>
        <w:t>AEP read-through: Constructive regulatory outcomes for large-load tariffs are becoming the industry norm, supporting AEP’s regulatory strategy.</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the Q1 2026 earnings print. The only Form 4 activity consists of routine tax-withholding RSU forfeitures (code F) by three executives on May 1, and standard director phantom stock unit accruals (code A) on June 30. </w:t>
      </w:r>
      <w:r>
        <w:rPr>
          <w:rFonts w:ascii="Calibri" w:hAnsi="Calibri"/>
          <w:b/>
          <w:color w:val="525866"/>
          <w:sz w:val="22"/>
        </w:rPr>
        <w:t>The absence of any discretionary selling by insiders is a mild positive signal</w:t>
      </w:r>
      <w:r>
        <w:rPr>
          <w:rFonts w:ascii="Calibri" w:hAnsi="Calibri"/>
          <w:color w:val="525866"/>
          <w:sz w:val="22"/>
        </w:rPr>
        <w:t xml:space="preserve"> given the stock’s post-offering weakness.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Units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Cannon, Douglas A.</w:t>
            </w:r>
          </w:p>
        </w:tc>
        <w:tc>
          <w:tcPr>
            <w:tcW w:type="dxa" w:w="1440"/>
          </w:tcPr>
          <w:p>
            <w:r>
              <w:rPr>
                <w:rFonts w:ascii="Calibri" w:hAnsi="Calibri"/>
                <w:sz w:val="22"/>
              </w:rPr>
              <w:t>President, AEP Transmission</w:t>
            </w:r>
          </w:p>
        </w:tc>
        <w:tc>
          <w:tcPr>
            <w:tcW w:type="dxa" w:w="1440"/>
          </w:tcPr>
          <w:p>
            <w:r>
              <w:rPr>
                <w:rFonts w:ascii="Calibri" w:hAnsi="Calibri"/>
                <w:sz w:val="22"/>
              </w:rPr>
              <w:t>RSU Tax Withholding (Code F)</w:t>
            </w:r>
          </w:p>
        </w:tc>
        <w:tc>
          <w:tcPr>
            <w:tcW w:type="dxa" w:w="1440"/>
          </w:tcPr>
          <w:p>
            <w:r>
              <w:rPr>
                <w:rFonts w:ascii="Calibri" w:hAnsi="Calibri"/>
                <w:sz w:val="22"/>
              </w:rPr>
              <w:t>1,770 RSUs forfeited</w:t>
            </w:r>
          </w:p>
        </w:tc>
        <w:tc>
          <w:tcPr>
            <w:tcW w:type="dxa" w:w="1440"/>
          </w:tcPr>
          <w:p>
            <w:r>
              <w:rPr>
                <w:rFonts w:ascii="Calibri" w:hAnsi="Calibri"/>
                <w:sz w:val="22"/>
              </w:rPr>
              <w:t>May 1, 2026</w:t>
            </w:r>
          </w:p>
        </w:tc>
        <w:tc>
          <w:tcPr>
            <w:tcW w:type="dxa" w:w="1440"/>
          </w:tcPr>
          <w:p>
            <w:r>
              <w:rPr>
                <w:rFonts w:ascii="Calibri" w:hAnsi="Calibri"/>
                <w:sz w:val="22"/>
              </w:rPr>
              <w:t>Routine tax withholding on RSU vest; not a discretionary sale; 25,655 shares held after</w:t>
            </w:r>
          </w:p>
        </w:tc>
      </w:tr>
      <w:tr>
        <w:tc>
          <w:tcPr>
            <w:tcW w:type="dxa" w:w="1440"/>
          </w:tcPr>
          <w:p>
            <w:r>
              <w:rPr>
                <w:rFonts w:ascii="Calibri" w:hAnsi="Calibri"/>
                <w:sz w:val="22"/>
              </w:rPr>
              <w:t>Dixon, Kate</w:t>
            </w:r>
          </w:p>
        </w:tc>
        <w:tc>
          <w:tcPr>
            <w:tcW w:type="dxa" w:w="1440"/>
          </w:tcPr>
          <w:p>
            <w:r>
              <w:rPr>
                <w:rFonts w:ascii="Calibri" w:hAnsi="Calibri"/>
                <w:sz w:val="22"/>
              </w:rPr>
              <w:t>Controller / CAO</w:t>
            </w:r>
          </w:p>
        </w:tc>
        <w:tc>
          <w:tcPr>
            <w:tcW w:type="dxa" w:w="1440"/>
          </w:tcPr>
          <w:p>
            <w:r>
              <w:rPr>
                <w:rFonts w:ascii="Calibri" w:hAnsi="Calibri"/>
                <w:sz w:val="22"/>
              </w:rPr>
              <w:t>RSU Tax Withholding (Code F)</w:t>
            </w:r>
          </w:p>
        </w:tc>
        <w:tc>
          <w:tcPr>
            <w:tcW w:type="dxa" w:w="1440"/>
          </w:tcPr>
          <w:p>
            <w:r>
              <w:rPr>
                <w:rFonts w:ascii="Calibri" w:hAnsi="Calibri"/>
                <w:sz w:val="22"/>
              </w:rPr>
              <w:t>636 RSUs forfeited</w:t>
            </w:r>
          </w:p>
        </w:tc>
        <w:tc>
          <w:tcPr>
            <w:tcW w:type="dxa" w:w="1440"/>
          </w:tcPr>
          <w:p>
            <w:r>
              <w:rPr>
                <w:rFonts w:ascii="Calibri" w:hAnsi="Calibri"/>
                <w:sz w:val="22"/>
              </w:rPr>
              <w:t>May 1, 2026</w:t>
            </w:r>
          </w:p>
        </w:tc>
        <w:tc>
          <w:tcPr>
            <w:tcW w:type="dxa" w:w="1440"/>
          </w:tcPr>
          <w:p>
            <w:r>
              <w:rPr>
                <w:rFonts w:ascii="Calibri" w:hAnsi="Calibri"/>
                <w:sz w:val="22"/>
              </w:rPr>
              <w:t>Routine tax withholding on RSU vest; not a discretionary sale; 17,780 shares held after</w:t>
            </w:r>
          </w:p>
        </w:tc>
      </w:tr>
      <w:tr>
        <w:tc>
          <w:tcPr>
            <w:tcW w:type="dxa" w:w="1440"/>
          </w:tcPr>
          <w:p>
            <w:r>
              <w:rPr>
                <w:rFonts w:ascii="Calibri" w:hAnsi="Calibri"/>
                <w:sz w:val="22"/>
              </w:rPr>
              <w:t>Hall, Greg B.</w:t>
            </w:r>
          </w:p>
        </w:tc>
        <w:tc>
          <w:tcPr>
            <w:tcW w:type="dxa" w:w="1440"/>
          </w:tcPr>
          <w:p>
            <w:r>
              <w:rPr>
                <w:rFonts w:ascii="Calibri" w:hAnsi="Calibri"/>
                <w:sz w:val="22"/>
              </w:rPr>
              <w:t>Executive Vice President</w:t>
            </w:r>
          </w:p>
        </w:tc>
        <w:tc>
          <w:tcPr>
            <w:tcW w:type="dxa" w:w="1440"/>
          </w:tcPr>
          <w:p>
            <w:r>
              <w:rPr>
                <w:rFonts w:ascii="Calibri" w:hAnsi="Calibri"/>
                <w:sz w:val="22"/>
              </w:rPr>
              <w:t>RSU Tax Withholding (Code F)</w:t>
            </w:r>
          </w:p>
        </w:tc>
        <w:tc>
          <w:tcPr>
            <w:tcW w:type="dxa" w:w="1440"/>
          </w:tcPr>
          <w:p>
            <w:r>
              <w:rPr>
                <w:rFonts w:ascii="Calibri" w:hAnsi="Calibri"/>
                <w:sz w:val="22"/>
              </w:rPr>
              <w:t>4,306 RSUs forfeited</w:t>
            </w:r>
          </w:p>
        </w:tc>
        <w:tc>
          <w:tcPr>
            <w:tcW w:type="dxa" w:w="1440"/>
          </w:tcPr>
          <w:p>
            <w:r>
              <w:rPr>
                <w:rFonts w:ascii="Calibri" w:hAnsi="Calibri"/>
                <w:sz w:val="22"/>
              </w:rPr>
              <w:t>May 1, 2026</w:t>
            </w:r>
          </w:p>
        </w:tc>
        <w:tc>
          <w:tcPr>
            <w:tcW w:type="dxa" w:w="1440"/>
          </w:tcPr>
          <w:p>
            <w:r>
              <w:rPr>
                <w:rFonts w:ascii="Calibri" w:hAnsi="Calibri"/>
                <w:sz w:val="22"/>
              </w:rPr>
              <w:t>Routine tax withholding on RSU vest; not a discretionary sale; 36,019 shares held after</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Phantom Stock Unit Accrual (Code A)</w:t>
            </w:r>
          </w:p>
        </w:tc>
        <w:tc>
          <w:tcPr>
            <w:tcW w:type="dxa" w:w="1440"/>
          </w:tcPr>
          <w:p>
            <w:r>
              <w:rPr>
                <w:rFonts w:ascii="Calibri" w:hAnsi="Calibri"/>
                <w:sz w:val="22"/>
              </w:rPr>
              <w:t>0 shares (unit accruals only)</w:t>
            </w:r>
          </w:p>
        </w:tc>
        <w:tc>
          <w:tcPr>
            <w:tcW w:type="dxa" w:w="1440"/>
          </w:tcPr>
          <w:p>
            <w:r>
              <w:rPr>
                <w:rFonts w:ascii="Calibri" w:hAnsi="Calibri"/>
                <w:sz w:val="22"/>
              </w:rPr>
              <w:t>June 30, 2026</w:t>
            </w:r>
          </w:p>
        </w:tc>
        <w:tc>
          <w:tcPr>
            <w:tcW w:type="dxa" w:w="1440"/>
          </w:tcPr>
          <w:p>
            <w:r>
              <w:rPr>
                <w:rFonts w:ascii="Calibri" w:hAnsi="Calibri"/>
                <w:sz w:val="22"/>
              </w:rPr>
              <w:t>Routine quarterly director compensation accrual; no cash or share transaction; includes Fowke, Garcia, Lin, McCarthy, Roberts, Sauvage, Stoddard, Tucker, Von Thaer</w:t>
            </w:r>
          </w:p>
        </w:tc>
      </w:tr>
    </w:tbl>
    <w:p>
      <w:r>
        <w:rPr>
          <w:rFonts w:ascii="Calibri" w:hAnsi="Calibri"/>
          <w:color w:val="525866"/>
          <w:sz w:val="22"/>
        </w:rPr>
        <w:t xml:space="preserve">Source: SEC Form 4 filings. Open-market buys (code P) and discretionary sells (code S) only: </w:t>
      </w:r>
      <w:r>
        <w:rPr>
          <w:rFonts w:ascii="Calibri" w:hAnsi="Calibri"/>
          <w:b/>
          <w:color w:val="525866"/>
          <w:sz w:val="22"/>
        </w:rPr>
        <w:t>none filed since the Q1 2026 earnings print (May 5, 2026).</w:t>
      </w:r>
      <w:r>
        <w:rPr>
          <w:rFonts w:ascii="Calibri" w:hAnsi="Calibri"/>
          <w:color w:val="525866"/>
          <w:sz w:val="22"/>
        </w:rPr>
        <w:t xml:space="preserve"> All executive activity consists of code F (tax withholding on RSU vests, which are obligation-driven and not indicative of sentiment) and code A (director phantom stock unit accruals, which are non-cash compensation). The new directors appointed July 20, 2026 (Marriott and Meyers) have not yet filed any Form 4 activity. The absence of discretionary selling by the CEO, CFO, or other senior executives during the post-offering stock weakness is a mild positive signal.</w:t>
      </w:r>
    </w:p>
    <w:p>
      <w:r>
        <w:rPr>
          <w:rFonts w:ascii="Calibri" w:hAnsi="Calibri"/>
          <w:b/>
          <w:color w:val="525866"/>
          <w:sz w:val="22"/>
        </w:rPr>
        <w:t xml:space="preserve">Disclaimer: </w:t>
      </w:r>
      <w:r>
        <w:rPr>
          <w:rFonts w:ascii="Calibri" w:hAnsi="Calibri"/>
          <w:i/>
          <w:color w:val="525866"/>
          <w:sz w:val="22"/>
        </w:rPr>
        <w:t>This document is prepared for informational purposes only and does not constitute investment advice. All consensus estimates sourced from Visible Alpha. All insider transaction data sourced from SEC Form 4 filings. Peer commentary sourced from publicly available earnings call transcripts and 8-K filings. Prepared: July 29,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