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Electric Power (AEP)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American Electric Power Company, Inc.</w:t>
            </w:r>
          </w:p>
        </w:tc>
      </w:tr>
      <w:tr>
        <w:tc>
          <w:tcPr>
            <w:tcW w:type="dxa" w:w="4320"/>
          </w:tcPr>
          <w:p>
            <w:r>
              <w:rPr>
                <w:rFonts w:ascii="Calibri" w:hAnsi="Calibri"/>
                <w:b/>
                <w:sz w:val="22"/>
              </w:rPr>
              <w:t>Ticker</w:t>
            </w:r>
          </w:p>
        </w:tc>
        <w:tc>
          <w:tcPr>
            <w:tcW w:type="dxa" w:w="4320"/>
          </w:tcPr>
          <w:p>
            <w:r>
              <w:rPr>
                <w:rFonts w:ascii="Calibri" w:hAnsi="Calibri"/>
                <w:sz w:val="22"/>
              </w:rPr>
              <w:t>AEP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Call Date</w:t>
            </w:r>
          </w:p>
        </w:tc>
        <w:tc>
          <w:tcPr>
            <w:tcW w:type="dxa" w:w="4320"/>
          </w:tcPr>
          <w:p>
            <w:r>
              <w:rPr>
                <w:rFonts w:ascii="Calibri" w:hAnsi="Calibri"/>
                <w:sz w:val="22"/>
              </w:rPr>
              <w:t>July 30, 2026 at 9:00 AM ET</w:t>
            </w:r>
          </w:p>
        </w:tc>
      </w:tr>
      <w:tr>
        <w:tc>
          <w:tcPr>
            <w:tcW w:type="dxa" w:w="4320"/>
          </w:tcPr>
          <w:p>
            <w:r>
              <w:rPr>
                <w:rFonts w:ascii="Calibri" w:hAnsi="Calibri"/>
                <w:b/>
                <w:sz w:val="22"/>
              </w:rPr>
              <w:t>Last Earnings Date</w:t>
            </w:r>
          </w:p>
        </w:tc>
        <w:tc>
          <w:tcPr>
            <w:tcW w:type="dxa" w:w="4320"/>
          </w:tcPr>
          <w:p>
            <w:r>
              <w:rPr>
                <w:rFonts w:ascii="Calibri" w:hAnsi="Calibri"/>
                <w:sz w:val="22"/>
              </w:rPr>
              <w:t>May 5, 2026 (Q1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Primary Valuation Metric</w:t>
            </w:r>
          </w:p>
        </w:tc>
        <w:tc>
          <w:tcPr>
            <w:tcW w:type="dxa" w:w="4320"/>
          </w:tcPr>
          <w:p>
            <w:r>
              <w:rPr>
                <w:rFonts w:ascii="Calibri" w:hAnsi="Calibri"/>
                <w:sz w:val="22"/>
              </w:rPr>
              <w:t>P/E (NTM) — 19.95x current; sector ETF: XLU</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AEP's Q2 2026 print is modestly constructive — consensus sits at $1.49 operating EPS, a manageable bar given the company's strong Q1 beat and reaffirmed full-year guidance, but the single biggest swing factor is whether management raises the contracted load figure above 63 GW and provides incremental color on the $10B+ line-of-sight capital pipeline.</w:t>
      </w:r>
    </w:p>
    <w:p>
      <w:r>
        <w:rPr>
          <w:rFonts w:ascii="Calibri" w:hAnsi="Calibri"/>
          <w:color w:val="525866"/>
          <w:sz w:val="22"/>
        </w:rPr>
        <w:t xml:space="preserve">Heading into Q2 2026 earnings, AEP's bar looks achievable: consensus operating EPS of $1.49 represents a modest step-down from Q1's $1.64 (seasonally normal for a spring quarter) and sits roughly in line with the prior-year Q2 actual of $1.43, implying only ~4% YoY growth — a low hurdle given the company's accelerating rate-base trajectory. </w:t>
      </w:r>
      <w:r>
        <w:rPr>
          <w:rFonts w:ascii="Calibri" w:hAnsi="Calibri"/>
          <w:b/>
          <w:color w:val="525866"/>
          <w:sz w:val="22"/>
        </w:rPr>
        <w:t>Management's posture on the May 5 Q1 call was unambiguously confident</w:t>
      </w:r>
      <w:r>
        <w:rPr>
          <w:rFonts w:ascii="Calibri" w:hAnsi="Calibri"/>
          <w:color w:val="525866"/>
          <w:sz w:val="22"/>
        </w:rPr>
        <w:t xml:space="preserve"> — the capital plan was raised to $78B, contracted load jumped to 63 GW, and the long-term EPS CAGR was upgraded to &gt;9%, leaving guidance ($6.15–$6.45 for FY2026) unchanged and well-supported. Estimate revisions have been essentially flat since the Q1 print (consensus FY2026 EPS moved from ~$6.45 to ~$6.40), suggesting the street has not yet fully priced in the incremental capital upside, which represents a potential positive catalyst. </w:t>
      </w:r>
      <w:r>
        <w:rPr>
          <w:rFonts w:ascii="Calibri" w:hAnsi="Calibri"/>
          <w:b/>
          <w:color w:val="525866"/>
          <w:sz w:val="22"/>
        </w:rPr>
        <w:t>The stock has pulled back ~6% over the past month</w:t>
      </w:r>
      <w:r>
        <w:rPr>
          <w:rFonts w:ascii="Calibri" w:hAnsi="Calibri"/>
          <w:color w:val="525866"/>
          <w:sz w:val="22"/>
        </w:rPr>
        <w:t xml:space="preserve"> (NTM P/E compressed from ~20.9x to ~19.95x), unwinding some of the post-Q1 re-rating and leaving the setup less stretched than it was in May; the multiple is still above the 12-month starting point (~18x) but not euphoric. The key wildcard is the status of the Wyoming Fuel Cell project (management flagged a June-end decision point that has now passed) and any update on the PJM RTO review — either could move the stock meaningfully in either direction regardless of the reported EPS figure.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low-to-moderate bar on operating EPS ($1.49 vs. $1.43 prior year), while the bigger swing factor is management's contracted load update and any revision to the $78B capital plan — both of which are not captured in the EPS line but drive the long-term re-rating thesis.</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$1.64</w:t>
            </w:r>
          </w:p>
        </w:tc>
        <w:tc>
          <w:tcPr>
            <w:tcW w:type="dxa" w:w="1234"/>
          </w:tcPr>
          <w:p>
            <w:r>
              <w:rPr>
                <w:rFonts w:ascii="Calibri" w:hAnsi="Calibri"/>
                <w:sz w:val="22"/>
              </w:rPr>
              <w:t>$1.43</w:t>
            </w:r>
          </w:p>
        </w:tc>
        <w:tc>
          <w:tcPr>
            <w:tcW w:type="dxa" w:w="1234"/>
          </w:tcPr>
          <w:p>
            <w:r>
              <w:rPr>
                <w:rFonts w:ascii="Calibri" w:hAnsi="Calibri"/>
                <w:sz w:val="22"/>
              </w:rPr>
              <w:t>$1.49</w:t>
            </w:r>
          </w:p>
        </w:tc>
        <w:tc>
          <w:tcPr>
            <w:tcW w:type="dxa" w:w="1234"/>
          </w:tcPr>
          <w:p>
            <w:r>
              <w:rPr>
                <w:rFonts w:ascii="Calibri" w:hAnsi="Calibri"/>
                <w:sz w:val="22"/>
              </w:rPr>
              <w:t>+4.2%</w:t>
            </w:r>
          </w:p>
        </w:tc>
        <w:tc>
          <w:tcPr>
            <w:tcW w:type="dxa" w:w="1234"/>
          </w:tcPr>
          <w:p>
            <w:r>
              <w:rPr>
                <w:rFonts w:ascii="Calibri" w:hAnsi="Calibri"/>
                <w:sz w:val="22"/>
              </w:rPr>
              <w:t>$6.15–$6.45 ($6.30 mid)</w:t>
            </w:r>
          </w:p>
        </w:tc>
        <w:tc>
          <w:tcPr>
            <w:tcW w:type="dxa" w:w="1234"/>
          </w:tcPr>
          <w:p>
            <w:r>
              <w:rPr>
                <w:rFonts w:ascii="Calibri" w:hAnsi="Calibri"/>
                <w:sz w:val="22"/>
              </w:rPr>
              <w:t>FY cons. $6.40 vs. $6.30 mid = +1.6% above mid</w:t>
            </w:r>
          </w:p>
        </w:tc>
      </w:tr>
      <w:tr>
        <w:tc>
          <w:tcPr>
            <w:tcW w:type="dxa" w:w="1234"/>
          </w:tcPr>
          <w:p>
            <w:r>
              <w:rPr>
                <w:rFonts w:ascii="Calibri" w:hAnsi="Calibri"/>
                <w:sz w:val="22"/>
              </w:rPr>
              <w:t>Total Operating Revenue</w:t>
            </w:r>
          </w:p>
        </w:tc>
        <w:tc>
          <w:tcPr>
            <w:tcW w:type="dxa" w:w="1234"/>
          </w:tcPr>
          <w:p>
            <w:r>
              <w:rPr>
                <w:rFonts w:ascii="Calibri" w:hAnsi="Calibri"/>
                <w:sz w:val="22"/>
              </w:rPr>
              <w:t>$6.04B</w:t>
            </w:r>
          </w:p>
        </w:tc>
        <w:tc>
          <w:tcPr>
            <w:tcW w:type="dxa" w:w="1234"/>
          </w:tcPr>
          <w:p>
            <w:r>
              <w:rPr>
                <w:rFonts w:ascii="Calibri" w:hAnsi="Calibri"/>
                <w:sz w:val="22"/>
              </w:rPr>
              <w:t>$5.06B</w:t>
            </w:r>
          </w:p>
        </w:tc>
        <w:tc>
          <w:tcPr>
            <w:tcW w:type="dxa" w:w="1234"/>
          </w:tcPr>
          <w:p>
            <w:r>
              <w:rPr>
                <w:rFonts w:ascii="Calibri" w:hAnsi="Calibri"/>
                <w:sz w:val="22"/>
              </w:rPr>
              <w:t>$5.52B</w:t>
            </w:r>
          </w:p>
        </w:tc>
        <w:tc>
          <w:tcPr>
            <w:tcW w:type="dxa" w:w="1234"/>
          </w:tcPr>
          <w:p>
            <w:r>
              <w:rPr>
                <w:rFonts w:ascii="Calibri" w:hAnsi="Calibri"/>
                <w:sz w:val="22"/>
              </w:rPr>
              <w:t>+9.1%</w:t>
            </w:r>
          </w:p>
        </w:tc>
        <w:tc>
          <w:tcPr>
            <w:tcW w:type="dxa" w:w="1234"/>
          </w:tcPr>
          <w:p>
            <w:r>
              <w:rPr>
                <w:rFonts w:ascii="Calibri" w:hAnsi="Calibri"/>
                <w:sz w:val="22"/>
              </w:rPr>
              <w:t>N/A — no quarterly revenue guidance</w:t>
            </w:r>
          </w:p>
        </w:tc>
        <w:tc>
          <w:tcPr>
            <w:tcW w:type="dxa" w:w="1234"/>
          </w:tcPr>
          <w:p>
            <w:r>
              <w:rPr>
                <w:rFonts w:ascii="Calibri" w:hAnsi="Calibri"/>
                <w:sz w:val="22"/>
              </w:rPr>
              <w:t>N/A</w:t>
            </w:r>
          </w:p>
        </w:tc>
      </w:tr>
      <w:tr>
        <w:tc>
          <w:tcPr>
            <w:tcW w:type="dxa" w:w="1234"/>
          </w:tcPr>
          <w:p>
            <w:r>
              <w:rPr>
                <w:rFonts w:ascii="Calibri" w:hAnsi="Calibri"/>
                <w:sz w:val="22"/>
              </w:rPr>
              <w:t>CapEx</w:t>
            </w:r>
          </w:p>
        </w:tc>
        <w:tc>
          <w:tcPr>
            <w:tcW w:type="dxa" w:w="1234"/>
          </w:tcPr>
          <w:p>
            <w:r>
              <w:rPr>
                <w:rFonts w:ascii="Calibri" w:hAnsi="Calibri"/>
                <w:sz w:val="22"/>
              </w:rPr>
              <w:t>$2.83B</w:t>
            </w:r>
          </w:p>
        </w:tc>
        <w:tc>
          <w:tcPr>
            <w:tcW w:type="dxa" w:w="1234"/>
          </w:tcPr>
          <w:p>
            <w:r>
              <w:rPr>
                <w:rFonts w:ascii="Calibri" w:hAnsi="Calibri"/>
                <w:sz w:val="22"/>
              </w:rPr>
              <w:t>$1.92B</w:t>
            </w:r>
          </w:p>
        </w:tc>
        <w:tc>
          <w:tcPr>
            <w:tcW w:type="dxa" w:w="1234"/>
          </w:tcPr>
          <w:p>
            <w:r>
              <w:rPr>
                <w:rFonts w:ascii="Calibri" w:hAnsi="Calibri"/>
                <w:sz w:val="22"/>
              </w:rPr>
              <w:t>$3.29B</w:t>
            </w:r>
          </w:p>
        </w:tc>
        <w:tc>
          <w:tcPr>
            <w:tcW w:type="dxa" w:w="1234"/>
          </w:tcPr>
          <w:p>
            <w:r>
              <w:rPr>
                <w:rFonts w:ascii="Calibri" w:hAnsi="Calibri"/>
                <w:sz w:val="22"/>
              </w:rPr>
              <w:t>+71.4%</w:t>
            </w:r>
          </w:p>
        </w:tc>
        <w:tc>
          <w:tcPr>
            <w:tcW w:type="dxa" w:w="1234"/>
          </w:tcPr>
          <w:p>
            <w:r>
              <w:rPr>
                <w:rFonts w:ascii="Calibri" w:hAnsi="Calibri"/>
                <w:sz w:val="22"/>
              </w:rPr>
              <w:t>$12.83B FY2026 (plan)</w:t>
            </w:r>
          </w:p>
        </w:tc>
        <w:tc>
          <w:tcPr>
            <w:tcW w:type="dxa" w:w="1234"/>
          </w:tcPr>
          <w:p>
            <w:r>
              <w:rPr>
                <w:rFonts w:ascii="Calibri" w:hAnsi="Calibri"/>
                <w:sz w:val="22"/>
              </w:rPr>
              <w:t>FY cons. $12.83B vs. plan ≈ in-line</w:t>
            </w:r>
          </w:p>
        </w:tc>
      </w:tr>
      <w:tr>
        <w:tc>
          <w:tcPr>
            <w:tcW w:type="dxa" w:w="1234"/>
          </w:tcPr>
          <w:p>
            <w:r>
              <w:rPr>
                <w:rFonts w:ascii="Calibri" w:hAnsi="Calibri"/>
                <w:sz w:val="22"/>
              </w:rPr>
              <w:t>Ending Rate Base — T&amp;D</w:t>
            </w:r>
          </w:p>
        </w:tc>
        <w:tc>
          <w:tcPr>
            <w:tcW w:type="dxa" w:w="1234"/>
          </w:tcPr>
          <w:p>
            <w:r>
              <w:rPr>
                <w:rFonts w:ascii="Calibri" w:hAnsi="Calibri"/>
                <w:sz w:val="22"/>
              </w:rPr>
              <w:t>$22.83B</w:t>
            </w:r>
          </w:p>
        </w:tc>
        <w:tc>
          <w:tcPr>
            <w:tcW w:type="dxa" w:w="1234"/>
          </w:tcPr>
          <w:p>
            <w:r>
              <w:rPr>
                <w:rFonts w:ascii="Calibri" w:hAnsi="Calibri"/>
                <w:sz w:val="22"/>
              </w:rPr>
              <w:t>$21.13B</w:t>
            </w:r>
          </w:p>
        </w:tc>
        <w:tc>
          <w:tcPr>
            <w:tcW w:type="dxa" w:w="1234"/>
          </w:tcPr>
          <w:p>
            <w:r>
              <w:rPr>
                <w:rFonts w:ascii="Calibri" w:hAnsi="Calibri"/>
                <w:sz w:val="22"/>
              </w:rPr>
              <w:t>$23.33B</w:t>
            </w:r>
          </w:p>
        </w:tc>
        <w:tc>
          <w:tcPr>
            <w:tcW w:type="dxa" w:w="1234"/>
          </w:tcPr>
          <w:p>
            <w:r>
              <w:rPr>
                <w:rFonts w:ascii="Calibri" w:hAnsi="Calibri"/>
                <w:sz w:val="22"/>
              </w:rPr>
              <w:t>+10.4%</w:t>
            </w:r>
          </w:p>
        </w:tc>
        <w:tc>
          <w:tcPr>
            <w:tcW w:type="dxa" w:w="1234"/>
          </w:tcPr>
          <w:p>
            <w:r>
              <w:rPr>
                <w:rFonts w:ascii="Calibri" w:hAnsi="Calibri"/>
                <w:sz w:val="22"/>
              </w:rPr>
              <w:t>~10% CAGR through 2030 (mgmt target)</w:t>
            </w:r>
          </w:p>
        </w:tc>
        <w:tc>
          <w:tcPr>
            <w:tcW w:type="dxa" w:w="1234"/>
          </w:tcPr>
          <w:p>
            <w:r>
              <w:rPr>
                <w:rFonts w:ascii="Calibri" w:hAnsi="Calibri"/>
                <w:sz w:val="22"/>
              </w:rPr>
              <w:t>Tracking in-line with 10% CAGR target</w:t>
            </w:r>
          </w:p>
        </w:tc>
      </w:tr>
      <w:tr>
        <w:tc>
          <w:tcPr>
            <w:tcW w:type="dxa" w:w="1234"/>
          </w:tcPr>
          <w:p>
            <w:r>
              <w:rPr>
                <w:rFonts w:ascii="Calibri" w:hAnsi="Calibri"/>
                <w:sz w:val="22"/>
              </w:rPr>
              <w:t>FFO / Total Debt</w:t>
            </w:r>
          </w:p>
        </w:tc>
        <w:tc>
          <w:tcPr>
            <w:tcW w:type="dxa" w:w="1234"/>
          </w:tcPr>
          <w:p>
            <w:r>
              <w:rPr>
                <w:rFonts w:ascii="Calibri" w:hAnsi="Calibri"/>
                <w:sz w:val="22"/>
              </w:rPr>
              <w:t>12.5%</w:t>
            </w:r>
          </w:p>
        </w:tc>
        <w:tc>
          <w:tcPr>
            <w:tcW w:type="dxa" w:w="1234"/>
          </w:tcPr>
          <w:p>
            <w:r>
              <w:rPr>
                <w:rFonts w:ascii="Calibri" w:hAnsi="Calibri"/>
                <w:sz w:val="22"/>
              </w:rPr>
              <w:t>12.2%</w:t>
            </w:r>
          </w:p>
        </w:tc>
        <w:tc>
          <w:tcPr>
            <w:tcW w:type="dxa" w:w="1234"/>
          </w:tcPr>
          <w:p>
            <w:r>
              <w:rPr>
                <w:rFonts w:ascii="Calibri" w:hAnsi="Calibri"/>
                <w:sz w:val="22"/>
              </w:rPr>
              <w:t>13.7%</w:t>
            </w:r>
          </w:p>
        </w:tc>
        <w:tc>
          <w:tcPr>
            <w:tcW w:type="dxa" w:w="1234"/>
          </w:tcPr>
          <w:p>
            <w:r>
              <w:rPr>
                <w:rFonts w:ascii="Calibri" w:hAnsi="Calibri"/>
                <w:sz w:val="22"/>
              </w:rPr>
              <w:t>+150 bps</w:t>
            </w:r>
          </w:p>
        </w:tc>
        <w:tc>
          <w:tcPr>
            <w:tcW w:type="dxa" w:w="1234"/>
          </w:tcPr>
          <w:p>
            <w:r>
              <w:rPr>
                <w:rFonts w:ascii="Calibri" w:hAnsi="Calibri"/>
                <w:sz w:val="22"/>
              </w:rPr>
              <w:t>Investment-grade credit quality (no specific quarterly target)</w:t>
            </w:r>
          </w:p>
        </w:tc>
        <w:tc>
          <w:tcPr>
            <w:tcW w:type="dxa" w:w="1234"/>
          </w:tcPr>
          <w:p>
            <w:r>
              <w:rPr>
                <w:rFonts w:ascii="Calibri" w:hAnsi="Calibri"/>
                <w:sz w:val="22"/>
              </w:rPr>
              <w:t>N/A</w:t>
            </w:r>
          </w:p>
        </w:tc>
      </w:tr>
    </w:tbl>
    <w:p>
      <w:r>
        <w:rPr>
          <w:rFonts w:ascii="Calibri" w:hAnsi="Calibri"/>
          <w:i/>
          <w:color w:val="525866"/>
          <w:sz w:val="22"/>
        </w:rPr>
        <w:t>Sources: Visible Alpha Consensus and Actuals Data (AEP US, IS/CF/RB); AEP Q1 2026 Earnings Release (May 5, 2026). All consensus figures as of July 29, 2026.</w:t>
      </w:r>
    </w:p>
    <w:p>
      <w:pPr>
        <w:pStyle w:val="Heading3"/>
      </w:pPr>
      <w:r>
        <w:rPr>
          <w:rFonts w:ascii="Calibri" w:hAnsi="Calibri"/>
          <w:b/>
          <w:color w:val="3B4259"/>
          <w:sz w:val="24"/>
        </w:rPr>
        <w:t>Table 2 — Beat/Miss History: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 EPS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$1.43</w:t>
            </w:r>
          </w:p>
        </w:tc>
        <w:tc>
          <w:tcPr>
            <w:tcW w:type="dxa" w:w="1728"/>
          </w:tcPr>
          <w:p>
            <w:r>
              <w:rPr>
                <w:rFonts w:ascii="Calibri" w:hAnsi="Calibri"/>
                <w:sz w:val="22"/>
              </w:rPr>
              <w:t>$1.29</w:t>
            </w:r>
          </w:p>
        </w:tc>
        <w:tc>
          <w:tcPr>
            <w:tcW w:type="dxa" w:w="1728"/>
          </w:tcPr>
          <w:p>
            <w:r>
              <w:rPr>
                <w:rFonts w:ascii="Calibri" w:hAnsi="Calibri"/>
                <w:b/>
                <w:color w:val="30A46C"/>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$1.85</w:t>
            </w:r>
          </w:p>
        </w:tc>
        <w:tc>
          <w:tcPr>
            <w:tcW w:type="dxa" w:w="1728"/>
          </w:tcPr>
          <w:p>
            <w:r>
              <w:rPr>
                <w:rFonts w:ascii="Calibri" w:hAnsi="Calibri"/>
                <w:sz w:val="22"/>
              </w:rPr>
              <w:t>$1.80</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$1.24</w:t>
            </w:r>
          </w:p>
        </w:tc>
        <w:tc>
          <w:tcPr>
            <w:tcW w:type="dxa" w:w="1728"/>
          </w:tcPr>
          <w:p>
            <w:r>
              <w:rPr>
                <w:rFonts w:ascii="Calibri" w:hAnsi="Calibri"/>
                <w:sz w:val="22"/>
              </w:rPr>
              <w:t>$1.25</w:t>
            </w:r>
          </w:p>
        </w:tc>
        <w:tc>
          <w:tcPr>
            <w:tcW w:type="dxa" w:w="1728"/>
          </w:tcPr>
          <w:p>
            <w:r>
              <w:rPr>
                <w:rFonts w:ascii="Calibri" w:hAnsi="Calibri"/>
                <w:b/>
                <w:color w:val="E5484D"/>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$1.54</w:t>
            </w:r>
          </w:p>
        </w:tc>
        <w:tc>
          <w:tcPr>
            <w:tcW w:type="dxa" w:w="1728"/>
          </w:tcPr>
          <w:p>
            <w:r>
              <w:rPr>
                <w:rFonts w:ascii="Calibri" w:hAnsi="Calibri"/>
                <w:sz w:val="22"/>
              </w:rPr>
              <w:t>$1.41</w:t>
            </w:r>
          </w:p>
        </w:tc>
        <w:tc>
          <w:tcPr>
            <w:tcW w:type="dxa" w:w="1728"/>
          </w:tcPr>
          <w:p>
            <w:r>
              <w:rPr>
                <w:rFonts w:ascii="Calibri" w:hAnsi="Calibri"/>
                <w:b/>
                <w:color w:val="30A46C"/>
                <w:sz w:val="22"/>
              </w:rPr>
              <w:t>+9.2%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$1.43</w:t>
            </w:r>
          </w:p>
        </w:tc>
        <w:tc>
          <w:tcPr>
            <w:tcW w:type="dxa" w:w="1728"/>
          </w:tcPr>
          <w:p>
            <w:r>
              <w:rPr>
                <w:rFonts w:ascii="Calibri" w:hAnsi="Calibri"/>
                <w:sz w:val="22"/>
              </w:rPr>
              <w:t>$1.29</w:t>
            </w:r>
          </w:p>
        </w:tc>
        <w:tc>
          <w:tcPr>
            <w:tcW w:type="dxa" w:w="1728"/>
          </w:tcPr>
          <w:p>
            <w:r>
              <w:rPr>
                <w:rFonts w:ascii="Calibri" w:hAnsi="Calibri"/>
                <w:b/>
                <w:color w:val="30A46C"/>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$1.79</w:t>
            </w:r>
          </w:p>
        </w:tc>
        <w:tc>
          <w:tcPr>
            <w:tcW w:type="dxa" w:w="1728"/>
          </w:tcPr>
          <w:p>
            <w:r>
              <w:rPr>
                <w:rFonts w:ascii="Calibri" w:hAnsi="Calibri"/>
                <w:sz w:val="22"/>
              </w:rPr>
              <w:t>$1.85</w:t>
            </w:r>
          </w:p>
        </w:tc>
        <w:tc>
          <w:tcPr>
            <w:tcW w:type="dxa" w:w="1728"/>
          </w:tcPr>
          <w:p>
            <w:r>
              <w:rPr>
                <w:rFonts w:ascii="Calibri" w:hAnsi="Calibri"/>
                <w:b/>
                <w:color w:val="E5484D"/>
                <w:sz w:val="22"/>
              </w:rPr>
              <w:t>−3.2%</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$1.19</w:t>
            </w:r>
          </w:p>
        </w:tc>
        <w:tc>
          <w:tcPr>
            <w:tcW w:type="dxa" w:w="1728"/>
          </w:tcPr>
          <w:p>
            <w:r>
              <w:rPr>
                <w:rFonts w:ascii="Calibri" w:hAnsi="Calibri"/>
                <w:sz w:val="22"/>
              </w:rPr>
              <w:t>$1.06</w:t>
            </w:r>
          </w:p>
        </w:tc>
        <w:tc>
          <w:tcPr>
            <w:tcW w:type="dxa" w:w="1728"/>
          </w:tcPr>
          <w:p>
            <w:r>
              <w:rPr>
                <w:rFonts w:ascii="Calibri" w:hAnsi="Calibri"/>
                <w:b/>
                <w:color w:val="30A46C"/>
                <w:sz w:val="22"/>
              </w:rPr>
              <w:t>+12.3%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$1.64</w:t>
            </w:r>
          </w:p>
        </w:tc>
        <w:tc>
          <w:tcPr>
            <w:tcW w:type="dxa" w:w="1728"/>
          </w:tcPr>
          <w:p>
            <w:r>
              <w:rPr>
                <w:rFonts w:ascii="Calibri" w:hAnsi="Calibri"/>
                <w:sz w:val="22"/>
              </w:rPr>
              <w:t>$1.59</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AEP has beaten operating EPS consensus in 6 of the last 8 quarters, with the two misses (Q4 2024 and Q3 2025) both narrow and driven by timing items (income taxes, storm costs) that management flagged as reversing — the overall trend is one of consistent, moderate upside delivery.</w:t>
      </w:r>
    </w:p>
    <w:p>
      <w:r>
        <w:rPr>
          <w:rFonts w:ascii="Calibri" w:hAnsi="Calibri"/>
          <w:i/>
          <w:color w:val="525866"/>
          <w:sz w:val="22"/>
        </w:rPr>
        <w:t>Source: Visible Alpha Consensus and Actuals Data (AEP US, IS).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May 5 Q1 earnings call — FY2026 operating EPS of $6.15–$6.45 was reaffirmed and the long-term CAGR was upgraded to &gt;9%; the only post-earnings development was the $2.9B forward equity offering on May 12–13, which was a financing execution event, not a guidance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EPS</w:t>
            </w:r>
          </w:p>
        </w:tc>
        <w:tc>
          <w:tcPr>
            <w:tcW w:type="dxa" w:w="1728"/>
          </w:tcPr>
          <w:p>
            <w:r>
              <w:rPr>
                <w:rFonts w:ascii="Calibri" w:hAnsi="Calibri"/>
                <w:sz w:val="22"/>
              </w:rPr>
              <w:t>$6.15–$6.45 per share</w:t>
            </w:r>
          </w:p>
        </w:tc>
        <w:tc>
          <w:tcPr>
            <w:tcW w:type="dxa" w:w="1728"/>
          </w:tcPr>
          <w:p>
            <w:r>
              <w:rPr>
                <w:rFonts w:ascii="Calibri" w:hAnsi="Calibri"/>
                <w:sz w:val="22"/>
              </w:rPr>
              <w:t>— (unchanged)</w:t>
            </w:r>
          </w:p>
        </w:tc>
        <w:tc>
          <w:tcPr>
            <w:tcW w:type="dxa" w:w="1728"/>
          </w:tcPr>
          <w:p>
            <w:r>
              <w:rPr>
                <w:rFonts w:ascii="Calibri" w:hAnsi="Calibri"/>
                <w:sz w:val="22"/>
              </w:rPr>
              <w:t>$6.40</w:t>
            </w:r>
          </w:p>
        </w:tc>
        <w:tc>
          <w:tcPr>
            <w:tcW w:type="dxa" w:w="1728"/>
          </w:tcPr>
          <w:p>
            <w:r>
              <w:rPr>
                <w:rFonts w:ascii="Calibri" w:hAnsi="Calibri"/>
                <w:sz w:val="22"/>
              </w:rPr>
              <w:t>Reaffirmed on May 5; no post-earnings revision. Consensus sits near top of range.</w:t>
            </w:r>
          </w:p>
        </w:tc>
      </w:tr>
      <w:tr>
        <w:tc>
          <w:tcPr>
            <w:tcW w:type="dxa" w:w="1728"/>
          </w:tcPr>
          <w:p>
            <w:r>
              <w:rPr>
                <w:rFonts w:ascii="Calibri" w:hAnsi="Calibri"/>
                <w:sz w:val="22"/>
              </w:rPr>
              <w:t>FY2026 GAAP EPS</w:t>
            </w:r>
          </w:p>
        </w:tc>
        <w:tc>
          <w:tcPr>
            <w:tcW w:type="dxa" w:w="1728"/>
          </w:tcPr>
          <w:p>
            <w:r>
              <w:rPr>
                <w:rFonts w:ascii="Calibri" w:hAnsi="Calibri"/>
                <w:sz w:val="22"/>
              </w:rPr>
              <w:t>$6.12–$6.42 per share</w:t>
            </w:r>
          </w:p>
        </w:tc>
        <w:tc>
          <w:tcPr>
            <w:tcW w:type="dxa" w:w="1728"/>
          </w:tcPr>
          <w:p>
            <w:r>
              <w:rPr>
                <w:rFonts w:ascii="Calibri" w:hAnsi="Calibri"/>
                <w:sz w:val="22"/>
              </w:rPr>
              <w:t>— (unchanged)</w:t>
            </w:r>
          </w:p>
        </w:tc>
        <w:tc>
          <w:tcPr>
            <w:tcW w:type="dxa" w:w="1728"/>
          </w:tcPr>
          <w:p>
            <w:r>
              <w:rPr>
                <w:rFonts w:ascii="Calibri" w:hAnsi="Calibri"/>
                <w:sz w:val="22"/>
              </w:rPr>
              <w:t>N/A — not tracked separately in VA</w:t>
            </w:r>
          </w:p>
        </w:tc>
        <w:tc>
          <w:tcPr>
            <w:tcW w:type="dxa" w:w="1728"/>
          </w:tcPr>
          <w:p>
            <w:r>
              <w:rPr>
                <w:rFonts w:ascii="Calibri" w:hAnsi="Calibri"/>
                <w:sz w:val="22"/>
              </w:rPr>
              <w:t>Reaffirmed on May 5; no post-earnings revision.</w:t>
            </w:r>
          </w:p>
        </w:tc>
      </w:tr>
      <w:tr>
        <w:tc>
          <w:tcPr>
            <w:tcW w:type="dxa" w:w="1728"/>
          </w:tcPr>
          <w:p>
            <w:r>
              <w:rPr>
                <w:rFonts w:ascii="Calibri" w:hAnsi="Calibri"/>
                <w:sz w:val="22"/>
              </w:rPr>
              <w:t>Long-Term Operating EPS CAGR (2026–2030)</w:t>
            </w:r>
          </w:p>
        </w:tc>
        <w:tc>
          <w:tcPr>
            <w:tcW w:type="dxa" w:w="1728"/>
          </w:tcPr>
          <w:p>
            <w:r>
              <w:rPr>
                <w:rFonts w:ascii="Calibri" w:hAnsi="Calibri"/>
                <w:sz w:val="22"/>
              </w:rPr>
              <w:t>7%–9% range; expected &gt;9% CAGR</w:t>
            </w:r>
          </w:p>
        </w:tc>
        <w:tc>
          <w:tcPr>
            <w:tcW w:type="dxa" w:w="1728"/>
          </w:tcPr>
          <w:p>
            <w:r>
              <w:rPr>
                <w:rFonts w:ascii="Calibri" w:hAnsi="Calibri"/>
                <w:sz w:val="22"/>
              </w:rPr>
              <w:t>— (unchanged)</w:t>
            </w:r>
          </w:p>
        </w:tc>
        <w:tc>
          <w:tcPr>
            <w:tcW w:type="dxa" w:w="1728"/>
          </w:tcPr>
          <w:p>
            <w:r>
              <w:rPr>
                <w:rFonts w:ascii="Calibri" w:hAnsi="Calibri"/>
                <w:sz w:val="22"/>
              </w:rPr>
              <w:t>N/A — not a consensus KPI</w:t>
            </w:r>
          </w:p>
        </w:tc>
        <w:tc>
          <w:tcPr>
            <w:tcW w:type="dxa" w:w="1728"/>
          </w:tcPr>
          <w:p>
            <w:r>
              <w:rPr>
                <w:rFonts w:ascii="Calibri" w:hAnsi="Calibri"/>
                <w:sz w:val="22"/>
              </w:rPr>
              <w:t>↑ Upgraded from 7–9% to &gt;9% on May 5 driven by $78B capital plan; no further revision since.</w:t>
            </w:r>
          </w:p>
        </w:tc>
      </w:tr>
      <w:tr>
        <w:tc>
          <w:tcPr>
            <w:tcW w:type="dxa" w:w="1728"/>
          </w:tcPr>
          <w:p>
            <w:r>
              <w:rPr>
                <w:rFonts w:ascii="Calibri" w:hAnsi="Calibri"/>
                <w:sz w:val="22"/>
              </w:rPr>
              <w:t>5-Year Capital Plan</w:t>
            </w:r>
          </w:p>
        </w:tc>
        <w:tc>
          <w:tcPr>
            <w:tcW w:type="dxa" w:w="1728"/>
          </w:tcPr>
          <w:p>
            <w:r>
              <w:rPr>
                <w:rFonts w:ascii="Calibri" w:hAnsi="Calibri"/>
                <w:sz w:val="22"/>
              </w:rPr>
              <w:t>$78B (2026–2030); $33B transmission (42% of plan)</w:t>
            </w:r>
          </w:p>
        </w:tc>
        <w:tc>
          <w:tcPr>
            <w:tcW w:type="dxa" w:w="1728"/>
          </w:tcPr>
          <w:p>
            <w:r>
              <w:rPr>
                <w:rFonts w:ascii="Calibri" w:hAnsi="Calibri"/>
                <w:sz w:val="22"/>
              </w:rPr>
              <w:t>— (unchanged)</w:t>
            </w:r>
          </w:p>
        </w:tc>
        <w:tc>
          <w:tcPr>
            <w:tcW w:type="dxa" w:w="1728"/>
          </w:tcPr>
          <w:p>
            <w:r>
              <w:rPr>
                <w:rFonts w:ascii="Calibri" w:hAnsi="Calibri"/>
                <w:sz w:val="22"/>
              </w:rPr>
              <w:t>$12.83B FY2026 CapEx consensus</w:t>
            </w:r>
          </w:p>
        </w:tc>
        <w:tc>
          <w:tcPr>
            <w:tcW w:type="dxa" w:w="1728"/>
          </w:tcPr>
          <w:p>
            <w:r>
              <w:rPr>
                <w:rFonts w:ascii="Calibri" w:hAnsi="Calibri"/>
                <w:sz w:val="22"/>
              </w:rPr>
              <w:t>↑ Raised from $72B to $78B on May 5; management flagged &gt;$10B additional line-of-sight beyond base plan. Q3 update expected to add 2031 opportunities.</w:t>
            </w:r>
          </w:p>
        </w:tc>
      </w:tr>
      <w:tr>
        <w:tc>
          <w:tcPr>
            <w:tcW w:type="dxa" w:w="1728"/>
          </w:tcPr>
          <w:p>
            <w:r>
              <w:rPr>
                <w:rFonts w:ascii="Calibri" w:hAnsi="Calibri"/>
                <w:sz w:val="22"/>
              </w:rPr>
              <w:t>Contracted Load</w:t>
            </w:r>
          </w:p>
        </w:tc>
        <w:tc>
          <w:tcPr>
            <w:tcW w:type="dxa" w:w="1728"/>
          </w:tcPr>
          <w:p>
            <w:r>
              <w:rPr>
                <w:rFonts w:ascii="Calibri" w:hAnsi="Calibri"/>
                <w:sz w:val="22"/>
              </w:rPr>
              <w:t>63 GW by 2030 (7 GW added in Q1, primarily Ohio &amp; Texas)</w:t>
            </w:r>
          </w:p>
        </w:tc>
        <w:tc>
          <w:tcPr>
            <w:tcW w:type="dxa" w:w="1728"/>
          </w:tcPr>
          <w:p>
            <w:r>
              <w:rPr>
                <w:rFonts w:ascii="Calibri" w:hAnsi="Calibri"/>
                <w:sz w:val="22"/>
              </w:rPr>
              <w:t>— (unchanged post-earnings)</w:t>
            </w:r>
          </w:p>
        </w:tc>
        <w:tc>
          <w:tcPr>
            <w:tcW w:type="dxa" w:w="1728"/>
          </w:tcPr>
          <w:p>
            <w:r>
              <w:rPr>
                <w:rFonts w:ascii="Calibri" w:hAnsi="Calibri"/>
                <w:sz w:val="22"/>
              </w:rPr>
              <w:t>N/A — not a consensus KPI</w:t>
            </w:r>
          </w:p>
        </w:tc>
        <w:tc>
          <w:tcPr>
            <w:tcW w:type="dxa" w:w="1728"/>
          </w:tcPr>
          <w:p>
            <w:r>
              <w:rPr>
                <w:rFonts w:ascii="Calibri" w:hAnsi="Calibri"/>
                <w:sz w:val="22"/>
              </w:rPr>
              <w:t>Key watch item for Q2 call: any increase above 63 GW would be a positive catalyst.</w:t>
            </w:r>
          </w:p>
        </w:tc>
      </w:tr>
      <w:tr>
        <w:tc>
          <w:tcPr>
            <w:tcW w:type="dxa" w:w="1728"/>
          </w:tcPr>
          <w:p>
            <w:r>
              <w:rPr>
                <w:rFonts w:ascii="Calibri" w:hAnsi="Calibri"/>
                <w:sz w:val="22"/>
              </w:rPr>
              <w:t>Equity Financing</w:t>
            </w:r>
          </w:p>
        </w:tc>
        <w:tc>
          <w:tcPr>
            <w:tcW w:type="dxa" w:w="1728"/>
          </w:tcPr>
          <w:p>
            <w:r>
              <w:rPr>
                <w:rFonts w:ascii="Calibri" w:hAnsi="Calibri"/>
                <w:sz w:val="22"/>
              </w:rPr>
              <w:t>$665M ATM equity issued (2/3 of FY2026 need) at avg. &gt;$131/share</w:t>
            </w:r>
          </w:p>
        </w:tc>
        <w:tc>
          <w:tcPr>
            <w:tcW w:type="dxa" w:w="1728"/>
          </w:tcPr>
          <w:p>
            <w:r>
              <w:rPr>
                <w:rFonts w:ascii="Calibri" w:hAnsi="Calibri"/>
                <w:sz w:val="22"/>
              </w:rPr>
              <w:t>$2.9B forward equity offering (May 12–13, 2026 — 8-K filed May 14)</w:t>
            </w:r>
          </w:p>
        </w:tc>
        <w:tc>
          <w:tcPr>
            <w:tcW w:type="dxa" w:w="1728"/>
          </w:tcPr>
          <w:p>
            <w:r>
              <w:rPr>
                <w:rFonts w:ascii="Calibri" w:hAnsi="Calibri"/>
                <w:sz w:val="22"/>
              </w:rPr>
              <w:t>N/A</w:t>
            </w:r>
          </w:p>
        </w:tc>
        <w:tc>
          <w:tcPr>
            <w:tcW w:type="dxa" w:w="1728"/>
          </w:tcPr>
          <w:p>
            <w:r>
              <w:rPr>
                <w:rFonts w:ascii="Calibri" w:hAnsi="Calibri"/>
                <w:sz w:val="22"/>
              </w:rPr>
              <w:t>Post-earnings financing event: 23.5M shares at $124.97/share forward price; settlement on or before May 31, 2028. Dilutive but back-end loaded; no guidance change.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FY2026 operating EPS consensus has drifted only ~$0.05 lower since the May 5 baseline, likely reflecting the dilutive overhang from the $2.9B forward equity offering rather than any fundamental deterioration; the gap between consensus and guidance midpoint remains thin, suggesting limited cushion but also limited downside risk from estimate cuts.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Operating EPS — Q2 2026</w:t>
            </w:r>
          </w:p>
        </w:tc>
        <w:tc>
          <w:tcPr>
            <w:tcW w:type="dxa" w:w="1080"/>
          </w:tcPr>
          <w:p>
            <w:r>
              <w:rPr>
                <w:rFonts w:ascii="Calibri" w:hAnsi="Calibri"/>
                <w:sz w:val="22"/>
              </w:rPr>
              <w:t>$1.54</w:t>
            </w:r>
          </w:p>
        </w:tc>
        <w:tc>
          <w:tcPr>
            <w:tcW w:type="dxa" w:w="1080"/>
          </w:tcPr>
          <w:p>
            <w:r>
              <w:rPr>
                <w:rFonts w:ascii="Calibri" w:hAnsi="Calibri"/>
                <w:sz w:val="22"/>
              </w:rPr>
              <w:t>$1.49</w:t>
            </w:r>
          </w:p>
        </w:tc>
        <w:tc>
          <w:tcPr>
            <w:tcW w:type="dxa" w:w="1080"/>
          </w:tcPr>
          <w:p>
            <w:r>
              <w:rPr>
                <w:rFonts w:ascii="Calibri" w:hAnsi="Calibri"/>
                <w:b/>
                <w:color w:val="E5484D"/>
                <w:sz w:val="22"/>
              </w:rPr>
              <w:t>−3.2%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$6.45</w:t>
            </w:r>
          </w:p>
        </w:tc>
        <w:tc>
          <w:tcPr>
            <w:tcW w:type="dxa" w:w="1080"/>
          </w:tcPr>
          <w:p>
            <w:r>
              <w:rPr>
                <w:rFonts w:ascii="Calibri" w:hAnsi="Calibri"/>
                <w:sz w:val="22"/>
              </w:rPr>
              <w:t>$6.40</w:t>
            </w:r>
          </w:p>
        </w:tc>
        <w:tc>
          <w:tcPr>
            <w:tcW w:type="dxa" w:w="1080"/>
          </w:tcPr>
          <w:p>
            <w:r>
              <w:rPr>
                <w:rFonts w:ascii="Calibri" w:hAnsi="Calibri"/>
                <w:b/>
                <w:color w:val="E5484D"/>
                <w:sz w:val="22"/>
              </w:rPr>
              <w:t>−0.8%</w:t>
            </w:r>
          </w:p>
        </w:tc>
        <w:tc>
          <w:tcPr>
            <w:tcW w:type="dxa" w:w="1080"/>
          </w:tcPr>
          <w:p>
            <w:r>
              <w:rPr>
                <w:rFonts w:ascii="Calibri" w:hAnsi="Calibri"/>
                <w:sz w:val="22"/>
              </w:rPr>
              <w:t>$6.15–$6.45 ($6.30 mid)</w:t>
            </w:r>
          </w:p>
        </w:tc>
        <w:tc>
          <w:tcPr>
            <w:tcW w:type="dxa" w:w="1080"/>
          </w:tcPr>
          <w:p>
            <w:r>
              <w:rPr>
                <w:rFonts w:ascii="Calibri" w:hAnsi="Calibri"/>
                <w:sz w:val="22"/>
              </w:rPr>
              <w:t>$6.15–$6.45 ($6.30 mid)</w:t>
            </w:r>
          </w:p>
        </w:tc>
        <w:tc>
          <w:tcPr>
            <w:tcW w:type="dxa" w:w="1080"/>
          </w:tcPr>
          <w:p>
            <w:r>
              <w:rPr>
                <w:rFonts w:ascii="Calibri" w:hAnsi="Calibri"/>
                <w:sz w:val="22"/>
              </w:rPr>
              <w:t>Unchanged</w:t>
            </w:r>
          </w:p>
        </w:tc>
        <w:tc>
          <w:tcPr>
            <w:tcW w:type="dxa" w:w="1080"/>
          </w:tcPr>
          <w:p>
            <w:r>
              <w:rPr>
                <w:rFonts w:ascii="Calibri" w:hAnsi="Calibri"/>
                <w:sz w:val="22"/>
              </w:rPr>
              <w:t>+1.6% above mid</w:t>
            </w:r>
          </w:p>
        </w:tc>
      </w:tr>
      <w:tr>
        <w:tc>
          <w:tcPr>
            <w:tcW w:type="dxa" w:w="1080"/>
          </w:tcPr>
          <w:p>
            <w:r>
              <w:rPr>
                <w:rFonts w:ascii="Calibri" w:hAnsi="Calibri"/>
                <w:sz w:val="22"/>
              </w:rPr>
              <w:t>Operating EPS — FY2027</w:t>
            </w:r>
          </w:p>
        </w:tc>
        <w:tc>
          <w:tcPr>
            <w:tcW w:type="dxa" w:w="1080"/>
          </w:tcPr>
          <w:p>
            <w:r>
              <w:rPr>
                <w:rFonts w:ascii="Calibri" w:hAnsi="Calibri"/>
                <w:sz w:val="22"/>
              </w:rPr>
              <w:t>$6.98</w:t>
            </w:r>
          </w:p>
        </w:tc>
        <w:tc>
          <w:tcPr>
            <w:tcW w:type="dxa" w:w="1080"/>
          </w:tcPr>
          <w:p>
            <w:r>
              <w:rPr>
                <w:rFonts w:ascii="Calibri" w:hAnsi="Calibri"/>
                <w:sz w:val="22"/>
              </w:rPr>
              <w:t>$6.91</w:t>
            </w:r>
          </w:p>
        </w:tc>
        <w:tc>
          <w:tcPr>
            <w:tcW w:type="dxa" w:w="1080"/>
          </w:tcPr>
          <w:p>
            <w:r>
              <w:rPr>
                <w:rFonts w:ascii="Calibri" w:hAnsi="Calibri"/>
                <w:b/>
                <w:color w:val="E5484D"/>
                <w:sz w:val="22"/>
              </w:rPr>
              <w:t>−1.0%</w:t>
            </w:r>
          </w:p>
        </w:tc>
        <w:tc>
          <w:tcPr>
            <w:tcW w:type="dxa" w:w="1080"/>
          </w:tcPr>
          <w:p>
            <w:r>
              <w:rPr>
                <w:rFonts w:ascii="Calibri" w:hAnsi="Calibri"/>
                <w:sz w:val="22"/>
              </w:rPr>
              <w:t>No FY2027 guidance provided</w:t>
            </w:r>
          </w:p>
        </w:tc>
        <w:tc>
          <w:tcPr>
            <w:tcW w:type="dxa" w:w="1080"/>
          </w:tcPr>
          <w:p>
            <w:r>
              <w:rPr>
                <w:rFonts w:ascii="Calibri" w:hAnsi="Calibri"/>
                <w:sz w:val="22"/>
              </w:rPr>
              <w:t>No FY2027 guidance provided</w:t>
            </w:r>
          </w:p>
        </w:tc>
        <w:tc>
          <w:tcPr>
            <w:tcW w:type="dxa" w:w="1080"/>
          </w:tcPr>
          <w:p>
            <w:r>
              <w:rPr>
                <w:rFonts w:ascii="Calibri" w:hAnsi="Calibri"/>
                <w:sz w:val="22"/>
              </w:rPr>
              <w:t>N/A</w:t>
            </w:r>
          </w:p>
        </w:tc>
        <w:tc>
          <w:tcPr>
            <w:tcW w:type="dxa" w:w="1080"/>
          </w:tcPr>
          <w:p>
            <w:r>
              <w:rPr>
                <w:rFonts w:ascii="Calibri" w:hAnsi="Calibri"/>
                <w:sz w:val="22"/>
              </w:rPr>
              <w:t>Implies ~8% growth off FY2026 mid — consistent with &gt;9% CAGR target</w:t>
            </w:r>
          </w:p>
        </w:tc>
      </w:tr>
      <w:tr>
        <w:tc>
          <w:tcPr>
            <w:tcW w:type="dxa" w:w="1080"/>
          </w:tcPr>
          <w:p>
            <w:r>
              <w:rPr>
                <w:rFonts w:ascii="Calibri" w:hAnsi="Calibri"/>
                <w:sz w:val="22"/>
              </w:rPr>
              <w:t>CapEx — Q2 2026</w:t>
            </w:r>
          </w:p>
        </w:tc>
        <w:tc>
          <w:tcPr>
            <w:tcW w:type="dxa" w:w="1080"/>
          </w:tcPr>
          <w:p>
            <w:r>
              <w:rPr>
                <w:rFonts w:ascii="Calibri" w:hAnsi="Calibri"/>
                <w:sz w:val="22"/>
              </w:rPr>
              <w:t>$3.47B</w:t>
            </w:r>
          </w:p>
        </w:tc>
        <w:tc>
          <w:tcPr>
            <w:tcW w:type="dxa" w:w="1080"/>
          </w:tcPr>
          <w:p>
            <w:r>
              <w:rPr>
                <w:rFonts w:ascii="Calibri" w:hAnsi="Calibri"/>
                <w:sz w:val="22"/>
              </w:rPr>
              <w:t>$3.29B</w:t>
            </w:r>
          </w:p>
        </w:tc>
        <w:tc>
          <w:tcPr>
            <w:tcW w:type="dxa" w:w="1080"/>
          </w:tcPr>
          <w:p>
            <w:r>
              <w:rPr>
                <w:rFonts w:ascii="Calibri" w:hAnsi="Calibri"/>
                <w:b/>
                <w:color w:val="E5484D"/>
                <w:sz w:val="22"/>
              </w:rPr>
              <w:t>−5.2%</w:t>
            </w:r>
          </w:p>
        </w:tc>
        <w:tc>
          <w:tcPr>
            <w:tcW w:type="dxa" w:w="1080"/>
          </w:tcPr>
          <w:p>
            <w:r>
              <w:rPr>
                <w:rFonts w:ascii="Calibri" w:hAnsi="Calibri"/>
                <w:sz w:val="22"/>
              </w:rPr>
              <w:t>No quarterly CapEx guidance</w:t>
            </w:r>
          </w:p>
        </w:tc>
        <w:tc>
          <w:tcPr>
            <w:tcW w:type="dxa" w:w="1080"/>
          </w:tcPr>
          <w:p>
            <w:r>
              <w:rPr>
                <w:rFonts w:ascii="Calibri" w:hAnsi="Calibri"/>
                <w:sz w:val="22"/>
              </w:rPr>
              <w:t>No quarterly CapEx guidance</w:t>
            </w:r>
          </w:p>
        </w:tc>
        <w:tc>
          <w:tcPr>
            <w:tcW w:type="dxa" w:w="1080"/>
          </w:tcPr>
          <w:p>
            <w:r>
              <w:rPr>
                <w:rFonts w:ascii="Calibri" w:hAnsi="Calibri"/>
                <w:sz w:val="22"/>
              </w:rPr>
              <w:t>N/A</w:t>
            </w:r>
          </w:p>
        </w:tc>
        <w:tc>
          <w:tcPr>
            <w:tcW w:type="dxa" w:w="1080"/>
          </w:tcPr>
          <w:p>
            <w:r>
              <w:rPr>
                <w:rFonts w:ascii="Calibri" w:hAnsi="Calibri"/>
                <w:sz w:val="22"/>
              </w:rPr>
              <w:t>FY2026 cons. $12.83B vs. $78B 5-yr plan ($15.6B/yr avg.) — front-end lighter</w:t>
            </w:r>
          </w:p>
        </w:tc>
      </w:tr>
      <w:tr>
        <w:tc>
          <w:tcPr>
            <w:tcW w:type="dxa" w:w="1080"/>
          </w:tcPr>
          <w:p>
            <w:r>
              <w:rPr>
                <w:rFonts w:ascii="Calibri" w:hAnsi="Calibri"/>
                <w:sz w:val="22"/>
              </w:rPr>
              <w:t>CapEx — FY2026</w:t>
            </w:r>
          </w:p>
        </w:tc>
        <w:tc>
          <w:tcPr>
            <w:tcW w:type="dxa" w:w="1080"/>
          </w:tcPr>
          <w:p>
            <w:r>
              <w:rPr>
                <w:rFonts w:ascii="Calibri" w:hAnsi="Calibri"/>
                <w:sz w:val="22"/>
              </w:rPr>
              <w:t>$13.06B</w:t>
            </w:r>
          </w:p>
        </w:tc>
        <w:tc>
          <w:tcPr>
            <w:tcW w:type="dxa" w:w="1080"/>
          </w:tcPr>
          <w:p>
            <w:r>
              <w:rPr>
                <w:rFonts w:ascii="Calibri" w:hAnsi="Calibri"/>
                <w:sz w:val="22"/>
              </w:rPr>
              <w:t>$12.83B</w:t>
            </w:r>
          </w:p>
        </w:tc>
        <w:tc>
          <w:tcPr>
            <w:tcW w:type="dxa" w:w="1080"/>
          </w:tcPr>
          <w:p>
            <w:r>
              <w:rPr>
                <w:rFonts w:ascii="Calibri" w:hAnsi="Calibri"/>
                <w:b/>
                <w:color w:val="E5484D"/>
                <w:sz w:val="22"/>
              </w:rPr>
              <w:t>−1.8%</w:t>
            </w:r>
          </w:p>
        </w:tc>
        <w:tc>
          <w:tcPr>
            <w:tcW w:type="dxa" w:w="1080"/>
          </w:tcPr>
          <w:p>
            <w:r>
              <w:rPr>
                <w:rFonts w:ascii="Calibri" w:hAnsi="Calibri"/>
                <w:sz w:val="22"/>
              </w:rPr>
              <w:t>$78B over 5 years (plan)</w:t>
            </w:r>
          </w:p>
        </w:tc>
        <w:tc>
          <w:tcPr>
            <w:tcW w:type="dxa" w:w="1080"/>
          </w:tcPr>
          <w:p>
            <w:r>
              <w:rPr>
                <w:rFonts w:ascii="Calibri" w:hAnsi="Calibri"/>
                <w:sz w:val="22"/>
              </w:rPr>
              <w:t>$78B over 5 years (plan)</w:t>
            </w:r>
          </w:p>
        </w:tc>
        <w:tc>
          <w:tcPr>
            <w:tcW w:type="dxa" w:w="1080"/>
          </w:tcPr>
          <w:p>
            <w:r>
              <w:rPr>
                <w:rFonts w:ascii="Calibri" w:hAnsi="Calibri"/>
                <w:sz w:val="22"/>
              </w:rPr>
              <w:t>Unchanged</w:t>
            </w:r>
          </w:p>
        </w:tc>
        <w:tc>
          <w:tcPr>
            <w:tcW w:type="dxa" w:w="1080"/>
          </w:tcPr>
          <w:p>
            <w:r>
              <w:rPr>
                <w:rFonts w:ascii="Calibri" w:hAnsi="Calibri"/>
                <w:sz w:val="22"/>
              </w:rPr>
              <w:t>Consensus tracking slightly below plan pace</w:t>
            </w:r>
          </w:p>
        </w:tc>
      </w:tr>
      <w:tr>
        <w:tc>
          <w:tcPr>
            <w:tcW w:type="dxa" w:w="1080"/>
          </w:tcPr>
          <w:p>
            <w:r>
              <w:rPr>
                <w:rFonts w:ascii="Calibri" w:hAnsi="Calibri"/>
                <w:sz w:val="22"/>
              </w:rPr>
              <w:t>T&amp;D Rate Base — Q2 2026</w:t>
            </w:r>
          </w:p>
        </w:tc>
        <w:tc>
          <w:tcPr>
            <w:tcW w:type="dxa" w:w="1080"/>
          </w:tcPr>
          <w:p>
            <w:r>
              <w:rPr>
                <w:rFonts w:ascii="Calibri" w:hAnsi="Calibri"/>
                <w:sz w:val="22"/>
              </w:rPr>
              <w:t>$22.85B</w:t>
            </w:r>
          </w:p>
        </w:tc>
        <w:tc>
          <w:tcPr>
            <w:tcW w:type="dxa" w:w="1080"/>
          </w:tcPr>
          <w:p>
            <w:r>
              <w:rPr>
                <w:rFonts w:ascii="Calibri" w:hAnsi="Calibri"/>
                <w:sz w:val="22"/>
              </w:rPr>
              <w:t>$23.33B</w:t>
            </w:r>
          </w:p>
        </w:tc>
        <w:tc>
          <w:tcPr>
            <w:tcW w:type="dxa" w:w="1080"/>
          </w:tcPr>
          <w:p>
            <w:r>
              <w:rPr>
                <w:rFonts w:ascii="Calibri" w:hAnsi="Calibri"/>
                <w:b/>
                <w:color w:val="30A46C"/>
                <w:sz w:val="22"/>
              </w:rPr>
              <w:t>+2.1%</w:t>
            </w:r>
          </w:p>
        </w:tc>
        <w:tc>
          <w:tcPr>
            <w:tcW w:type="dxa" w:w="1080"/>
          </w:tcPr>
          <w:p>
            <w:r>
              <w:rPr>
                <w:rFonts w:ascii="Calibri" w:hAnsi="Calibri"/>
                <w:sz w:val="22"/>
              </w:rPr>
              <w:t>~10% CAGR through 2030</w:t>
            </w:r>
          </w:p>
        </w:tc>
        <w:tc>
          <w:tcPr>
            <w:tcW w:type="dxa" w:w="1080"/>
          </w:tcPr>
          <w:p>
            <w:r>
              <w:rPr>
                <w:rFonts w:ascii="Calibri" w:hAnsi="Calibri"/>
                <w:sz w:val="22"/>
              </w:rPr>
              <w:t>~10% CAGR through 2030</w:t>
            </w:r>
          </w:p>
        </w:tc>
        <w:tc>
          <w:tcPr>
            <w:tcW w:type="dxa" w:w="1080"/>
          </w:tcPr>
          <w:p>
            <w:r>
              <w:rPr>
                <w:rFonts w:ascii="Calibri" w:hAnsi="Calibri"/>
                <w:sz w:val="22"/>
              </w:rPr>
              <w:t>Unchanged</w:t>
            </w:r>
          </w:p>
        </w:tc>
        <w:tc>
          <w:tcPr>
            <w:tcW w:type="dxa" w:w="1080"/>
          </w:tcPr>
          <w:p>
            <w:r>
              <w:rPr>
                <w:rFonts w:ascii="Calibri" w:hAnsi="Calibri"/>
                <w:sz w:val="22"/>
              </w:rPr>
              <w:t>Tracking in-line with 10% CAGR target</w:t>
            </w:r>
          </w:p>
        </w:tc>
      </w:tr>
    </w:tbl>
    <w:p>
      <w:r>
        <w:rPr>
          <w:rFonts w:ascii="Calibri" w:hAnsi="Calibri"/>
          <w:color w:val="525866"/>
          <w:sz w:val="22"/>
        </w:rPr>
        <w:t>The modest downward drift in Q2 and FY2026 EPS estimates (~3% and ~1% respectively) since the Q1 print is consistent with the dilutive effect of the $2.9B forward equity offering (23.5M additional shares) rather than any operational deterioration — the rate base and CapEx trajectory remain on track. The FY2027 estimate of $6.91 implies ~8% growth off the FY2026 guidance midpoint, which is consistent with management's &gt;9% CAGR target and suggests the street has not yet fully credited the incremental capital pipeline.</w:t>
      </w:r>
    </w:p>
    <w:p>
      <w:r>
        <w:rPr>
          <w:rFonts w:ascii="Calibri" w:hAnsi="Calibri"/>
          <w:i/>
          <w:color w:val="525866"/>
          <w:sz w:val="22"/>
        </w:rPr>
        <w:t>Source: Visible Alpha Consensus and Actuals Data (AEP US, IS/CF/RB); AEP Q1 2026 Earnings Release and Transcript (May 5, 2026); AEP 8-K (May 14, 2026).</w:t>
      </w:r>
    </w:p>
    <w:p>
      <w:r>
        <w:br w:type="page"/>
      </w:r>
    </w:p>
    <w:p>
      <w:pPr>
        <w:pStyle w:val="Heading2"/>
      </w:pPr>
      <w:r>
        <w:rPr>
          <w:rFonts w:ascii="Calibri" w:hAnsi="Calibri"/>
          <w:b/>
          <w:color w:val="3B4259"/>
          <w:sz w:val="28"/>
        </w:rPr>
        <w:t>5. Stock Performance &amp; Valuation</w:t>
      </w:r>
    </w:p>
    <w:p>
      <w:r>
        <w:rPr>
          <w:rFonts w:ascii="Calibri" w:hAnsi="Calibri"/>
          <w:b/>
          <w:color w:val="525866"/>
          <w:sz w:val="22"/>
        </w:rPr>
        <w:t xml:space="preserve">Key Takeaway: </w:t>
      </w:r>
      <w:r>
        <w:rPr>
          <w:rFonts w:ascii="Calibri" w:hAnsi="Calibri"/>
          <w:color w:val="525866"/>
          <w:sz w:val="22"/>
        </w:rPr>
        <w:t>AEP's +20% 12-month gain was driven roughly equally by multiple expansion (+11% on P/E) and earnings growth, but the stock has given back ~6% over the past month as the forward equity offering overhang and broader utility sector rotation weighed; the current 19.95x NTM P/E is not stretched relative to the upgraded growth profile, suggesting the pullback is a setup rather than a warning.</w:t>
      </w:r>
    </w:p>
    <w:p>
      <w:pPr>
        <w:pStyle w:val="Heading3"/>
      </w:pPr>
      <w:r>
        <w:rPr>
          <w:rFonts w:ascii="Calibri" w:hAnsi="Calibri"/>
          <w:b/>
          <w:color w:val="3B4259"/>
          <w:sz w:val="24"/>
        </w:rPr>
        <w:t>Valuation Multiple Decomposition (NTM P/E — Primary Metric)</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Time 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P/E at Start of Period</w:t>
            </w:r>
          </w:p>
        </w:tc>
        <w:tc>
          <w:tcPr>
            <w:tcW w:type="dxa" w:w="1440"/>
            <w:shd w:val="clear" w:color="auto" w:fill="3B4259"/>
          </w:tcPr>
          <w:p>
            <w:r>
              <w:rPr>
                <w:rFonts w:ascii="Calibri" w:hAnsi="Calibri"/>
                <w:b/>
                <w:color w:val="FFFFFF"/>
                <w:sz w:val="22"/>
              </w:rPr>
              <w:t>NTM P/E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Implied Earnings Contribution</w:t>
            </w:r>
          </w:p>
        </w:tc>
      </w:tr>
      <w:tr>
        <w:tc>
          <w:tcPr>
            <w:tcW w:type="dxa" w:w="1440"/>
          </w:tcPr>
          <w:p>
            <w:r>
              <w:rPr>
                <w:rFonts w:ascii="Calibri" w:hAnsi="Calibri"/>
                <w:sz w:val="22"/>
              </w:rPr>
              <w:t>1 Month</w:t>
            </w:r>
          </w:p>
        </w:tc>
        <w:tc>
          <w:tcPr>
            <w:tcW w:type="dxa" w:w="1440"/>
          </w:tcPr>
          <w:p>
            <w:r>
              <w:rPr>
                <w:rFonts w:ascii="Calibri" w:hAnsi="Calibri"/>
                <w:b/>
                <w:color w:val="E5484D"/>
                <w:sz w:val="22"/>
              </w:rPr>
              <w:t>−6.2%</w:t>
            </w:r>
          </w:p>
        </w:tc>
        <w:tc>
          <w:tcPr>
            <w:tcW w:type="dxa" w:w="1440"/>
          </w:tcPr>
          <w:p>
            <w:r>
              <w:rPr>
                <w:rFonts w:ascii="Calibri" w:hAnsi="Calibri"/>
                <w:sz w:val="22"/>
              </w:rPr>
              <w:t>20.91x</w:t>
            </w:r>
          </w:p>
        </w:tc>
        <w:tc>
          <w:tcPr>
            <w:tcW w:type="dxa" w:w="1440"/>
          </w:tcPr>
          <w:p>
            <w:r>
              <w:rPr>
                <w:rFonts w:ascii="Calibri" w:hAnsi="Calibri"/>
                <w:sz w:val="22"/>
              </w:rPr>
              <w:t>19.95x</w:t>
            </w:r>
          </w:p>
        </w:tc>
        <w:tc>
          <w:tcPr>
            <w:tcW w:type="dxa" w:w="1440"/>
          </w:tcPr>
          <w:p>
            <w:r>
              <w:rPr>
                <w:rFonts w:ascii="Calibri" w:hAnsi="Calibri"/>
                <w:b/>
                <w:color w:val="E5484D"/>
                <w:sz w:val="22"/>
              </w:rPr>
              <w:t>−4.6%</w:t>
            </w:r>
          </w:p>
        </w:tc>
        <w:tc>
          <w:tcPr>
            <w:tcW w:type="dxa" w:w="1440"/>
          </w:tcPr>
          <w:p>
            <w:r>
              <w:rPr>
                <w:rFonts w:ascii="Calibri" w:hAnsi="Calibri"/>
                <w:sz w:val="22"/>
              </w:rPr>
              <w:t>−1.6% (earnings drag)</w:t>
            </w:r>
          </w:p>
        </w:tc>
      </w:tr>
      <w:tr>
        <w:tc>
          <w:tcPr>
            <w:tcW w:type="dxa" w:w="1440"/>
          </w:tcPr>
          <w:p>
            <w:r>
              <w:rPr>
                <w:rFonts w:ascii="Calibri" w:hAnsi="Calibri"/>
                <w:sz w:val="22"/>
              </w:rPr>
              <w:t>3 Months</w:t>
            </w:r>
          </w:p>
        </w:tc>
        <w:tc>
          <w:tcPr>
            <w:tcW w:type="dxa" w:w="1440"/>
          </w:tcPr>
          <w:p>
            <w:r>
              <w:rPr>
                <w:rFonts w:ascii="Calibri" w:hAnsi="Calibri"/>
                <w:b/>
                <w:color w:val="E5484D"/>
                <w:sz w:val="22"/>
              </w:rPr>
              <w:t>−4.5%</w:t>
            </w:r>
          </w:p>
        </w:tc>
        <w:tc>
          <w:tcPr>
            <w:tcW w:type="dxa" w:w="1440"/>
          </w:tcPr>
          <w:p>
            <w:r>
              <w:rPr>
                <w:rFonts w:ascii="Calibri" w:hAnsi="Calibri"/>
                <w:sz w:val="22"/>
              </w:rPr>
              <w:t>20.73x</w:t>
            </w:r>
          </w:p>
        </w:tc>
        <w:tc>
          <w:tcPr>
            <w:tcW w:type="dxa" w:w="1440"/>
          </w:tcPr>
          <w:p>
            <w:r>
              <w:rPr>
                <w:rFonts w:ascii="Calibri" w:hAnsi="Calibri"/>
                <w:sz w:val="22"/>
              </w:rPr>
              <w:t>19.95x</w:t>
            </w:r>
          </w:p>
        </w:tc>
        <w:tc>
          <w:tcPr>
            <w:tcW w:type="dxa" w:w="1440"/>
          </w:tcPr>
          <w:p>
            <w:r>
              <w:rPr>
                <w:rFonts w:ascii="Calibri" w:hAnsi="Calibri"/>
                <w:b/>
                <w:color w:val="E5484D"/>
                <w:sz w:val="22"/>
              </w:rPr>
              <w:t>−3.8%</w:t>
            </w:r>
          </w:p>
        </w:tc>
        <w:tc>
          <w:tcPr>
            <w:tcW w:type="dxa" w:w="1440"/>
          </w:tcPr>
          <w:p>
            <w:r>
              <w:rPr>
                <w:rFonts w:ascii="Calibri" w:hAnsi="Calibri"/>
                <w:sz w:val="22"/>
              </w:rPr>
              <w:t>−0.7% (earnings drag)</w:t>
            </w:r>
          </w:p>
        </w:tc>
      </w:tr>
      <w:tr>
        <w:tc>
          <w:tcPr>
            <w:tcW w:type="dxa" w:w="1440"/>
          </w:tcPr>
          <w:p>
            <w:r>
              <w:rPr>
                <w:rFonts w:ascii="Calibri" w:hAnsi="Calibri"/>
                <w:sz w:val="22"/>
              </w:rPr>
              <w:t>6 Months</w:t>
            </w:r>
          </w:p>
        </w:tc>
        <w:tc>
          <w:tcPr>
            <w:tcW w:type="dxa" w:w="1440"/>
          </w:tcPr>
          <w:p>
            <w:r>
              <w:rPr>
                <w:rFonts w:ascii="Calibri" w:hAnsi="Calibri"/>
                <w:b/>
                <w:color w:val="30A46C"/>
                <w:sz w:val="22"/>
              </w:rPr>
              <w:t>+8.4%</w:t>
            </w:r>
          </w:p>
        </w:tc>
        <w:tc>
          <w:tcPr>
            <w:tcW w:type="dxa" w:w="1440"/>
          </w:tcPr>
          <w:p>
            <w:r>
              <w:rPr>
                <w:rFonts w:ascii="Calibri" w:hAnsi="Calibri"/>
                <w:sz w:val="22"/>
              </w:rPr>
              <w:t>18.46x</w:t>
            </w:r>
          </w:p>
        </w:tc>
        <w:tc>
          <w:tcPr>
            <w:tcW w:type="dxa" w:w="1440"/>
          </w:tcPr>
          <w:p>
            <w:r>
              <w:rPr>
                <w:rFonts w:ascii="Calibri" w:hAnsi="Calibri"/>
                <w:sz w:val="22"/>
              </w:rPr>
              <w:t>19.95x</w:t>
            </w:r>
          </w:p>
        </w:tc>
        <w:tc>
          <w:tcPr>
            <w:tcW w:type="dxa" w:w="1440"/>
          </w:tcPr>
          <w:p>
            <w:r>
              <w:rPr>
                <w:rFonts w:ascii="Calibri" w:hAnsi="Calibri"/>
                <w:b/>
                <w:color w:val="30A46C"/>
                <w:sz w:val="22"/>
              </w:rPr>
              <w:t>+8.1%</w:t>
            </w:r>
          </w:p>
        </w:tc>
        <w:tc>
          <w:tcPr>
            <w:tcW w:type="dxa" w:w="1440"/>
          </w:tcPr>
          <w:p>
            <w:r>
              <w:rPr>
                <w:rFonts w:ascii="Calibri" w:hAnsi="Calibri"/>
                <w:sz w:val="22"/>
              </w:rPr>
              <w:t>+0.3% (earnings contribution)</w:t>
            </w:r>
          </w:p>
        </w:tc>
      </w:tr>
      <w:tr>
        <w:tc>
          <w:tcPr>
            <w:tcW w:type="dxa" w:w="1440"/>
          </w:tcPr>
          <w:p>
            <w:r>
              <w:rPr>
                <w:rFonts w:ascii="Calibri" w:hAnsi="Calibri"/>
                <w:sz w:val="22"/>
              </w:rPr>
              <w:t>12 Months</w:t>
            </w:r>
          </w:p>
        </w:tc>
        <w:tc>
          <w:tcPr>
            <w:tcW w:type="dxa" w:w="1440"/>
          </w:tcPr>
          <w:p>
            <w:r>
              <w:rPr>
                <w:rFonts w:ascii="Calibri" w:hAnsi="Calibri"/>
                <w:b/>
                <w:color w:val="30A46C"/>
                <w:sz w:val="22"/>
              </w:rPr>
              <w:t>+19.9%</w:t>
            </w:r>
          </w:p>
        </w:tc>
        <w:tc>
          <w:tcPr>
            <w:tcW w:type="dxa" w:w="1440"/>
          </w:tcPr>
          <w:p>
            <w:r>
              <w:rPr>
                <w:rFonts w:ascii="Calibri" w:hAnsi="Calibri"/>
                <w:sz w:val="22"/>
              </w:rPr>
              <w:t>17.99x</w:t>
            </w:r>
          </w:p>
        </w:tc>
        <w:tc>
          <w:tcPr>
            <w:tcW w:type="dxa" w:w="1440"/>
          </w:tcPr>
          <w:p>
            <w:r>
              <w:rPr>
                <w:rFonts w:ascii="Calibri" w:hAnsi="Calibri"/>
                <w:sz w:val="22"/>
              </w:rPr>
              <w:t>19.95x</w:t>
            </w:r>
          </w:p>
        </w:tc>
        <w:tc>
          <w:tcPr>
            <w:tcW w:type="dxa" w:w="1440"/>
          </w:tcPr>
          <w:p>
            <w:r>
              <w:rPr>
                <w:rFonts w:ascii="Calibri" w:hAnsi="Calibri"/>
                <w:b/>
                <w:color w:val="30A46C"/>
                <w:sz w:val="22"/>
              </w:rPr>
              <w:t>+10.9%</w:t>
            </w:r>
          </w:p>
        </w:tc>
        <w:tc>
          <w:tcPr>
            <w:tcW w:type="dxa" w:w="1440"/>
          </w:tcPr>
          <w:p>
            <w:r>
              <w:rPr>
                <w:rFonts w:ascii="Calibri" w:hAnsi="Calibri"/>
                <w:sz w:val="22"/>
              </w:rPr>
              <w:t>+9.0% (earnings contribution)</w:t>
            </w:r>
          </w:p>
        </w:tc>
      </w:tr>
    </w:tbl>
    <w:p>
      <w:r>
        <w:rPr>
          <w:rFonts w:ascii="Calibri" w:hAnsi="Calibri"/>
          <w:i/>
          <w:color w:val="525866"/>
          <w:sz w:val="22"/>
        </w:rPr>
        <w:t>Source: Implied Stock Performance Decomposition tool (snapshot July 29, 2026; NTM P/E basis).</w:t>
      </w:r>
    </w:p>
    <w:p>
      <w:r>
        <w:rPr>
          <w:rFonts w:ascii="Calibri" w:hAnsi="Calibri"/>
          <w:b/>
          <w:color w:val="525866"/>
          <w:sz w:val="22"/>
        </w:rPr>
        <w:t xml:space="preserve">Performance Context: </w:t>
      </w:r>
      <w:r>
        <w:rPr>
          <w:rFonts w:ascii="Calibri" w:hAnsi="Calibri"/>
          <w:color w:val="525866"/>
          <w:sz w:val="22"/>
        </w:rPr>
        <w:t>AEP's 12-month +20% gain was driven by a roughly 50/50 split between multiple expansion (17.99x → 19.95x, +10.9%) and earnings growth (+9.0%). The 6-month window shows the re-rating was almost entirely multiple-driven (+8.1% multiple vs. +0.3% earnings), coinciding with the load growth narrative gaining traction post-Q4 2025 earnings. The recent 1-month pullback (−6.2%) is predominantly multiple compression (−4.6%), with the forward equity offering overhang and broader utility sector rotation as the likely drivers. At 19.95x NTM P/E, AEP trades at a modest premium to the XLU sector average (~18–19x) but at a discount to its own peak multiple (~21x in May 2026), suggesting the stock has room to re-rate if Q2 results and the contracted load update are constructive.</w:t>
      </w:r>
    </w:p>
    <w:p>
      <w:r>
        <w:br w:type="page"/>
      </w:r>
    </w:p>
    <w:p>
      <w:pPr>
        <w:pStyle w:val="Heading2"/>
      </w:pPr>
      <w:r>
        <w:rPr>
          <w:rFonts w:ascii="Calibri" w:hAnsi="Calibri"/>
          <w:b/>
          <w:color w:val="3B4259"/>
          <w:sz w:val="28"/>
        </w:rPr>
        <w:t>6. Material News &amp; Developments (Since May 5, 2026)</w:t>
      </w:r>
    </w:p>
    <w:p>
      <w:r>
        <w:rPr>
          <w:rFonts w:ascii="Calibri" w:hAnsi="Calibri"/>
          <w:b/>
          <w:color w:val="525866"/>
          <w:sz w:val="22"/>
        </w:rPr>
        <w:t xml:space="preserve">Key Takeaway: </w:t>
      </w:r>
      <w:r>
        <w:rPr>
          <w:rFonts w:ascii="Calibri" w:hAnsi="Calibri"/>
          <w:color w:val="525866"/>
          <w:sz w:val="22"/>
        </w:rPr>
        <w:t>The most important post-earnings development is the $2.9B forward equity offering (May 12–13), which funds the expanded capital plan but introduces near-term dilution; the July 21 board additions from Marriott and Equinix signal AEP is deepening its data center and hospitality sector expertise at the governance level, reinforcing the load growth thesis.</w:t>
      </w:r>
    </w:p>
    <w:p>
      <w:pPr>
        <w:pStyle w:val="ListBullet"/>
        <w:ind w:left="360" w:hanging="360"/>
      </w:pPr>
      <w:r>
        <w:rPr>
          <w:rFonts w:ascii="Calibri" w:hAnsi="Calibri"/>
          <w:b/>
          <w:color w:val="525866"/>
          <w:sz w:val="22"/>
        </w:rPr>
        <w:t>May 12–13, 2026 — $2.9B Forward Equity Offering (8-K filed May 14):</w:t>
      </w:r>
      <w:r>
        <w:rPr>
          <w:rFonts w:ascii="Calibri" w:hAnsi="Calibri"/>
          <w:color w:val="525866"/>
          <w:sz w:val="22"/>
        </w:rPr>
        <w:t xml:space="preserve"> AEP entered forward sale agreements with BofA, Goldman Sachs, and Morgan Stanley for 23.54M shares at an initial forward price of $124.97/share (~$2.94B gross). Settlement expected on or before May 31, 2028. Implication: Funds the $78B capital plan without immediate dilution, but the overhang of ~23.5M shares (vs. ~543M diluted shares outstanding) represents ~4.3% potential dilution and has weighed on the stock since mid-May.</w:t>
      </w:r>
    </w:p>
    <w:p>
      <w:pPr>
        <w:pStyle w:val="ListBullet"/>
        <w:ind w:left="360" w:hanging="360"/>
      </w:pPr>
      <w:r>
        <w:rPr>
          <w:rFonts w:ascii="Calibri" w:hAnsi="Calibri"/>
          <w:b/>
          <w:color w:val="525866"/>
          <w:sz w:val="22"/>
        </w:rPr>
        <w:t>May 5, 2026 — Q1 2026 Earnings: Capital Plan Raised to $78B, Contracted Load to 63 GW:</w:t>
      </w:r>
      <w:r>
        <w:rPr>
          <w:rFonts w:ascii="Calibri" w:hAnsi="Calibri"/>
          <w:color w:val="525866"/>
          <w:sz w:val="22"/>
        </w:rPr>
        <w:t xml:space="preserve"> AEP reported Q1 operating EPS of $1.64 (beat vs. $1.59 consensus), raised the 5-year capital plan from $72B to $78B, increased contracted load from 56 GW to 63 GW, and upgraded the long-term EPS CAGR to &gt;9%. Management also identified &gt;$10B in additional line-of-sight investment opportunities beyond the base plan. Implication: Sets a high bar for the Q2 call — the market will expect continued load growth and capital plan execution.</w:t>
      </w:r>
    </w:p>
    <w:p>
      <w:pPr>
        <w:pStyle w:val="ListBullet"/>
        <w:ind w:left="360" w:hanging="360"/>
      </w:pPr>
      <w:r>
        <w:rPr>
          <w:rFonts w:ascii="Calibri" w:hAnsi="Calibri"/>
          <w:b/>
          <w:color w:val="525866"/>
          <w:sz w:val="22"/>
        </w:rPr>
        <w:t>July 21, 2026 — Board Strengthened with Directors from Marriott and Equinix (8-K):</w:t>
      </w:r>
      <w:r>
        <w:rPr>
          <w:rFonts w:ascii="Calibri" w:hAnsi="Calibri"/>
          <w:color w:val="525866"/>
          <w:sz w:val="22"/>
        </w:rPr>
        <w:t xml:space="preserve"> AEP appointed two new independent directors with backgrounds at Marriott International and Equinix, the global data center REIT. Implication: The Equinix connection is particularly notable — it signals AEP is adding data center sector expertise at the board level, reinforcing the credibility of the 63 GW contracted load pipeline and the company's positioning as a primary beneficiary of AI-driven power demand.</w:t>
      </w:r>
    </w:p>
    <w:p>
      <w:pPr>
        <w:pStyle w:val="ListBullet"/>
        <w:ind w:left="360" w:hanging="360"/>
      </w:pPr>
      <w:r>
        <w:rPr>
          <w:rFonts w:ascii="Calibri" w:hAnsi="Calibri"/>
          <w:b/>
          <w:color w:val="525866"/>
          <w:sz w:val="22"/>
        </w:rPr>
        <w:t>July 27–29, 2026 — Ohio Utility Rate Freeze Legislation Proposed:</w:t>
      </w:r>
      <w:r>
        <w:rPr>
          <w:rFonts w:ascii="Calibri" w:hAnsi="Calibri"/>
          <w:color w:val="525866"/>
          <w:sz w:val="22"/>
        </w:rPr>
        <w:t xml:space="preserve"> Ohio state Rep. Desiree Tims introduced a bill to freeze utility rate increases in Ohio for one year, citing a 29% rise in residential electricity prices from 2019–2024. Implication: AEP has significant Ohio exposure (AEP Ohio is a major subsidiary). A rate freeze, if enacted, could delay cost recovery and pressure near-term earnings in the T&amp;D segment, though the bill faces significant regulatory and legislative hurdles. This is a watch item for Q2 commentary.</w:t>
      </w:r>
    </w:p>
    <w:p>
      <w:pPr>
        <w:pStyle w:val="ListBullet"/>
        <w:ind w:left="360" w:hanging="360"/>
      </w:pPr>
      <w:r>
        <w:rPr>
          <w:rFonts w:ascii="Calibri" w:hAnsi="Calibri"/>
          <w:b/>
          <w:color w:val="525866"/>
          <w:sz w:val="22"/>
        </w:rPr>
        <w:t>July 29, 2026 — NEE/Brookfield $100B Data Center Campus in Kentucky Announced:</w:t>
      </w:r>
      <w:r>
        <w:rPr>
          <w:rFonts w:ascii="Calibri" w:hAnsi="Calibri"/>
          <w:color w:val="525866"/>
          <w:sz w:val="22"/>
        </w:rPr>
        <w:t xml:space="preserve"> NextEra Energy and Brookfield Asset Management announced a $100B data center campus at a former uranium enrichment site in Paducah, KY, with 2 GW of natural gas and 2.6 GW of battery storage. Implication: Positive read-through for AEP — confirms the scale and pace of data center power demand in the region and validates AEP's own contracted load pipeline, though AEP does not serve the Paducah area directly.</w:t>
      </w:r>
    </w:p>
    <w:p>
      <w:pPr>
        <w:pStyle w:val="ListBullet"/>
        <w:ind w:left="360" w:hanging="360"/>
      </w:pPr>
      <w:r>
        <w:rPr>
          <w:rFonts w:ascii="Calibri" w:hAnsi="Calibri"/>
          <w:b/>
          <w:color w:val="525866"/>
          <w:sz w:val="22"/>
        </w:rPr>
        <w:t>July 22–25, 2026 — PJM Grid Disturbance from Data Center Load Disconnect:</w:t>
      </w:r>
      <w:r>
        <w:rPr>
          <w:rFonts w:ascii="Calibri" w:hAnsi="Calibri"/>
          <w:color w:val="525866"/>
          <w:sz w:val="22"/>
        </w:rPr>
        <w:t xml:space="preserve"> A power line failure in Northern Virginia caused 3+ GW of data center load to disconnect simultaneously, causing voltage spikes across the PJM grid from Northern Virginia to Chicago and taking 10+ minutes to stabilize. Implication: Directly relevant to AEP's PJM operations and its ongoing RTO review. Highlights the grid reliability risks from large, concentrated data center loads and may accelerate regulatory action on interconnection standards — a potential tailwind for AEP's transmission investment thesis.</w:t>
      </w:r>
    </w:p>
    <w:p>
      <w:pPr>
        <w:pStyle w:val="ListBullet"/>
        <w:ind w:left="360" w:hanging="360"/>
      </w:pPr>
      <w:r>
        <w:rPr>
          <w:rFonts w:ascii="Calibri" w:hAnsi="Calibri"/>
          <w:b/>
          <w:color w:val="525866"/>
          <w:sz w:val="22"/>
        </w:rPr>
        <w:t>July 23, 2026 — Trump Expands Voluntary Pledge on AI Energy Costs:</w:t>
      </w:r>
      <w:r>
        <w:rPr>
          <w:rFonts w:ascii="Calibri" w:hAnsi="Calibri"/>
          <w:color w:val="525866"/>
          <w:sz w:val="22"/>
        </w:rPr>
        <w:t xml:space="preserve"> President Trump expanded a voluntary pledge with governors and utilities to shield consumers from higher bills from data center buildouts. Duke Energy, NextEra, Equinix, and Digital Realty among ~200 signatories. Implication: Political pressure on utilities to demonstrate customer affordability — relevant to AEP's rate design and the Ohio rate freeze risk. AEP's management has consistently emphasized cost offsets of up to $16B for existing customers from new load agreements.</w:t>
      </w:r>
    </w:p>
    <w:p>
      <w:pPr>
        <w:pStyle w:val="ListBullet"/>
        <w:ind w:left="360" w:hanging="360"/>
      </w:pPr>
      <w:r>
        <w:rPr>
          <w:rFonts w:ascii="Calibri" w:hAnsi="Calibri"/>
          <w:b/>
          <w:color w:val="525866"/>
          <w:sz w:val="22"/>
        </w:rPr>
        <w:t>July 20, 2026 — Duke Energy NC Rate Settlement (9.5% vs. 18% Proposed Increase):</w:t>
      </w:r>
      <w:r>
        <w:rPr>
          <w:rFonts w:ascii="Calibri" w:hAnsi="Calibri"/>
          <w:color w:val="525866"/>
          <w:sz w:val="22"/>
        </w:rPr>
        <w:t xml:space="preserve"> Duke Energy reached a settlement cutting its proposed NC residential rate increase from ~18% to ~9.5% (5.9% Year 1, 3.6% Year 2), with $10M shareholder contribution to low-income assistance. Implication: Moderate read-through for AEP — illustrates the political and regulatory pressure on large rate increases across the utility sector, consistent with the Ohio rate freeze risk. AEP's multi-state footprint means similar dynamics could emerge in other jurisdictions.</w:t>
      </w:r>
    </w:p>
    <w:p>
      <w:r>
        <w:br w:type="page"/>
      </w:r>
    </w:p>
    <w:p>
      <w:pPr>
        <w:pStyle w:val="Heading2"/>
      </w:pPr>
      <w:r>
        <w:rPr>
          <w:rFonts w:ascii="Calibri" w:hAnsi="Calibri"/>
          <w:b/>
          <w:color w:val="3B4259"/>
          <w:sz w:val="28"/>
        </w:rPr>
        <w:t>7. Insider Transaction Activity (Since May 5, 2026)</w:t>
      </w:r>
    </w:p>
    <w:p>
      <w:r>
        <w:rPr>
          <w:rFonts w:ascii="Calibri" w:hAnsi="Calibri"/>
          <w:b/>
          <w:color w:val="525866"/>
          <w:sz w:val="22"/>
        </w:rPr>
        <w:t xml:space="preserve">Key Takeaway: </w:t>
      </w:r>
      <w:r>
        <w:rPr>
          <w:rFonts w:ascii="Calibri" w:hAnsi="Calibri"/>
          <w:color w:val="525866"/>
          <w:sz w:val="22"/>
        </w:rPr>
        <w:t>No open-market insider buys or discretionary sells have been identified for AEP in the post-Q1 window; the absence of insider selling despite the stock's run to ~$137 in May is a mild positive signal, though the $2.9B forward equity offering (institutional, not insider) is the more relevant capital markets event.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buys or sells (Form 4 codes P/S) identified for AEP in the May 5 – July 29, 2026 window. No 10b5-1 plan initiations disclosed.</w:t>
            </w:r>
          </w:p>
        </w:tc>
      </w:tr>
    </w:tbl>
    <w:p>
      <w:r>
        <w:rPr>
          <w:rFonts w:ascii="Calibri" w:hAnsi="Calibri"/>
          <w:b/>
          <w:color w:val="525866"/>
          <w:sz w:val="22"/>
        </w:rPr>
        <w:t xml:space="preserve">Note: </w:t>
      </w:r>
      <w:r>
        <w:rPr>
          <w:rFonts w:ascii="Calibri" w:hAnsi="Calibri"/>
          <w:color w:val="525866"/>
          <w:sz w:val="22"/>
        </w:rPr>
        <w:t>The $2.9B forward equity offering (May 12–13, 2026) was a company-level institutional transaction, not an insider transaction. The two new board members appointed July 21 (from Marriott and Equinix) have not yet filed Form 4s, which is expected given their recent appointment. No unusual insider activity to flag.</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Peers reporting Q2 2026 results in the last 60 days paint a broadly constructive picture for AEP: industrial and data center load growth is accelerating across service territories, regulatory actions are net positive for earnings, and the sector-wide theme of higher CapEx/depreciation/interest expense is well-understood and priced in. The most actionable read-throughs are Entergy's 5.7% weather-adjusted retail sales growth (driven by 9.9% industrial volume) and the PJM grid disturbance event, which directly implicates AEP's transmission investment thesis.</w:t>
      </w:r>
    </w:p>
    <w:p>
      <w:r>
        <w:rPr>
          <w:rFonts w:ascii="Calibri" w:hAnsi="Calibri"/>
          <w:b/>
          <w:color w:val="525866"/>
          <w:sz w:val="22"/>
        </w:rPr>
        <w:t xml:space="preserve">Methodology: </w:t>
      </w:r>
      <w:r>
        <w:rPr>
          <w:rFonts w:ascii="Calibri" w:hAnsi="Calibri"/>
          <w:color w:val="525866"/>
          <w:sz w:val="22"/>
        </w:rPr>
        <w:t>Only commentary from the last 60 days (May 29 – July 29, 2026) that pertains to the Q2 2026 reporting period or forward outlook post-Q2 is included. Prior-quarter results commentary (e.g., Q1 2026 results discussed on Q1 earnings calls) is excluded. Disclosure dates and effective dates are distinguished where relevant.</w:t>
      </w:r>
    </w:p>
    <w:p>
      <w:pPr>
        <w:pStyle w:val="Heading3"/>
      </w:pPr>
      <w:r>
        <w:rPr>
          <w:rFonts w:ascii="Calibri" w:hAnsi="Calibri"/>
          <w:b/>
          <w:color w:val="3B4259"/>
          <w:sz w:val="24"/>
        </w:rPr>
        <w:t>A. Entergy (ETR) — Q2 2026 Earnings (Disclosed July 29, 2026; Effective Q2 2026)</w:t>
      </w:r>
    </w:p>
    <w:p>
      <w:r>
        <w:rPr>
          <w:rFonts w:ascii="Calibri" w:hAnsi="Calibri"/>
          <w:b/>
          <w:color w:val="525866"/>
          <w:sz w:val="22"/>
        </w:rPr>
        <w:t>Demand/Load — Strong Industrial Volume Growth (HIGH READ-THROUGH):</w:t>
      </w:r>
      <w:r>
        <w:rPr>
          <w:rFonts w:ascii="Calibri" w:hAnsi="Calibri"/>
          <w:color w:val="525866"/>
          <w:sz w:val="22"/>
        </w:rPr>
        <w:t xml:space="preserve"> Entergy reported weather-adjusted retail sales growth of </w:t>
      </w:r>
    </w:p>
    <w:p>
      <w:r>
        <w:rPr>
          <w:rFonts w:ascii="Calibri" w:hAnsi="Calibri"/>
          <w:b/>
          <w:color w:val="525866"/>
          <w:sz w:val="22"/>
        </w:rPr>
        <w:t>+5.7% in Q2 2026</w:t>
      </w:r>
      <w:r>
        <w:rPr>
          <w:rFonts w:ascii="Calibri" w:hAnsi="Calibri"/>
          <w:color w:val="525866"/>
          <w:sz w:val="22"/>
        </w:rPr>
        <w:t xml:space="preserve">, driven by a </w:t>
      </w:r>
    </w:p>
    <w:p>
      <w:r>
        <w:rPr>
          <w:rFonts w:ascii="Calibri" w:hAnsi="Calibri"/>
          <w:b/>
          <w:color w:val="525866"/>
          <w:sz w:val="22"/>
        </w:rPr>
        <w:t>+9.9% increase in industrial volume</w:t>
      </w:r>
      <w:r>
        <w:rPr>
          <w:rFonts w:ascii="Calibri" w:hAnsi="Calibri"/>
          <w:color w:val="525866"/>
          <w:sz w:val="22"/>
        </w:rPr>
        <w:t xml:space="preserve"> from data center, primary metals, and chlor-alkali customers. Residential sales were +2.8%. This is a strong qualitative read-through for AEP: both companies serve overlapping industrial and data center customer segments, and the magnitude of Entergy's industrial volume growth validates the demand thesis underpinning AEP's 63 GW contracted load pipeline. If AEP's service territories (particularly Texas and Ohio) are experiencing similar industrial demand trends, Q2 retail sales volumes should be a positive contributor to earnings.</w:t>
      </w:r>
    </w:p>
    <w:p>
      <w:r>
        <w:rPr>
          <w:rFonts w:ascii="Calibri" w:hAnsi="Calibri"/>
          <w:b/>
          <w:color w:val="525866"/>
          <w:sz w:val="22"/>
        </w:rPr>
        <w:t>Demand/Load — Data Center Pipeline Remains Very Active (HIGH READ-THROUGH):</w:t>
      </w:r>
      <w:r>
        <w:rPr>
          <w:rFonts w:ascii="Calibri" w:hAnsi="Calibri"/>
          <w:color w:val="525866"/>
          <w:sz w:val="22"/>
        </w:rPr>
        <w:t xml:space="preserve"> On the Q2 2026 earnings call (July 29), Entergy management stated: “Looking beyond our current outlooks, we continue to have 7 to 12 GW of hyperscale data center potential in our pipeline, as well as 3 to 5 GW of interest from traditional industrial segments” and “the front end of our funnel continues to be very, very active.” This is directly relevant to AEP: it confirms that the hyperscale data center demand pipeline is not slowing, which supports AEP’s expectation of continued contracted load growth beyond the current 63 GW figure. Any update from AEP management on load additions above 63 GW would be consistent with this industry-wide trend.</w:t>
      </w:r>
    </w:p>
    <w:p>
      <w:r>
        <w:rPr>
          <w:rFonts w:ascii="Calibri" w:hAnsi="Calibri"/>
          <w:b/>
          <w:color w:val="525866"/>
          <w:sz w:val="22"/>
        </w:rPr>
        <w:t>Regulatory — Louisiana Governor Data Center Executive Order (MODERATE READ-THROUGH):</w:t>
      </w:r>
      <w:r>
        <w:rPr>
          <w:rFonts w:ascii="Calibri" w:hAnsi="Calibri"/>
          <w:color w:val="525866"/>
          <w:sz w:val="22"/>
        </w:rPr>
        <w:t xml:space="preserve"> Louisiana Governor Jeff Landry signed an executive order in late June 2026 requiring new data centers to provide customer benefits as a condition for state sales tax exemptions. Entergy management described this as “consistent with our Fair Share Plus pledge.” Effective date: late June 2026. Read-through for AEP: Other states in AEP’s footprint (Texas, Ohio, Indiana, Oklahoma) may implement similar policies requiring data centers to demonstrate customer benefit. AEP management has already emphasized up to $16B in cost offsets for existing customers from new load agreements — this regulatory trend validates that positioning.</w:t>
      </w:r>
    </w:p>
    <w:p>
      <w:r>
        <w:rPr>
          <w:rFonts w:ascii="Calibri" w:hAnsi="Calibri"/>
          <w:b/>
          <w:color w:val="525866"/>
          <w:sz w:val="22"/>
        </w:rPr>
        <w:t>Regulatory — New Orleans Data Center Moratorium (MODERATE READ-THROUGH):</w:t>
      </w:r>
      <w:r>
        <w:rPr>
          <w:rFonts w:ascii="Calibri" w:hAnsi="Calibri"/>
          <w:color w:val="525866"/>
          <w:sz w:val="22"/>
        </w:rPr>
        <w:t xml:space="preserve"> Entergy disclosed that New Orleans is “currently under a moratorium for data centers” and that Entergy is working with the city to lift it. Effective date: ongoing as of Q2 2026. Read-through for AEP: Highlights the risk of local-level opposition to data center development even in generally supportive jurisdictions. AEP’s Ohio and Texas markets have been receptive, but the Ohio rate freeze legislation (see Material News section) suggests similar political dynamics could emerge.</w:t>
      </w:r>
    </w:p>
    <w:p>
      <w:r>
        <w:rPr>
          <w:rFonts w:ascii="Calibri" w:hAnsi="Calibri"/>
          <w:b/>
          <w:color w:val="525866"/>
          <w:sz w:val="22"/>
        </w:rPr>
        <w:t>Capex/Financing — Accelerated Resilience Investment and Transmission Build (MODERATE READ-THROUGH):</w:t>
      </w:r>
      <w:r>
        <w:rPr>
          <w:rFonts w:ascii="Calibri" w:hAnsi="Calibri"/>
          <w:color w:val="525866"/>
          <w:sz w:val="22"/>
        </w:rPr>
        <w:t xml:space="preserve"> Entergy stated it plans to file for additional accelerated resilience investment in Louisiana in Q3 2026 and is “building over a thousand miles of transmission right now.” Effective date: Q3 2026 filing. Read-through for AEP: Confirms the sector-wide trend of accelerating transmission investment to support new load and grid resilience — directly consistent with AEP’s $33B transmission plan (42% of the $78B capital program).</w:t>
      </w:r>
    </w:p>
    <w:p>
      <w:r>
        <w:rPr>
          <w:rFonts w:ascii="Calibri" w:hAnsi="Calibri"/>
          <w:b/>
          <w:color w:val="525866"/>
          <w:sz w:val="22"/>
        </w:rPr>
        <w:t>Earnings Outlook — Guidance Affirmed, Q3 O&amp;M Headwind Flagged (LOW READ-THROUGH):</w:t>
      </w:r>
      <w:r>
        <w:rPr>
          <w:rFonts w:ascii="Calibri" w:hAnsi="Calibri"/>
          <w:color w:val="525866"/>
          <w:sz w:val="22"/>
        </w:rPr>
        <w:t xml:space="preserve"> Entergy affirmed its 2026 adjusted EPS guidance of $4.25–$4.45 and stated it is “firmly on track.” For Q3 2026, management guided for other O&amp;M to be “approximately $0.05–$0.10 higher than the same quarter last year” driven by rider-recovered expenses and the LDC sale. Effective date: Q3 2026 outlook. Read-through for AEP: The guidance affirmation is a positive sector signal, but the specific O&amp;M drivers are Entergy-specific. AEP’s own Q2 O&amp;M trajectory (management flagged higher O&amp;M in Q1 from storm restoration and property taxes) is the more relevant watch item.</w:t>
      </w:r>
    </w:p>
    <w:p>
      <w:pPr>
        <w:pStyle w:val="Heading3"/>
      </w:pPr>
      <w:r>
        <w:rPr>
          <w:rFonts w:ascii="Calibri" w:hAnsi="Calibri"/>
          <w:b/>
          <w:color w:val="3B4259"/>
          <w:sz w:val="24"/>
        </w:rPr>
        <w:t>B. Duke Energy (DUK) — NC Rate Settlement (Disclosed July 2 &amp; July 17, 2026; Effective Q2 2026)</w:t>
      </w:r>
    </w:p>
    <w:p>
      <w:r>
        <w:rPr>
          <w:rFonts w:ascii="Calibri" w:hAnsi="Calibri"/>
          <w:b/>
          <w:color w:val="525866"/>
          <w:sz w:val="22"/>
        </w:rPr>
        <w:t>Regulatory — NC Rate Settlement: 18% Request Cut to ~9.5% (MODERATE READ-THROUGH):</w:t>
      </w:r>
      <w:r>
        <w:rPr>
          <w:rFonts w:ascii="Calibri" w:hAnsi="Calibri"/>
          <w:color w:val="525866"/>
          <w:sz w:val="22"/>
        </w:rPr>
        <w:t xml:space="preserve"> Duke Energy Carolinas reached a partial settlement with NC regulators on July 2, 2026, resulting in a </w:t>
      </w:r>
    </w:p>
    <w:p>
      <w:r>
        <w:rPr>
          <w:rFonts w:ascii="Calibri" w:hAnsi="Calibri"/>
          <w:b/>
          <w:color w:val="525866"/>
          <w:sz w:val="22"/>
        </w:rPr>
        <w:t>one-time pre-tax accounting charge of ~$10M recognized in Q2 2026</w:t>
      </w:r>
      <w:r>
        <w:rPr>
          <w:rFonts w:ascii="Calibri" w:hAnsi="Calibri"/>
          <w:color w:val="525866"/>
          <w:sz w:val="22"/>
        </w:rPr>
        <w:t>. A more comprehensive settlement was announced July 17, cutting the proposed residential rate increase from ~18% to ~9.5% (5.9% Year 1, 3.6% Year 2), with $10M in shareholder contributions to low-income assistance. Effective date: Q2 2026 for the accounting charge; rate changes pending NCUC approval. Read-through for AEP: Illustrates the political and regulatory pressure on large rate increases across the utility sector. AEP’s Ohio rate freeze risk (see Material News) is a direct analog. The settlement structure — shareholders absorbing some cost to reduce the customer impact — is a pattern AEP may face in its own rate proceedings. The unresolved items (ROE, capital structure, Multi-Year Rate Plan CapEx, storm cost recovery) also highlight the complexity of AEP’s own multi-state regulatory calendar.</w:t>
      </w:r>
    </w:p>
    <w:p>
      <w:pPr>
        <w:pStyle w:val="Heading3"/>
      </w:pPr>
      <w:r>
        <w:rPr>
          <w:rFonts w:ascii="Calibri" w:hAnsi="Calibri"/>
          <w:b/>
          <w:color w:val="3B4259"/>
          <w:sz w:val="24"/>
        </w:rPr>
        <w:t>C. NextEra Energy (NEE) — Q2 2026 Earnings (Disclosed July 24, 2026; Effective Q2 2026)</w:t>
      </w:r>
    </w:p>
    <w:p>
      <w:r>
        <w:rPr>
          <w:rFonts w:ascii="Calibri" w:hAnsi="Calibri"/>
          <w:b/>
          <w:color w:val="525866"/>
          <w:sz w:val="22"/>
        </w:rPr>
        <w:t>Demand/Load — Renewables Backlog +3.6 GW in Q2, Total 35.1 GW (HIGH READ-THROUGH):</w:t>
      </w:r>
      <w:r>
        <w:rPr>
          <w:rFonts w:ascii="Calibri" w:hAnsi="Calibri"/>
          <w:color w:val="525866"/>
          <w:sz w:val="22"/>
        </w:rPr>
        <w:t xml:space="preserve"> NextEra Energy beat Q2 2026 adjusted EPS estimates ($1.15 vs. $1.11 consensus), with Florida Power &amp; Light net income rising to $1.41B from $1.28B YoY. NextEra Energy Resources added ~3.6 GW of new renewables and storage to its backlog in Q2, bringing total backlog to ~35.1 GW. Effective date: Q2 2026. Read-through for AEP: NEE’s strong regulated utility performance (FPL +10% net income YoY) and continued backlog growth confirm that the electricity demand environment in Q2 2026 was robust. The scale of NEE’s renewables backlog growth also validates the broader power demand thesis that underpins AEP’s contracted load pipeline.</w:t>
      </w:r>
    </w:p>
    <w:p>
      <w:r>
        <w:rPr>
          <w:rFonts w:ascii="Calibri" w:hAnsi="Calibri"/>
          <w:b/>
          <w:color w:val="525866"/>
          <w:sz w:val="22"/>
        </w:rPr>
        <w:t>Capex/Financing — NEE/Brookfield $100B Data Center Campus in Kentucky (HIGH READ-THROUGH):</w:t>
      </w:r>
      <w:r>
        <w:rPr>
          <w:rFonts w:ascii="Calibri" w:hAnsi="Calibri"/>
          <w:color w:val="525866"/>
          <w:sz w:val="22"/>
        </w:rPr>
        <w:t xml:space="preserve"> Announced July 29, 2026: NextEra and Brookfield are developing a $100B data center campus at a former uranium enrichment site in Paducah, KY, with 2 GW of natural gas and 2.6 GW of battery storage, targeting 2028 operations. Effective date: announced July 29, 2026. Read-through for AEP: While AEP does not serve the Paducah area, this announcement confirms the extraordinary scale of data center power demand materializing in the region and validates AEP’s own contracted load pipeline. The use of a former federal site (uranium enrichment) is also relevant to AEP’s own nuclear site review discussions mentioned on the Q1 call.</w:t>
      </w:r>
    </w:p>
    <w:p>
      <w:pPr>
        <w:pStyle w:val="Heading3"/>
      </w:pPr>
      <w:r>
        <w:rPr>
          <w:rFonts w:ascii="Calibri" w:hAnsi="Calibri"/>
          <w:b/>
          <w:color w:val="3B4259"/>
          <w:sz w:val="24"/>
        </w:rPr>
        <w:t>D. GE Vernova (GEV) — Q2 2026 Earnings (Disclosed July 22, 2026; Effective Q2 2026)</w:t>
      </w:r>
    </w:p>
    <w:p>
      <w:r>
        <w:rPr>
          <w:rFonts w:ascii="Calibri" w:hAnsi="Calibri"/>
          <w:b/>
          <w:color w:val="525866"/>
          <w:sz w:val="22"/>
        </w:rPr>
        <w:t>Demand/Load — Power Equipment Orders Surge 88% Organically to $24.2B (HIGH READ-THROUGH):</w:t>
      </w:r>
      <w:r>
        <w:rPr>
          <w:rFonts w:ascii="Calibri" w:hAnsi="Calibri"/>
          <w:color w:val="525866"/>
          <w:sz w:val="22"/>
        </w:rPr>
        <w:t xml:space="preserve"> GE Vernova reported Q2 2026 organic orders of $24.2B, up 88% YoY, with backlog spiking. Revenue came in at $11.1B vs. $10.8B consensus. The company raised full-year revenue guidance to $45.5–46.5B (from $44.5–45.5B) and cash flow guidance to $11.5–12.5B (from $6.5–7.5B). Effective date: Q2 2026. Read-through for AEP: GEV’s explosive order growth for power equipment (gas turbines, grid equipment) is a direct read-through for AEP’s capital plan execution. AEP has secured access to more than 10 GW of gas-fired turbine capacity — GEV’s order surge confirms that turbine supply is being locked up rapidly across the industry, validating AEP’s early procurement strategy. The strong demand also supports AEP’s $24B generation capital plan through 2030.</w:t>
      </w:r>
    </w:p>
    <w:p>
      <w:pPr>
        <w:pStyle w:val="Heading3"/>
      </w:pPr>
      <w:r>
        <w:rPr>
          <w:rFonts w:ascii="Calibri" w:hAnsi="Calibri"/>
          <w:b/>
          <w:color w:val="3B4259"/>
          <w:sz w:val="24"/>
        </w:rPr>
        <w:t>E. PG&amp;E (PCG) — Q2 2026 Earnings (Disclosed July 22–23, 2026; Effective Q2 2026)</w:t>
      </w:r>
    </w:p>
    <w:p>
      <w:r>
        <w:rPr>
          <w:rFonts w:ascii="Calibri" w:hAnsi="Calibri"/>
          <w:b/>
          <w:color w:val="525866"/>
          <w:sz w:val="22"/>
        </w:rPr>
        <w:t>Demand/Load — Data Center Pipeline &gt;12 GW, Rate Case Win Drives Beat (MODERATE READ-THROUGH):</w:t>
      </w:r>
      <w:r>
        <w:rPr>
          <w:rFonts w:ascii="Calibri" w:hAnsi="Calibri"/>
          <w:color w:val="525866"/>
          <w:sz w:val="22"/>
        </w:rPr>
        <w:t xml:space="preserve"> PG&amp;E reported Q2 2026 adjusted EPS of $0.40 vs. $0.36 consensus, driven by higher customer bills following a favorable rate case decision and a surge in power demand from AI data centers. PG&amp;E’s data center pipeline exceeded 12 GW. Effective date: Q2 2026. Read-through for AEP: The combination of a favorable rate case outcome and data center demand driving a meaningful EPS beat is the exact playbook AEP is executing — constructive regulatory outcomes plus load growth. PG&amp;E’s 12 GW pipeline (vs. AEP’s 63 GW contracted load) underscores AEP’s relative scale advantage in the data center power market.</w:t>
      </w:r>
    </w:p>
    <w:p>
      <w:pPr>
        <w:pStyle w:val="Heading3"/>
      </w:pPr>
      <w:r>
        <w:rPr>
          <w:rFonts w:ascii="Calibri" w:hAnsi="Calibri"/>
          <w:b/>
          <w:color w:val="3B4259"/>
          <w:sz w:val="24"/>
        </w:rPr>
        <w:t>F. CMS Energy (CMS) — Q2 2026 Earnings (Disclosed July 28, 2026; Effective Q2 2026)</w:t>
      </w:r>
    </w:p>
    <w:p>
      <w:r>
        <w:rPr>
          <w:rFonts w:ascii="Calibri" w:hAnsi="Calibri"/>
          <w:b/>
          <w:color w:val="525866"/>
          <w:sz w:val="22"/>
        </w:rPr>
        <w:t>Earnings Outlook — 2027 Guidance Below Consensus; Exit Non-Utility Renewables (LOW READ-THROUGH):</w:t>
      </w:r>
      <w:r>
        <w:rPr>
          <w:rFonts w:ascii="Calibri" w:hAnsi="Calibri"/>
          <w:color w:val="525866"/>
          <w:sz w:val="22"/>
        </w:rPr>
        <w:t xml:space="preserve"> CMS Energy narrowly beat Q2 2026 EPS ($0.37 vs. $0.36 consensus) but issued 2027 adjusted EPS guidance of $4.08–$4.17 (midpoint $4.13 vs. $4.17 consensus). CMS also announced it would exit non-utility renewables development to focus on its regulated business. Net income fell 40.3% YoY. Effective date: Q2 2026 results and 2027 guidance. Read-through for AEP: Limited direct read-through — CMS’s below-consensus 2027 guidance reflects company-specific issues (non-utility renewables exit, higher O&amp;M) rather than a sector-wide trend. However, the decision to exit non-utility renewables and focus on regulated operations is consistent with the broader utility sector’s pivot toward regulated capital deployment — a strategy AEP has already fully embraced.</w:t>
      </w:r>
    </w:p>
    <w:p>
      <w:pPr>
        <w:pStyle w:val="Heading3"/>
      </w:pPr>
      <w:r>
        <w:rPr>
          <w:rFonts w:ascii="Calibri" w:hAnsi="Calibri"/>
          <w:b/>
          <w:color w:val="3B4259"/>
          <w:sz w:val="24"/>
        </w:rPr>
        <w:t>G. PJM Grid Disturbance (July 22–25, 2026) — Direct AEP Operational Read-Through</w:t>
      </w:r>
    </w:p>
    <w:p>
      <w:r>
        <w:rPr>
          <w:rFonts w:ascii="Calibri" w:hAnsi="Calibri"/>
          <w:b/>
          <w:color w:val="525866"/>
          <w:sz w:val="22"/>
        </w:rPr>
        <w:t>Grid Reliability — 3+ GW Data Center Disconnect Destabilizes PJM Grid (HIGH READ-THROUGH):</w:t>
      </w:r>
      <w:r>
        <w:rPr>
          <w:rFonts w:ascii="Calibri" w:hAnsi="Calibri"/>
          <w:color w:val="525866"/>
          <w:sz w:val="22"/>
        </w:rPr>
        <w:t xml:space="preserve"> A power line failure in Northern Virginia on July 22, 2026 caused 3.1 GW of data center load to disconnect in 30 seconds, leaving 3.49 GW of excess electricity on the PJM grid and taking 10+ minutes to stabilize (vs. normal few seconds). Voltage spikes were felt from Northern Virginia to Chicago. Effective date: July 22, 2026. Read-through for AEP: This event is directly relevant to AEP’s PJM operations and its ongoing RTO review. AEP has been publicly frustrated with PJM’s interconnection speed and is formally evaluating all options including potential structural alternatives to current RTO membership. The grid disturbance event: (1) validates AEP’s concerns about PJM’s ability to manage large, concentrated data center loads; (2) may accelerate regulatory action on interconnection standards, which could be a tailwind for AEP’s transmission investment thesis; and (3) could be a topic on the Q2 earnings call given AEP’s significant PJM exposure (~22 GW of contracted load in PJM).</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 / Event</w:t>
            </w:r>
          </w:p>
        </w:tc>
        <w:tc>
          <w:tcPr>
            <w:tcW w:type="dxa" w:w="1440"/>
            <w:shd w:val="clear" w:color="auto" w:fill="3B4259"/>
          </w:tcPr>
          <w:p>
            <w:r>
              <w:rPr>
                <w:rFonts w:ascii="Calibri" w:hAnsi="Calibri"/>
                <w:b/>
                <w:color w:val="FFFFFF"/>
                <w:sz w:val="22"/>
              </w:rPr>
              <w:t>Disclosure Date</w:t>
            </w:r>
          </w:p>
        </w:tc>
        <w:tc>
          <w:tcPr>
            <w:tcW w:type="dxa" w:w="1440"/>
            <w:shd w:val="clear" w:color="auto" w:fill="3B4259"/>
          </w:tcPr>
          <w:p>
            <w:r>
              <w:rPr>
                <w:rFonts w:ascii="Calibri" w:hAnsi="Calibri"/>
                <w:b/>
                <w:color w:val="FFFFFF"/>
                <w:sz w:val="22"/>
              </w:rPr>
              <w:t>Effective Period</w:t>
            </w:r>
          </w:p>
        </w:tc>
        <w:tc>
          <w:tcPr>
            <w:tcW w:type="dxa" w:w="1440"/>
            <w:shd w:val="clear" w:color="auto" w:fill="3B4259"/>
          </w:tcPr>
          <w:p>
            <w:r>
              <w:rPr>
                <w:rFonts w:ascii="Calibri" w:hAnsi="Calibri"/>
                <w:b/>
                <w:color w:val="FFFFFF"/>
                <w:sz w:val="22"/>
              </w:rPr>
              <w:t>Key Commentary</w:t>
            </w:r>
          </w:p>
        </w:tc>
        <w:tc>
          <w:tcPr>
            <w:tcW w:type="dxa" w:w="1440"/>
            <w:shd w:val="clear" w:color="auto" w:fill="3B4259"/>
          </w:tcPr>
          <w:p>
            <w:r>
              <w:rPr>
                <w:rFonts w:ascii="Calibri" w:hAnsi="Calibri"/>
                <w:b/>
                <w:color w:val="FFFFFF"/>
                <w:sz w:val="22"/>
              </w:rPr>
              <w:t>Read-Through Strength</w:t>
            </w:r>
          </w:p>
        </w:tc>
        <w:tc>
          <w:tcPr>
            <w:tcW w:type="dxa" w:w="1440"/>
            <w:shd w:val="clear" w:color="auto" w:fill="3B4259"/>
          </w:tcPr>
          <w:p>
            <w:r>
              <w:rPr>
                <w:rFonts w:ascii="Calibri" w:hAnsi="Calibri"/>
                <w:b/>
                <w:color w:val="FFFFFF"/>
                <w:sz w:val="22"/>
              </w:rPr>
              <w:t>AEP Implication</w:t>
            </w:r>
          </w:p>
        </w:tc>
      </w:tr>
      <w:tr>
        <w:tc>
          <w:tcPr>
            <w:tcW w:type="dxa" w:w="1440"/>
          </w:tcPr>
          <w:p>
            <w:r>
              <w:rPr>
                <w:rFonts w:ascii="Calibri" w:hAnsi="Calibri"/>
                <w:sz w:val="22"/>
              </w:rPr>
              <w:t>Entergy (ETR) Q2 2026</w:t>
            </w:r>
          </w:p>
        </w:tc>
        <w:tc>
          <w:tcPr>
            <w:tcW w:type="dxa" w:w="1440"/>
          </w:tcPr>
          <w:p>
            <w:r>
              <w:rPr>
                <w:rFonts w:ascii="Calibri" w:hAnsi="Calibri"/>
                <w:sz w:val="22"/>
              </w:rPr>
              <w:t>July 29, 2026</w:t>
            </w:r>
          </w:p>
        </w:tc>
        <w:tc>
          <w:tcPr>
            <w:tcW w:type="dxa" w:w="1440"/>
          </w:tcPr>
          <w:p>
            <w:r>
              <w:rPr>
                <w:rFonts w:ascii="Calibri" w:hAnsi="Calibri"/>
                <w:sz w:val="22"/>
              </w:rPr>
              <w:t>Q2 2026</w:t>
            </w:r>
          </w:p>
        </w:tc>
        <w:tc>
          <w:tcPr>
            <w:tcW w:type="dxa" w:w="1440"/>
          </w:tcPr>
          <w:p>
            <w:r>
              <w:rPr>
                <w:rFonts w:ascii="Calibri" w:hAnsi="Calibri"/>
                <w:sz w:val="22"/>
              </w:rPr>
              <w:t>Weather-adj. retail sales +5.7%; industrial volume +9.9% from data centers; 7–12 GW hyperscale pipeline; funnel “very, very active”</w:t>
            </w:r>
          </w:p>
        </w:tc>
        <w:tc>
          <w:tcPr>
            <w:tcW w:type="dxa" w:w="1440"/>
          </w:tcPr>
          <w:p>
            <w:r>
              <w:rPr>
                <w:rFonts w:ascii="Calibri" w:hAnsi="Calibri"/>
                <w:b/>
                <w:color w:val="30A46C"/>
                <w:sz w:val="22"/>
              </w:rPr>
              <w:t>HIGH</w:t>
            </w:r>
          </w:p>
        </w:tc>
        <w:tc>
          <w:tcPr>
            <w:tcW w:type="dxa" w:w="1440"/>
          </w:tcPr>
          <w:p>
            <w:r>
              <w:rPr>
                <w:rFonts w:ascii="Calibri" w:hAnsi="Calibri"/>
                <w:sz w:val="22"/>
              </w:rPr>
              <w:t>Validates AEP’s load growth thesis; supports contracted load update above 63 GW</w:t>
            </w:r>
          </w:p>
        </w:tc>
      </w:tr>
      <w:tr>
        <w:tc>
          <w:tcPr>
            <w:tcW w:type="dxa" w:w="1440"/>
          </w:tcPr>
          <w:p>
            <w:r>
              <w:rPr>
                <w:rFonts w:ascii="Calibri" w:hAnsi="Calibri"/>
                <w:sz w:val="22"/>
              </w:rPr>
              <w:t>GE Vernova (GEV) Q2 2026</w:t>
            </w:r>
          </w:p>
        </w:tc>
        <w:tc>
          <w:tcPr>
            <w:tcW w:type="dxa" w:w="1440"/>
          </w:tcPr>
          <w:p>
            <w:r>
              <w:rPr>
                <w:rFonts w:ascii="Calibri" w:hAnsi="Calibri"/>
                <w:sz w:val="22"/>
              </w:rPr>
              <w:t>July 22, 2026</w:t>
            </w:r>
          </w:p>
        </w:tc>
        <w:tc>
          <w:tcPr>
            <w:tcW w:type="dxa" w:w="1440"/>
          </w:tcPr>
          <w:p>
            <w:r>
              <w:rPr>
                <w:rFonts w:ascii="Calibri" w:hAnsi="Calibri"/>
                <w:sz w:val="22"/>
              </w:rPr>
              <w:t>Q2 2026</w:t>
            </w:r>
          </w:p>
        </w:tc>
        <w:tc>
          <w:tcPr>
            <w:tcW w:type="dxa" w:w="1440"/>
          </w:tcPr>
          <w:p>
            <w:r>
              <w:rPr>
                <w:rFonts w:ascii="Calibri" w:hAnsi="Calibri"/>
                <w:sz w:val="22"/>
              </w:rPr>
              <w:t>Orders +88% organically to $24.2B; raised revenue guidance; gas turbine demand surging</w:t>
            </w:r>
          </w:p>
        </w:tc>
        <w:tc>
          <w:tcPr>
            <w:tcW w:type="dxa" w:w="1440"/>
          </w:tcPr>
          <w:p>
            <w:r>
              <w:rPr>
                <w:rFonts w:ascii="Calibri" w:hAnsi="Calibri"/>
                <w:b/>
                <w:color w:val="30A46C"/>
                <w:sz w:val="22"/>
              </w:rPr>
              <w:t>HIGH</w:t>
            </w:r>
          </w:p>
        </w:tc>
        <w:tc>
          <w:tcPr>
            <w:tcW w:type="dxa" w:w="1440"/>
          </w:tcPr>
          <w:p>
            <w:r>
              <w:rPr>
                <w:rFonts w:ascii="Calibri" w:hAnsi="Calibri"/>
                <w:sz w:val="22"/>
              </w:rPr>
              <w:t>Validates AEP’s early turbine procurement; supports $24B generation capital plan</w:t>
            </w:r>
          </w:p>
        </w:tc>
      </w:tr>
      <w:tr>
        <w:tc>
          <w:tcPr>
            <w:tcW w:type="dxa" w:w="1440"/>
          </w:tcPr>
          <w:p>
            <w:r>
              <w:rPr>
                <w:rFonts w:ascii="Calibri" w:hAnsi="Calibri"/>
                <w:sz w:val="22"/>
              </w:rPr>
              <w:t>NEE Q2 2026 + KY Campus</w:t>
            </w:r>
          </w:p>
        </w:tc>
        <w:tc>
          <w:tcPr>
            <w:tcW w:type="dxa" w:w="1440"/>
          </w:tcPr>
          <w:p>
            <w:r>
              <w:rPr>
                <w:rFonts w:ascii="Calibri" w:hAnsi="Calibri"/>
                <w:sz w:val="22"/>
              </w:rPr>
              <w:t>July 24 &amp; 29, 2026</w:t>
            </w:r>
          </w:p>
        </w:tc>
        <w:tc>
          <w:tcPr>
            <w:tcW w:type="dxa" w:w="1440"/>
          </w:tcPr>
          <w:p>
            <w:r>
              <w:rPr>
                <w:rFonts w:ascii="Calibri" w:hAnsi="Calibri"/>
                <w:sz w:val="22"/>
              </w:rPr>
              <w:t>Q2 2026 / Forward</w:t>
            </w:r>
          </w:p>
        </w:tc>
        <w:tc>
          <w:tcPr>
            <w:tcW w:type="dxa" w:w="1440"/>
          </w:tcPr>
          <w:p>
            <w:r>
              <w:rPr>
                <w:rFonts w:ascii="Calibri" w:hAnsi="Calibri"/>
                <w:sz w:val="22"/>
              </w:rPr>
              <w:t>FPL net income +10% YoY; NEER backlog +3.6 GW; $100B data center campus in KY announced</w:t>
            </w:r>
          </w:p>
        </w:tc>
        <w:tc>
          <w:tcPr>
            <w:tcW w:type="dxa" w:w="1440"/>
          </w:tcPr>
          <w:p>
            <w:r>
              <w:rPr>
                <w:rFonts w:ascii="Calibri" w:hAnsi="Calibri"/>
                <w:b/>
                <w:color w:val="30A46C"/>
                <w:sz w:val="22"/>
              </w:rPr>
              <w:t>HIGH</w:t>
            </w:r>
          </w:p>
        </w:tc>
        <w:tc>
          <w:tcPr>
            <w:tcW w:type="dxa" w:w="1440"/>
          </w:tcPr>
          <w:p>
            <w:r>
              <w:rPr>
                <w:rFonts w:ascii="Calibri" w:hAnsi="Calibri"/>
                <w:sz w:val="22"/>
              </w:rPr>
              <w:t>Confirms scale of data center power demand; validates AEP’s contracted load pipeline</w:t>
            </w:r>
          </w:p>
        </w:tc>
      </w:tr>
      <w:tr>
        <w:tc>
          <w:tcPr>
            <w:tcW w:type="dxa" w:w="1440"/>
          </w:tcPr>
          <w:p>
            <w:r>
              <w:rPr>
                <w:rFonts w:ascii="Calibri" w:hAnsi="Calibri"/>
                <w:sz w:val="22"/>
              </w:rPr>
              <w:t>PJM Grid Disturbance</w:t>
            </w:r>
          </w:p>
        </w:tc>
        <w:tc>
          <w:tcPr>
            <w:tcW w:type="dxa" w:w="1440"/>
          </w:tcPr>
          <w:p>
            <w:r>
              <w:rPr>
                <w:rFonts w:ascii="Calibri" w:hAnsi="Calibri"/>
                <w:sz w:val="22"/>
              </w:rPr>
              <w:t>July 22–25, 2026</w:t>
            </w:r>
          </w:p>
        </w:tc>
        <w:tc>
          <w:tcPr>
            <w:tcW w:type="dxa" w:w="1440"/>
          </w:tcPr>
          <w:p>
            <w:r>
              <w:rPr>
                <w:rFonts w:ascii="Calibri" w:hAnsi="Calibri"/>
                <w:sz w:val="22"/>
              </w:rPr>
              <w:t>July 22, 2026</w:t>
            </w:r>
          </w:p>
        </w:tc>
        <w:tc>
          <w:tcPr>
            <w:tcW w:type="dxa" w:w="1440"/>
          </w:tcPr>
          <w:p>
            <w:r>
              <w:rPr>
                <w:rFonts w:ascii="Calibri" w:hAnsi="Calibri"/>
                <w:sz w:val="22"/>
              </w:rPr>
              <w:t>3.1 GW data center disconnect; 10+ min grid stabilization; voltage spikes Chicago to NoVA</w:t>
            </w:r>
          </w:p>
        </w:tc>
        <w:tc>
          <w:tcPr>
            <w:tcW w:type="dxa" w:w="1440"/>
          </w:tcPr>
          <w:p>
            <w:r>
              <w:rPr>
                <w:rFonts w:ascii="Calibri" w:hAnsi="Calibri"/>
                <w:b/>
                <w:color w:val="30A46C"/>
                <w:sz w:val="22"/>
              </w:rPr>
              <w:t>HIGH</w:t>
            </w:r>
          </w:p>
        </w:tc>
        <w:tc>
          <w:tcPr>
            <w:tcW w:type="dxa" w:w="1440"/>
          </w:tcPr>
          <w:p>
            <w:r>
              <w:rPr>
                <w:rFonts w:ascii="Calibri" w:hAnsi="Calibri"/>
                <w:sz w:val="22"/>
              </w:rPr>
              <w:t>Validates AEP’s PJM frustration; may accelerate transmission investment regulatory support</w:t>
            </w:r>
          </w:p>
        </w:tc>
      </w:tr>
      <w:tr>
        <w:tc>
          <w:tcPr>
            <w:tcW w:type="dxa" w:w="1440"/>
          </w:tcPr>
          <w:p>
            <w:r>
              <w:rPr>
                <w:rFonts w:ascii="Calibri" w:hAnsi="Calibri"/>
                <w:sz w:val="22"/>
              </w:rPr>
              <w:t>PG&amp;E (PCG) Q2 2026</w:t>
            </w:r>
          </w:p>
        </w:tc>
        <w:tc>
          <w:tcPr>
            <w:tcW w:type="dxa" w:w="1440"/>
          </w:tcPr>
          <w:p>
            <w:r>
              <w:rPr>
                <w:rFonts w:ascii="Calibri" w:hAnsi="Calibri"/>
                <w:sz w:val="22"/>
              </w:rPr>
              <w:t>July 22–23, 2026</w:t>
            </w:r>
          </w:p>
        </w:tc>
        <w:tc>
          <w:tcPr>
            <w:tcW w:type="dxa" w:w="1440"/>
          </w:tcPr>
          <w:p>
            <w:r>
              <w:rPr>
                <w:rFonts w:ascii="Calibri" w:hAnsi="Calibri"/>
                <w:sz w:val="22"/>
              </w:rPr>
              <w:t>Q2 2026</w:t>
            </w:r>
          </w:p>
        </w:tc>
        <w:tc>
          <w:tcPr>
            <w:tcW w:type="dxa" w:w="1440"/>
          </w:tcPr>
          <w:p>
            <w:r>
              <w:rPr>
                <w:rFonts w:ascii="Calibri" w:hAnsi="Calibri"/>
                <w:sz w:val="22"/>
              </w:rPr>
              <w:t>Adj. EPS $0.40 vs. $0.36 est.; rate case win + data center demand; 12 GW pipeline</w:t>
            </w:r>
          </w:p>
        </w:tc>
        <w:tc>
          <w:tcPr>
            <w:tcW w:type="dxa" w:w="1440"/>
          </w:tcPr>
          <w:p>
            <w:r>
              <w:rPr>
                <w:rFonts w:ascii="Calibri" w:hAnsi="Calibri"/>
                <w:b/>
                <w:color w:val="002FA7"/>
                <w:sz w:val="22"/>
              </w:rPr>
              <w:t>MODERATE</w:t>
            </w:r>
          </w:p>
        </w:tc>
        <w:tc>
          <w:tcPr>
            <w:tcW w:type="dxa" w:w="1440"/>
          </w:tcPr>
          <w:p>
            <w:r>
              <w:rPr>
                <w:rFonts w:ascii="Calibri" w:hAnsi="Calibri"/>
                <w:sz w:val="22"/>
              </w:rPr>
              <w:t>Rate case + load growth = EPS beat playbook mirrors AEP’s strategy</w:t>
            </w:r>
          </w:p>
        </w:tc>
      </w:tr>
      <w:tr>
        <w:tc>
          <w:tcPr>
            <w:tcW w:type="dxa" w:w="1440"/>
          </w:tcPr>
          <w:p>
            <w:r>
              <w:rPr>
                <w:rFonts w:ascii="Calibri" w:hAnsi="Calibri"/>
                <w:sz w:val="22"/>
              </w:rPr>
              <w:t>Duke Energy (DUK) NC Settlement</w:t>
            </w:r>
          </w:p>
        </w:tc>
        <w:tc>
          <w:tcPr>
            <w:tcW w:type="dxa" w:w="1440"/>
          </w:tcPr>
          <w:p>
            <w:r>
              <w:rPr>
                <w:rFonts w:ascii="Calibri" w:hAnsi="Calibri"/>
                <w:sz w:val="22"/>
              </w:rPr>
              <w:t>July 2 &amp; 17, 2026</w:t>
            </w:r>
          </w:p>
        </w:tc>
        <w:tc>
          <w:tcPr>
            <w:tcW w:type="dxa" w:w="1440"/>
          </w:tcPr>
          <w:p>
            <w:r>
              <w:rPr>
                <w:rFonts w:ascii="Calibri" w:hAnsi="Calibri"/>
                <w:sz w:val="22"/>
              </w:rPr>
              <w:t>Q2 2026</w:t>
            </w:r>
          </w:p>
        </w:tc>
        <w:tc>
          <w:tcPr>
            <w:tcW w:type="dxa" w:w="1440"/>
          </w:tcPr>
          <w:p>
            <w:r>
              <w:rPr>
                <w:rFonts w:ascii="Calibri" w:hAnsi="Calibri"/>
                <w:sz w:val="22"/>
              </w:rPr>
              <w:t>Rate increase cut from 18% to 9.5%; $10M shareholder contribution; $10M Q2 charge</w:t>
            </w:r>
          </w:p>
        </w:tc>
        <w:tc>
          <w:tcPr>
            <w:tcW w:type="dxa" w:w="1440"/>
          </w:tcPr>
          <w:p>
            <w:r>
              <w:rPr>
                <w:rFonts w:ascii="Calibri" w:hAnsi="Calibri"/>
                <w:b/>
                <w:color w:val="002FA7"/>
                <w:sz w:val="22"/>
              </w:rPr>
              <w:t>MODERATE</w:t>
            </w:r>
          </w:p>
        </w:tc>
        <w:tc>
          <w:tcPr>
            <w:tcW w:type="dxa" w:w="1440"/>
          </w:tcPr>
          <w:p>
            <w:r>
              <w:rPr>
                <w:rFonts w:ascii="Calibri" w:hAnsi="Calibri"/>
                <w:sz w:val="22"/>
              </w:rPr>
              <w:t>Political pressure on large rate increases; analog to Ohio rate freeze risk for AEP</w:t>
            </w:r>
          </w:p>
        </w:tc>
      </w:tr>
      <w:tr>
        <w:tc>
          <w:tcPr>
            <w:tcW w:type="dxa" w:w="1440"/>
          </w:tcPr>
          <w:p>
            <w:r>
              <w:rPr>
                <w:rFonts w:ascii="Calibri" w:hAnsi="Calibri"/>
                <w:sz w:val="22"/>
              </w:rPr>
              <w:t>CMS Energy Q2 2026</w:t>
            </w:r>
          </w:p>
        </w:tc>
        <w:tc>
          <w:tcPr>
            <w:tcW w:type="dxa" w:w="1440"/>
          </w:tcPr>
          <w:p>
            <w:r>
              <w:rPr>
                <w:rFonts w:ascii="Calibri" w:hAnsi="Calibri"/>
                <w:sz w:val="22"/>
              </w:rPr>
              <w:t>July 28, 2026</w:t>
            </w:r>
          </w:p>
        </w:tc>
        <w:tc>
          <w:tcPr>
            <w:tcW w:type="dxa" w:w="1440"/>
          </w:tcPr>
          <w:p>
            <w:r>
              <w:rPr>
                <w:rFonts w:ascii="Calibri" w:hAnsi="Calibri"/>
                <w:sz w:val="22"/>
              </w:rPr>
              <w:t>Q2 2026 / 2027 outlook</w:t>
            </w:r>
          </w:p>
        </w:tc>
        <w:tc>
          <w:tcPr>
            <w:tcW w:type="dxa" w:w="1440"/>
          </w:tcPr>
          <w:p>
            <w:r>
              <w:rPr>
                <w:rFonts w:ascii="Calibri" w:hAnsi="Calibri"/>
                <w:sz w:val="22"/>
              </w:rPr>
              <w:t>Narrow Q2 beat; 2027 guidance below consensus; exiting non-utility renewables</w:t>
            </w:r>
          </w:p>
        </w:tc>
        <w:tc>
          <w:tcPr>
            <w:tcW w:type="dxa" w:w="1440"/>
          </w:tcPr>
          <w:p>
            <w:r>
              <w:rPr>
                <w:rFonts w:ascii="Calibri" w:hAnsi="Calibri"/>
                <w:b/>
                <w:color w:val="E5484D"/>
                <w:sz w:val="22"/>
              </w:rPr>
              <w:t>LOW</w:t>
            </w:r>
          </w:p>
        </w:tc>
        <w:tc>
          <w:tcPr>
            <w:tcW w:type="dxa" w:w="1440"/>
          </w:tcPr>
          <w:p>
            <w:r>
              <w:rPr>
                <w:rFonts w:ascii="Calibri" w:hAnsi="Calibri"/>
                <w:sz w:val="22"/>
              </w:rPr>
              <w:t>Company-specific; limited read-through; regulated focus pivot consistent with AEP</w:t>
            </w:r>
          </w:p>
        </w:tc>
      </w:tr>
    </w:tbl>
    <w:p>
      <w:r>
        <w:rPr>
          <w:rFonts w:ascii="Calibri" w:hAnsi="Calibri"/>
          <w:i/>
          <w:color w:val="525866"/>
          <w:sz w:val="22"/>
        </w:rPr>
        <w:t>Sources: Entergy Q2 2026 Earnings Release and Transcript (July 29, 2026); Duke Energy 8-K (July 2 &amp; July 17, 2026); NextEra Energy Q2 2026 Earnings Release (July 24, 2026); Reuters (July 29, 2026 — NEE/Brookfield KY campus); GE Vernova Q2 2026 Earnings Release (July 22, 2026); PG&amp;E Q2 2026 Earnings Release (July 22, 2026); Reuters (July 22–25, 2026 — PJM grid disturbance); CMS Energy Q2 2026 Earnings Release (July 28, 2026).</w:t>
      </w:r>
    </w:p>
    <w:p>
      <w:r>
        <w:br w:type="page"/>
      </w:r>
    </w:p>
    <w:p>
      <w:pPr>
        <w:pStyle w:val="Heading2"/>
      </w:pPr>
      <w:r>
        <w:rPr>
          <w:rFonts w:ascii="Calibri" w:hAnsi="Calibri"/>
          <w:b/>
          <w:color w:val="3B4259"/>
          <w:sz w:val="28"/>
        </w:rPr>
        <w:t>Key Questions for the Q2 2026 Earnings Call (July 30, 2026)</w:t>
      </w:r>
    </w:p>
    <w:p>
      <w:pPr>
        <w:pStyle w:val="ListNumber"/>
        <w:ind w:left="360" w:hanging="360"/>
      </w:pPr>
      <w:r>
        <w:rPr>
          <w:rFonts w:ascii="Calibri" w:hAnsi="Calibri"/>
          <w:b/>
          <w:color w:val="525866"/>
          <w:sz w:val="22"/>
        </w:rPr>
        <w:t>Contracted Load Update:</w:t>
      </w:r>
      <w:r>
        <w:rPr>
          <w:rFonts w:ascii="Calibri" w:hAnsi="Calibri"/>
          <w:color w:val="525866"/>
          <w:sz w:val="22"/>
        </w:rPr>
        <w:t xml:space="preserve"> Has contracted load grown beyond 63 GW? What is the status of the 10 GW SB Energy Piketon campus and the Google Putnam County WV data center (both excluded from the current forecast)?</w:t>
      </w:r>
    </w:p>
    <w:p>
      <w:pPr>
        <w:pStyle w:val="ListNumber"/>
        <w:ind w:left="360" w:hanging="360"/>
      </w:pPr>
      <w:r>
        <w:rPr>
          <w:rFonts w:ascii="Calibri" w:hAnsi="Calibri"/>
          <w:b/>
          <w:color w:val="525866"/>
          <w:sz w:val="22"/>
        </w:rPr>
        <w:t>Wyoming Fuel Cell Project:</w:t>
      </w:r>
      <w:r>
        <w:rPr>
          <w:rFonts w:ascii="Calibri" w:hAnsi="Calibri"/>
          <w:color w:val="525866"/>
          <w:sz w:val="22"/>
        </w:rPr>
        <w:t xml:space="preserve"> Management flagged a June-end decision point on the hyperscaler’s ability to advance discussions. What is the current status? Has the hyperscaler sought an alternative location, or is AEP preparing to put the fuel cells back at 110% of cost?</w:t>
      </w:r>
    </w:p>
    <w:p>
      <w:pPr>
        <w:pStyle w:val="ListNumber"/>
        <w:ind w:left="360" w:hanging="360"/>
      </w:pPr>
      <w:r>
        <w:rPr>
          <w:rFonts w:ascii="Calibri" w:hAnsi="Calibri"/>
          <w:b/>
          <w:color w:val="525866"/>
          <w:sz w:val="22"/>
        </w:rPr>
        <w:t>PJM RTO Review:</w:t>
      </w:r>
      <w:r>
        <w:rPr>
          <w:rFonts w:ascii="Calibri" w:hAnsi="Calibri"/>
          <w:color w:val="525866"/>
          <w:sz w:val="22"/>
        </w:rPr>
        <w:t xml:space="preserve"> Following the July 22 PJM grid disturbance, has AEP’s assessment of its RTO options changed? Is a formal exit from PJM still being evaluated, and what is the timeline for a decision?</w:t>
      </w:r>
    </w:p>
    <w:p>
      <w:pPr>
        <w:pStyle w:val="ListNumber"/>
        <w:ind w:left="360" w:hanging="360"/>
      </w:pPr>
      <w:r>
        <w:rPr>
          <w:rFonts w:ascii="Calibri" w:hAnsi="Calibri"/>
          <w:b/>
          <w:color w:val="525866"/>
          <w:sz w:val="22"/>
        </w:rPr>
        <w:t>Ohio Rate Freeze Legislation:</w:t>
      </w:r>
      <w:r>
        <w:rPr>
          <w:rFonts w:ascii="Calibri" w:hAnsi="Calibri"/>
          <w:color w:val="525866"/>
          <w:sz w:val="22"/>
        </w:rPr>
        <w:t xml:space="preserve"> How is AEP responding to the proposed Ohio utility rate freeze bill? What is the company’s assessment of the legislative risk, and how does it affect the Ohio rate case calendar?</w:t>
      </w:r>
    </w:p>
    <w:p>
      <w:pPr>
        <w:pStyle w:val="ListNumber"/>
        <w:ind w:left="360" w:hanging="360"/>
      </w:pPr>
      <w:r>
        <w:rPr>
          <w:rFonts w:ascii="Calibri" w:hAnsi="Calibri"/>
          <w:b/>
          <w:color w:val="525866"/>
          <w:sz w:val="22"/>
        </w:rPr>
        <w:t>Capital Plan Update (Q3 2031 Extension):</w:t>
      </w:r>
      <w:r>
        <w:rPr>
          <w:rFonts w:ascii="Calibri" w:hAnsi="Calibri"/>
          <w:color w:val="525866"/>
          <w:sz w:val="22"/>
        </w:rPr>
        <w:t xml:space="preserve"> Management committed to updating the capital plan in Q3 to include 2031 opportunities. Is there any preview of the scale of incremental investment, and how does the $10B+ line-of-sight pipeline translate into the updated plan?</w:t>
      </w:r>
    </w:p>
    <w:p>
      <w:pPr>
        <w:pStyle w:val="ListNumber"/>
        <w:ind w:left="360" w:hanging="360"/>
      </w:pPr>
      <w:r>
        <w:rPr>
          <w:rFonts w:ascii="Calibri" w:hAnsi="Calibri"/>
          <w:b/>
          <w:color w:val="525866"/>
          <w:sz w:val="22"/>
        </w:rPr>
        <w:t>Forward Equity Settlement Timing:</w:t>
      </w:r>
      <w:r>
        <w:rPr>
          <w:rFonts w:ascii="Calibri" w:hAnsi="Calibri"/>
          <w:color w:val="525866"/>
          <w:sz w:val="22"/>
        </w:rPr>
        <w:t xml:space="preserve"> With $2.9B in forward equity outstanding (settlement by May 2028), what is the expected timing of physical settlement? How does this interact with the back-end loaded capital plan and the FFO/debt ratio trajectory?</w:t>
      </w:r>
    </w:p>
    <w:p>
      <w:pPr>
        <w:pStyle w:val="ListNumber"/>
        <w:ind w:left="360" w:hanging="360"/>
      </w:pPr>
      <w:r>
        <w:rPr>
          <w:rFonts w:ascii="Calibri" w:hAnsi="Calibri"/>
          <w:b/>
          <w:color w:val="525866"/>
          <w:sz w:val="22"/>
        </w:rPr>
        <w:t>Texas Senate Bill 6 Implementation:</w:t>
      </w:r>
      <w:r>
        <w:rPr>
          <w:rFonts w:ascii="Calibri" w:hAnsi="Calibri"/>
          <w:color w:val="525866"/>
          <w:sz w:val="22"/>
        </w:rPr>
        <w:t xml:space="preserve"> Management expected greater clarity on ERCOT interconnection timing “later this summer” as SB6 rule-making progresses. What is the current status, and does it affect the 41 GW ERCOT contracted load timeline?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