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AJG (Arthur J. Gallagher &amp; Co.) before writing the preview. Let me gather recent filings, transcripts, and news.I'll read the most recent earnings call (Q1 2026) and the prior-year Q2 2025 to understand trends and guidance, plus recent news.Let me get the prior-year Q2 2025 release (for YoY comps), recent news, and the stock price trend.Let me check for any June Investor Day update and recent analyst/news activity heading into the print.The June 17 pre-Q2 investor meeting is the most important recent update. Let me read it — it likely contains refreshed Q2 organic guidance and synergy updates.I have rich material. Let me do a quick check for consensus estimates and compute a few figures.I now have everything I need. Here's the earnings preview.</w:t>
      </w:r>
    </w:p>
    <w:p>
      <w:r>
        <w:pict>
          <v:rect style="width:0;height:1.5pt" o:hralign="center" o:hrstd="t" o:hr="t"/>
        </w:pict>
      </w:r>
    </w:p>
    <w:bookmarkStart w:id="22" w:name="Xbc9764f9401358c70c0f6165f6fdb7e94b4ef6d"/>
    <w:p>
      <w:pPr>
        <w:pStyle w:val="Heading1"/>
      </w:pPr>
      <w:r>
        <w:t xml:space="preserve">Arthur J. Gallagher &amp; Co. (AJG) — Q2 2026 Earnings Preview</w:t>
      </w:r>
    </w:p>
    <w:p>
      <w:pPr>
        <w:pStyle w:val="FirstParagraph"/>
      </w:pPr>
      <w:r>
        <w:rPr>
          <w:b/>
          <w:bCs/>
        </w:rPr>
        <w:t xml:space="preserve">Report date:</w:t>
      </w:r>
      <w:r>
        <w:t xml:space="preserve"> </w:t>
      </w:r>
      <w:r>
        <w:t xml:space="preserve">After market close, Thursday, July 30, 2026 (call 5:15 p.m. ET) ·</w:t>
      </w:r>
      <w:r>
        <w:t xml:space="preserve"> </w:t>
      </w:r>
      <w:r>
        <w:rPr>
          <w:b/>
          <w:bCs/>
        </w:rPr>
        <w:t xml:space="preserve">Quarter:</w:t>
      </w:r>
      <w:r>
        <w:t xml:space="preserve"> </w:t>
      </w:r>
      <w:r>
        <w:t xml:space="preserve">2026Q2</w:t>
      </w:r>
    </w:p>
    <w:bookmarkStart w:id="9" w:name="the-one-line-setup"/>
    <w:p>
      <w:pPr>
        <w:pStyle w:val="Heading2"/>
      </w:pPr>
      <w:r>
        <w:t xml:space="preserve">The one-line setup</w:t>
      </w:r>
    </w:p>
    <w:p>
      <w:pPr>
        <w:pStyle w:val="FirstParagraph"/>
      </w:pPr>
      <w:r>
        <w:t xml:space="preserve">Gallagher enters this print with a well-telegraphed story: solid mid-single-digit brokerage organic, accelerating Risk Management growth, a big reported-revenue jump from the first full quarter of AssuredPartners (AP) — but a</w:t>
      </w:r>
      <w:r>
        <w:t xml:space="preserve"> </w:t>
      </w:r>
      <w:r>
        <w:rPr>
          <w:b/>
          <w:bCs/>
        </w:rPr>
        <w:t xml:space="preserve">noisy, optically-ugly year-over-year margin and EPS comparison</w:t>
      </w:r>
      <w:r>
        <w:t xml:space="preserve"> </w:t>
      </w:r>
      <w:r>
        <w:t xml:space="preserve">because the prior-year quarter was inflated by interest income on cash held to fund AP. The stock has ripped into the print (+~11% in the week ending 7/29 to ~$269), so the bar is high.</w:t>
      </w:r>
    </w:p>
    <w:p>
      <w:r>
        <w:pict>
          <v:rect style="width:0;height:1.5pt" o:hralign="center" o:hrstd="t" o:hr="t"/>
        </w:pict>
      </w:r>
    </w:p>
    <w:bookmarkEnd w:id="9"/>
    <w:bookmarkStart w:id="10" w:name="what-the-street-expects"/>
    <w:p>
      <w:pPr>
        <w:pStyle w:val="Heading2"/>
      </w:pPr>
      <w:r>
        <w:t xml:space="preserve">What the Street expects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Adjusted EPS consensus ≈</w:t>
      </w:r>
      <w:r>
        <w:rPr>
          <w:b/>
          <w:bCs/>
        </w:rPr>
        <w:t xml:space="preserve"> </w:t>
      </w:r>
      <m:oMath>
        <m:r>
          <m:t>2.82</m:t>
        </m:r>
        <m:r>
          <m:rPr>
            <m:sty m:val="p"/>
          </m:rPr>
          <m:t>–</m:t>
        </m:r>
      </m:oMath>
      <w:r>
        <w:rPr>
          <w:b/>
          <w:bCs/>
        </w:rPr>
        <w:t xml:space="preserve">2.91</w:t>
      </w:r>
      <w:r>
        <w:t xml:space="preserve"> </w:t>
      </w:r>
      <w:r>
        <w:t xml:space="preserve">(roughly</w:t>
      </w:r>
      <w:r>
        <w:t xml:space="preserve"> </w:t>
      </w:r>
      <m:oMath>
        <m:r>
          <m:t>2.84</m:t>
        </m:r>
        <m:r>
          <m:t>m</m:t>
        </m:r>
        <m:r>
          <m:t>i</m:t>
        </m:r>
        <m:r>
          <m:t>d</m:t>
        </m:r>
        <m:r>
          <m:t>p</m:t>
        </m:r>
        <m:r>
          <m:t>o</m:t>
        </m:r>
        <m:r>
          <m:t>i</m:t>
        </m:r>
        <m:r>
          <m:t>n</m:t>
        </m:r>
        <m:r>
          <m:t>t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u</m:t>
        </m:r>
        <m:r>
          <m:t>p</m:t>
        </m:r>
        <m:r>
          <m:t> </m:t>
        </m:r>
        <m:r>
          <m:t>22</m:t>
        </m:r>
      </m:oMath>
      <w:r>
        <w:t xml:space="preserve">2.33** in Q2 2025.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Revenue ≈ $4.0–4.06B</w:t>
      </w:r>
      <w:r>
        <w:t xml:space="preserve"> </w:t>
      </w:r>
      <w:r>
        <w:t xml:space="preserve">(before reimbursements), up sharply YoY driven by AP.</w:t>
      </w:r>
    </w:p>
    <w:p>
      <w:pPr>
        <w:pStyle w:val="Compact"/>
        <w:numPr>
          <w:ilvl w:val="0"/>
          <w:numId w:val="1001"/>
        </w:numPr>
      </w:pPr>
      <w:r>
        <w:t xml:space="preserve">Management's own guidance (from the June 17 pre-Q2 investor meeting) points to:</w:t>
      </w:r>
    </w:p>
    <w:p>
      <w:pPr>
        <w:pStyle w:val="Compact"/>
        <w:numPr>
          <w:ilvl w:val="1"/>
          <w:numId w:val="1002"/>
        </w:numPr>
      </w:pPr>
      <w:r>
        <w:rPr>
          <w:b/>
          <w:bCs/>
        </w:rPr>
        <w:t xml:space="preserve">Brokerage organic ~5%</w:t>
      </w:r>
    </w:p>
    <w:p>
      <w:pPr>
        <w:pStyle w:val="Compact"/>
        <w:numPr>
          <w:ilvl w:val="1"/>
          <w:numId w:val="1002"/>
        </w:numPr>
      </w:pPr>
      <w:r>
        <w:rPr>
          <w:b/>
          <w:bCs/>
        </w:rPr>
        <w:t xml:space="preserve">Risk Management organic ~11%</w:t>
      </w:r>
      <w:r>
        <w:t xml:space="preserve"> </w:t>
      </w:r>
      <w:r>
        <w:t xml:space="preserve">(raised from prior expectations on new-business wins)</w:t>
      </w:r>
    </w:p>
    <w:p>
      <w:pPr>
        <w:pStyle w:val="Compact"/>
        <w:numPr>
          <w:ilvl w:val="1"/>
          <w:numId w:val="1002"/>
        </w:numPr>
      </w:pPr>
      <w:r>
        <w:t xml:space="preserve">Full-year 2026:</w:t>
      </w:r>
      <w:r>
        <w:t xml:space="preserve"> </w:t>
      </w:r>
      <w:r>
        <w:rPr>
          <w:b/>
          <w:bCs/>
        </w:rPr>
        <w:t xml:space="preserve">Brokerage ~5.5%</w:t>
      </w:r>
      <w:r>
        <w:t xml:space="preserve">,</w:t>
      </w:r>
      <w:r>
        <w:t xml:space="preserve"> </w:t>
      </w:r>
      <w:r>
        <w:rPr>
          <w:b/>
          <w:bCs/>
        </w:rPr>
        <w:t xml:space="preserve">Risk Management ~8%</w:t>
      </w:r>
      <w:r>
        <w:t xml:space="preserve">, combined</w:t>
      </w:r>
      <w:r>
        <w:t xml:space="preserve"> </w:t>
      </w:r>
      <w:r>
        <w:rPr>
          <w:b/>
          <w:bCs/>
        </w:rPr>
        <w:t xml:space="preserve">~6%</w:t>
      </w:r>
    </w:p>
    <w:p>
      <w:r>
        <w:pict>
          <v:rect style="width:0;height:1.5pt" o:hralign="center" o:hrstd="t" o:hr="t"/>
        </w:pict>
      </w:r>
    </w:p>
    <w:bookmarkEnd w:id="10"/>
    <w:bookmarkStart w:id="11" w:name="X5445844e93b25b510805b17179b4c85d73578e2"/>
    <w:p>
      <w:pPr>
        <w:pStyle w:val="Heading2"/>
      </w:pPr>
      <w:r>
        <w:t xml:space="preserve">The single most important thing to understand: the comp distortion</w:t>
      </w:r>
    </w:p>
    <w:p>
      <w:pPr>
        <w:pStyle w:val="FirstParagraph"/>
      </w:pPr>
      <w:r>
        <w:t xml:space="preserve">In Q2 2025, Gallagher earned</w:t>
      </w:r>
      <w:r>
        <w:t xml:space="preserve"> </w:t>
      </w:r>
      <w:r>
        <w:rPr>
          <w:b/>
          <w:bCs/>
        </w:rPr>
        <w:t xml:space="preserve">~</w:t>
      </w:r>
      <m:oMath>
        <m:r>
          <m:t>144</m:t>
        </m:r>
        <m:r>
          <m:t>M</m:t>
        </m:r>
        <m:r>
          <m:t>o</m:t>
        </m:r>
        <m:r>
          <m:t>f</m:t>
        </m:r>
        <m:r>
          <m:t>i</m:t>
        </m:r>
        <m:r>
          <m:t>n</m:t>
        </m:r>
        <m:r>
          <m:t>t</m:t>
        </m:r>
        <m:r>
          <m:t>e</m:t>
        </m:r>
        <m:r>
          <m:t>r</m:t>
        </m:r>
        <m:r>
          <m:t>e</m:t>
        </m:r>
        <m:r>
          <m:t>s</m:t>
        </m:r>
        <m:r>
          <m:t>t</m:t>
        </m:r>
        <m:r>
          <m:t>i</m:t>
        </m:r>
        <m:r>
          <m:t>n</m:t>
        </m:r>
        <m:r>
          <m:t>c</m:t>
        </m:r>
        <m:r>
          <m:t>o</m:t>
        </m:r>
        <m:r>
          <m:t>m</m:t>
        </m:r>
        <m:r>
          <m:t>e</m:t>
        </m:r>
        <m:r>
          <m:rPr>
            <m:sty m:val="p"/>
          </m:rPr>
          <m:t>(</m:t>
        </m:r>
        <m:r>
          <m:t> </m:t>
        </m:r>
      </m:oMath>
      <w:r>
        <w:rPr>
          <w:b/>
          <w:bCs/>
        </w:rPr>
        <w:t xml:space="preserve">0.41/share after tax)</w:t>
      </w:r>
      <w:r>
        <w:t xml:space="preserve"> </w:t>
      </w:r>
      <w:r>
        <w:t xml:space="preserve">on the cash it was holding to fund the AssuredPartners deal (which closed August 2025). That income does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recur in Q2 2026. Management has repeatedly flagged this as the "headline headache" for Q2 and Q3 2026.</w:t>
      </w:r>
    </w:p>
    <w:p>
      <w:pPr>
        <w:pStyle w:val="BodyText"/>
      </w:pPr>
      <w:r>
        <w:rPr>
          <w:b/>
          <w:bCs/>
        </w:rPr>
        <w:t xml:space="preserve">Implications for how to read the release:</w:t>
      </w:r>
    </w:p>
    <w:p>
      <w:pPr>
        <w:pStyle w:val="Compact"/>
        <w:numPr>
          <w:ilvl w:val="0"/>
          <w:numId w:val="1003"/>
        </w:numPr>
      </w:pPr>
      <w:r>
        <w:t xml:space="preserve">Reported/adjusted</w:t>
      </w:r>
      <w:r>
        <w:t xml:space="preserve"> </w:t>
      </w:r>
      <w:r>
        <w:rPr>
          <w:b/>
          <w:bCs/>
        </w:rPr>
        <w:t xml:space="preserve">brokerage EBITDAC margin will likely look DOWN year-over-year</w:t>
      </w:r>
      <w:r>
        <w:t xml:space="preserve"> </w:t>
      </w:r>
      <w:r>
        <w:t xml:space="preserve">even though the underlying business is expanding margins. (For reference, Q2 2025 brokerage adjusted EBITDAC margin of 36.4%</w:t>
      </w:r>
      <w:r>
        <w:t xml:space="preserve"> </w:t>
      </w:r>
      <w:r>
        <w:rPr>
          <w:i/>
          <w:iCs/>
        </w:rPr>
        <w:t xml:space="preserve">included</w:t>
      </w:r>
      <w:r>
        <w:t xml:space="preserve"> </w:t>
      </w:r>
      <w:r>
        <w:t xml:space="preserve">that interest income.)</w:t>
      </w:r>
    </w:p>
    <w:p>
      <w:pPr>
        <w:pStyle w:val="Compact"/>
        <w:numPr>
          <w:ilvl w:val="0"/>
          <w:numId w:val="1003"/>
        </w:numPr>
      </w:pPr>
      <w:r>
        <w:t xml:space="preserve">The number that actually matters is</w:t>
      </w:r>
      <w:r>
        <w:t xml:space="preserve"> </w:t>
      </w:r>
      <w:r>
        <w:rPr>
          <w:b/>
          <w:bCs/>
        </w:rPr>
        <w:t xml:space="preserve">underlying/organic margin expansion</w:t>
      </w:r>
      <w:r>
        <w:t xml:space="preserve">, which management guides to</w:t>
      </w:r>
      <w:r>
        <w:t xml:space="preserve"> </w:t>
      </w:r>
      <w:r>
        <w:rPr>
          <w:b/>
          <w:bCs/>
        </w:rPr>
        <w:t xml:space="preserve">+40–60 bps for the full year</w:t>
      </w:r>
      <w:r>
        <w:t xml:space="preserve"> </w:t>
      </w:r>
      <w:r>
        <w:t xml:space="preserve">(Q1 delivered +50 bps). Look at the brokerage margin bridge in the CFO commentary, not the headline.</w:t>
      </w:r>
    </w:p>
    <w:p>
      <w:pPr>
        <w:pStyle w:val="Compact"/>
        <w:numPr>
          <w:ilvl w:val="0"/>
          <w:numId w:val="1003"/>
        </w:numPr>
      </w:pPr>
      <w:r>
        <w:t xml:space="preserve">Consensus EPS growth of ~22% is</w:t>
      </w:r>
      <w:r>
        <w:t xml:space="preserve"> </w:t>
      </w:r>
      <w:r>
        <w:rPr>
          <w:i/>
          <w:iCs/>
        </w:rPr>
        <w:t xml:space="preserve">after</w:t>
      </w:r>
      <w:r>
        <w:t xml:space="preserve"> </w:t>
      </w:r>
      <w:r>
        <w:t xml:space="preserve">absorbing the loss of that $0.41 — so the underlying earnings power is stronger than the headline implies.</w:t>
      </w:r>
    </w:p>
    <w:p>
      <w:r>
        <w:pict>
          <v:rect style="width:0;height:1.5pt" o:hralign="center" o:hrstd="t" o:hr="t"/>
        </w:pict>
      </w:r>
    </w:p>
    <w:bookmarkEnd w:id="11"/>
    <w:bookmarkStart w:id="18" w:name="key-things-to-watch"/>
    <w:p>
      <w:pPr>
        <w:pStyle w:val="Heading2"/>
      </w:pPr>
      <w:r>
        <w:t xml:space="preserve">Key things to watch</w:t>
      </w:r>
    </w:p>
    <w:bookmarkStart w:id="12" w:name="X2fd930b2d4786b37feb1bd37f15f925cdbbf7e7"/>
    <w:p>
      <w:pPr>
        <w:pStyle w:val="Heading3"/>
      </w:pPr>
      <w:r>
        <w:t xml:space="preserve">1) Organic growth — is the "diversification beats the cycle" thesis holding?</w:t>
      </w:r>
    </w:p>
    <w:p>
      <w:pPr>
        <w:pStyle w:val="FirstParagraph"/>
      </w:pPr>
      <w:r>
        <w:t xml:space="preserve">This is the debate. Property pricing is softening fast, and management has been front-running investor skepticism:</w:t>
      </w:r>
    </w:p>
    <w:p>
      <w:pPr>
        <w:pStyle w:val="Compact"/>
        <w:numPr>
          <w:ilvl w:val="0"/>
          <w:numId w:val="1004"/>
        </w:numPr>
      </w:pPr>
      <w:r>
        <w:t xml:space="preserve">In the first two months of Q2,</w:t>
      </w:r>
      <w:r>
        <w:t xml:space="preserve"> </w:t>
      </w:r>
      <w:r>
        <w:rPr>
          <w:b/>
          <w:bCs/>
        </w:rPr>
        <w:t xml:space="preserve">property RPC was down ~9% overall</w:t>
      </w:r>
      <w:r>
        <w:t xml:space="preserve"> </w:t>
      </w:r>
      <w:r>
        <w:t xml:space="preserve">(US retail property down</w:t>
      </w:r>
      <w:r>
        <w:t xml:space="preserve"> </w:t>
      </w:r>
      <w:r>
        <w:rPr>
          <w:b/>
          <w:bCs/>
        </w:rPr>
        <w:t xml:space="preserve">~11%</w:t>
      </w:r>
      <w:r>
        <w:t xml:space="preserve">), while</w:t>
      </w:r>
      <w:r>
        <w:t xml:space="preserve"> </w:t>
      </w:r>
      <w:r>
        <w:rPr>
          <w:b/>
          <w:bCs/>
        </w:rPr>
        <w:t xml:space="preserve">casualty was up ~7%</w:t>
      </w:r>
      <w:r>
        <w:t xml:space="preserve"> </w:t>
      </w:r>
      <w:r>
        <w:t xml:space="preserve">(commercial auto +8%, umbrella +8%, GL +4%). Ex-property RPC was up ~3–4%.</w:t>
      </w:r>
    </w:p>
    <w:p>
      <w:pPr>
        <w:pStyle w:val="Compact"/>
        <w:numPr>
          <w:ilvl w:val="0"/>
          <w:numId w:val="1004"/>
        </w:numPr>
      </w:pPr>
      <w:r>
        <w:t xml:space="preserve">Management's key framing:</w:t>
      </w:r>
      <w:r>
        <w:t xml:space="preserve"> </w:t>
      </w:r>
      <w:r>
        <w:rPr>
          <w:b/>
          <w:bCs/>
        </w:rPr>
        <w:t xml:space="preserve">rate is only ~1 point of the ~5.5% organic outlook.</w:t>
      </w:r>
      <w:r>
        <w:t xml:space="preserve"> </w:t>
      </w:r>
      <w:r>
        <w:t xml:space="preserve">The rest is net new business (~2.5–3 pts), exposure growth, and clients "opting back in" to coverage as prices fall. Property is largely fee-based on big/cat accounts, muting the revenue hit from rate declines.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Watch:</w:t>
      </w:r>
      <w:r>
        <w:t xml:space="preserve"> </w:t>
      </w:r>
      <w:r>
        <w:t xml:space="preserve">Does brokerage organic land at/above 5%? Any sign property softening is bleeding through more than the "1 point" framing? Watch US wholesale (RPS) — management called it "the tail that whips" on property.</w:t>
      </w:r>
    </w:p>
    <w:bookmarkEnd w:id="12"/>
    <w:bookmarkStart w:id="13" w:name="X3f97b8e6aa2bf974364254b28d7e5c6f5446f36"/>
    <w:p>
      <w:pPr>
        <w:pStyle w:val="Heading3"/>
      </w:pPr>
      <w:r>
        <w:t xml:space="preserve">2) The back-half acceleration question</w:t>
      </w:r>
    </w:p>
    <w:p>
      <w:pPr>
        <w:pStyle w:val="FirstParagraph"/>
      </w:pPr>
      <w:r>
        <w:t xml:space="preserve">Management maintains Brokerage organic accelerates to ~5.5% for the year, implying a stronger 2H (they framed Q3/Q4 as roughly "6 and 4" or "7 and 5"). Reinsurance mid-year renewal demand and fee-account raises are the cited drivers. Look for confirmation the 2H ramp is intact — this is where a guidance disappointment could hurt given the stock's run.</w:t>
      </w:r>
    </w:p>
    <w:bookmarkEnd w:id="13"/>
    <w:bookmarkStart w:id="14" w:name="X35aadfb0dae37624509b914f49865c23aff2082"/>
    <w:p>
      <w:pPr>
        <w:pStyle w:val="Heading3"/>
      </w:pPr>
      <w:r>
        <w:t xml:space="preserve">3) Risk Management (Gallagher Bassett) — the quiet outperformer</w:t>
      </w:r>
    </w:p>
    <w:p>
      <w:pPr>
        <w:pStyle w:val="FirstParagraph"/>
      </w:pPr>
      <w:r>
        <w:t xml:space="preserve">Guided to</w:t>
      </w:r>
      <w:r>
        <w:t xml:space="preserve"> </w:t>
      </w:r>
      <w:r>
        <w:rPr>
          <w:b/>
          <w:bCs/>
        </w:rPr>
        <w:t xml:space="preserve">~11% Q2 organic</w:t>
      </w:r>
      <w:r>
        <w:t xml:space="preserve">, up from earlier expectations, on large new-business wins flagged late last year, with EBITDAC margins of</w:t>
      </w:r>
      <w:r>
        <w:t xml:space="preserve"> </w:t>
      </w:r>
      <w:r>
        <w:rPr>
          <w:b/>
          <w:bCs/>
        </w:rPr>
        <w:t xml:space="preserve">21–22%</w:t>
      </w:r>
      <w:r>
        <w:t xml:space="preserve">. GB is less tied to the pricing cycle and increasingly an AI/claims-tech story (fraud-detection model reportedly saved one client &gt;$100M). A clean beat here supports the diversification narrative.</w:t>
      </w:r>
    </w:p>
    <w:bookmarkEnd w:id="14"/>
    <w:bookmarkStart w:id="15" w:name="X65bd459fefedd7ac44cabd160b4cc04b89d110f"/>
    <w:p>
      <w:pPr>
        <w:pStyle w:val="Heading3"/>
      </w:pPr>
      <w:r>
        <w:t xml:space="preserve">4) AssuredPartners integration &amp; synergies</w:t>
      </w:r>
    </w:p>
    <w:p>
      <w:pPr>
        <w:pStyle w:val="Compact"/>
        <w:numPr>
          <w:ilvl w:val="0"/>
          <w:numId w:val="1005"/>
        </w:numPr>
      </w:pPr>
      <w:r>
        <w:t xml:space="preserve">This is the</w:t>
      </w:r>
      <w:r>
        <w:t xml:space="preserve"> </w:t>
      </w:r>
      <w:r>
        <w:rPr>
          <w:b/>
          <w:bCs/>
        </w:rPr>
        <w:t xml:space="preserve">first full Q2 with AP</w:t>
      </w:r>
      <w:r>
        <w:t xml:space="preserve">, so reported revenue/EBITDAC will jump; total company adjusted revenue should approach ~$4B.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Synergy target was raised to "up to $325M by early 2028"</w:t>
      </w:r>
      <w:r>
        <w:t xml:space="preserve"> </w:t>
      </w:r>
      <w:r>
        <w:t xml:space="preserve">(from $300M in April, and</w:t>
      </w:r>
      <w:r>
        <w:t xml:space="preserve"> </w:t>
      </w:r>
      <m:oMath>
        <m:r>
          <m:t>160</m:t>
        </m:r>
        <m:r>
          <m:t>M</m:t>
        </m:r>
        <m:r>
          <m:t>a</m:t>
        </m:r>
        <m:r>
          <m:t>t</m:t>
        </m:r>
        <m:r>
          <m:t>d</m:t>
        </m:r>
        <m:r>
          <m:t>e</m:t>
        </m:r>
        <m:r>
          <m:t>a</m:t>
        </m:r>
        <m:r>
          <m:t>l</m:t>
        </m:r>
        <m:r>
          <m:t>a</m:t>
        </m:r>
        <m:r>
          <m:t>n</m:t>
        </m:r>
        <m:r>
          <m:t>n</m:t>
        </m:r>
        <m:r>
          <m:t>o</m:t>
        </m:r>
        <m:r>
          <m:t>u</m:t>
        </m:r>
        <m:r>
          <m:t>n</m:t>
        </m:r>
        <m:r>
          <m:t>c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t>i</m:t>
        </m:r>
        <m:r>
          <m:t>n</m:t>
        </m:r>
        <m:r>
          <m:t>D</m:t>
        </m:r>
        <m:r>
          <m:t>e</m:t>
        </m:r>
        <m:r>
          <m:t>c</m:t>
        </m:r>
        <m:r>
          <m:t>2024</m:t>
        </m:r>
        <m:r>
          <m:rPr>
            <m:sty m:val="p"/>
          </m:rPr>
          <m:t>)</m:t>
        </m:r>
        <m:r>
          <m:rPr>
            <m:sty m:val="p"/>
          </m:rPr>
          <m:t>.</m:t>
        </m:r>
        <m:r>
          <m:t>A</m:t>
        </m:r>
        <m:r>
          <m:t>n</m:t>
        </m:r>
        <m:r>
          <m:t>y</m:t>
        </m:r>
        <m:r>
          <m:t>f</m:t>
        </m:r>
        <m:r>
          <m:t>u</m:t>
        </m:r>
        <m:r>
          <m:t>r</m:t>
        </m:r>
        <m:r>
          <m:t>t</m:t>
        </m:r>
        <m:r>
          <m:t>h</m:t>
        </m:r>
        <m:r>
          <m:t>e</m:t>
        </m:r>
        <m:r>
          <m:t>r</m:t>
        </m:r>
        <m:r>
          <m:t>r</m:t>
        </m:r>
        <m:r>
          <m:t>a</m:t>
        </m:r>
        <m:r>
          <m:t>i</m:t>
        </m:r>
        <m:r>
          <m:t>s</m:t>
        </m:r>
        <m:r>
          <m:t>e</m:t>
        </m:r>
        <m:r>
          <m:rPr>
            <m:sty m:val="p"/>
          </m:rPr>
          <m:t>,</m:t>
        </m:r>
        <m:r>
          <m:t>o</m:t>
        </m:r>
        <m:r>
          <m:t>r</m:t>
        </m:r>
        <m:r>
          <m:t>a</m:t>
        </m:r>
        <m:r>
          <m:t>n</m:t>
        </m:r>
        <m:r>
          <m:t>i</m:t>
        </m:r>
        <m:r>
          <m:t>n</m:t>
        </m:r>
        <m:r>
          <m:rPr>
            <m:sty m:val="p"/>
          </m:rPr>
          <m:t>−</m:t>
        </m:r>
        <m:r>
          <m:t>y</m:t>
        </m:r>
        <m:r>
          <m:t>e</m:t>
        </m:r>
        <m:r>
          <m:t>a</m:t>
        </m:r>
        <m:r>
          <m:t>r</m:t>
        </m:r>
        <m:r>
          <m:t> </m:t>
        </m:r>
      </m:oMath>
      <w:r>
        <w:t xml:space="preserve">160M run-rate update, would be a positive.</w:t>
      </w:r>
    </w:p>
    <w:p>
      <w:pPr>
        <w:pStyle w:val="Compact"/>
        <w:numPr>
          <w:ilvl w:val="0"/>
          <w:numId w:val="1005"/>
        </w:numPr>
      </w:pPr>
      <w:r>
        <w:t xml:space="preserve">Note the</w:t>
      </w:r>
      <w:r>
        <w:t xml:space="preserve"> </w:t>
      </w:r>
      <w:r>
        <w:rPr>
          <w:b/>
          <w:bCs/>
        </w:rPr>
        <w:t xml:space="preserve">revenue/expense geography quirk</w:t>
      </w:r>
      <w:r>
        <w:t xml:space="preserve">: AP's revenue line bounces as co-broker fees get re-classed net vs. gross; EBITDAC is the number that holds (management "bought the cash flow"). Don't over-read AP revenue optics.</w:t>
      </w:r>
    </w:p>
    <w:p>
      <w:pPr>
        <w:pStyle w:val="Compact"/>
        <w:numPr>
          <w:ilvl w:val="0"/>
          <w:numId w:val="1005"/>
        </w:numPr>
      </w:pPr>
      <w:r>
        <w:t xml:space="preserve">Revenue synergies are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in the organic figure — potential upside ("ghost organic") that shows up in AP's numbers instead.</w:t>
      </w:r>
    </w:p>
    <w:bookmarkEnd w:id="15"/>
    <w:bookmarkStart w:id="16" w:name="X1fe3ac1c4927651743e2ed0152faf7a24b40c93"/>
    <w:p>
      <w:pPr>
        <w:pStyle w:val="Heading3"/>
      </w:pPr>
      <w:r>
        <w:t xml:space="preserve">5) Capital allocation &amp; M&amp;A</w:t>
      </w:r>
    </w:p>
    <w:p>
      <w:pPr>
        <w:pStyle w:val="Compact"/>
        <w:numPr>
          <w:ilvl w:val="0"/>
          <w:numId w:val="1006"/>
        </w:numPr>
      </w:pPr>
      <w:r>
        <w:t xml:space="preserve">Buybacks:</w:t>
      </w:r>
      <w:r>
        <w:t xml:space="preserve"> </w:t>
      </w:r>
      <m:oMath>
        <m:r>
          <m:t>310</m:t>
        </m:r>
        <m:r>
          <m:t>M</m:t>
        </m:r>
        <m:r>
          <m:t>i</m:t>
        </m:r>
        <m:r>
          <m:t>n</m:t>
        </m:r>
        <m:r>
          <m:t>Q</m:t>
        </m:r>
        <m:r>
          <m:t>1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a</m:t>
        </m:r>
        <m:r>
          <m:t>n</m:t>
        </m:r>
        <m:r>
          <m:t>o</m:t>
        </m:r>
        <m:r>
          <m:t>t</m:t>
        </m:r>
        <m:r>
          <m:t>h</m:t>
        </m:r>
        <m:r>
          <m:t>e</m:t>
        </m:r>
        <m:r>
          <m:t>r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170M in Q2</w:t>
      </w:r>
      <w:r>
        <w:t xml:space="preserve"> </w:t>
      </w:r>
      <w:r>
        <w:t xml:space="preserve">(through mid-June); management calls the stock "undervalued" but clearly favors M&amp;A ("buying brains").</w:t>
      </w:r>
    </w:p>
    <w:p>
      <w:pPr>
        <w:pStyle w:val="Compact"/>
        <w:numPr>
          <w:ilvl w:val="0"/>
          <w:numId w:val="1006"/>
        </w:numPr>
      </w:pPr>
      <w:r>
        <w:t xml:space="preserve">~</w:t>
      </w:r>
      <w:r>
        <w:rPr>
          <w:b/>
          <w:bCs/>
        </w:rPr>
        <w:t xml:space="preserve">$10B of M&amp;A capacity over two years</w:t>
      </w:r>
      <w:r>
        <w:t xml:space="preserve"> </w:t>
      </w:r>
      <w:r>
        <w:t xml:space="preserve">before issuing stock;</w:t>
      </w:r>
      <w:r>
        <w:t xml:space="preserve"> </w:t>
      </w:r>
      <w:r>
        <w:rPr>
          <w:b/>
          <w:bCs/>
        </w:rPr>
        <w:t xml:space="preserve">tuck-in multiples are coming down</w:t>
      </w:r>
      <w:r>
        <w:t xml:space="preserve"> </w:t>
      </w:r>
      <w:r>
        <w:t xml:space="preserve">— a recurring, notable theme (sellers "coming to grips" on valuation).</w:t>
      </w:r>
    </w:p>
    <w:p>
      <w:pPr>
        <w:pStyle w:val="Compact"/>
        <w:numPr>
          <w:ilvl w:val="0"/>
          <w:numId w:val="1006"/>
        </w:numPr>
      </w:pPr>
      <w:r>
        <w:t xml:space="preserve">Tuck-in pace was light early in the year (~15 deals / ~</w:t>
      </w:r>
      <m:oMath>
        <m:r>
          <m:t>115</m:t>
        </m:r>
        <m:r>
          <m:t>M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t>Y</m:t>
        </m:r>
        <m:r>
          <m:t>T</m:t>
        </m:r>
        <m:r>
          <m:t>D</m:t>
        </m:r>
        <m:r>
          <m:t>a</m:t>
        </m:r>
        <m:r>
          <m:t>s</m:t>
        </m:r>
        <m:r>
          <m:t>o</m:t>
        </m:r>
        <m:r>
          <m:t>f</m:t>
        </m:r>
        <m:r>
          <m:t>m</m:t>
        </m:r>
        <m:r>
          <m:t>i</m:t>
        </m:r>
        <m:r>
          <m:t>d</m:t>
        </m:r>
        <m:r>
          <m:rPr>
            <m:sty m:val="p"/>
          </m:rPr>
          <m:t>−</m:t>
        </m:r>
        <m:r>
          <m:t>J</m:t>
        </m:r>
        <m:r>
          <m:t>u</m:t>
        </m:r>
        <m:r>
          <m:t>n</m:t>
        </m:r>
        <m:r>
          <m:t>e</m:t>
        </m:r>
        <m:r>
          <m:rPr>
            <m:sty m:val="p"/>
          </m:rPr>
          <m:t>)</m:t>
        </m:r>
        <m:r>
          <m:t>b</m:t>
        </m:r>
        <m:r>
          <m:t>u</m:t>
        </m:r>
        <m:r>
          <m:t>t</m:t>
        </m:r>
        <m:r>
          <m:t>p</m:t>
        </m:r>
        <m:r>
          <m:t>i</m:t>
        </m:r>
        <m:r>
          <m:t>p</m:t>
        </m:r>
        <m:r>
          <m:t>e</m:t>
        </m:r>
        <m:r>
          <m:t>l</m:t>
        </m:r>
        <m:r>
          <m:t>i</m:t>
        </m:r>
        <m:r>
          <m:t>n</m:t>
        </m:r>
        <m:r>
          <m:t>e</m:t>
        </m:r>
        <m:r>
          <m:t>i</m:t>
        </m:r>
        <m:r>
          <m:t>s</m:t>
        </m:r>
        <m:r>
          <m:t>r</m:t>
        </m:r>
        <m:r>
          <m:t>o</m:t>
        </m:r>
        <m:r>
          <m:t>b</m:t>
        </m:r>
        <m:r>
          <m:t>u</m:t>
        </m:r>
        <m:r>
          <m:t>s</m:t>
        </m:r>
        <m:r>
          <m:t>t</m:t>
        </m:r>
        <m:r>
          <m:rPr>
            <m:sty m:val="p"/>
          </m:rPr>
          <m:t>(</m:t>
        </m:r>
        <m:r>
          <m:t> </m:t>
        </m:r>
        <m:r>
          <m:t>40</m:t>
        </m:r>
        <m:r>
          <m:t>t</m:t>
        </m:r>
        <m:r>
          <m:t>e</m:t>
        </m:r>
        <m:r>
          <m:t>r</m:t>
        </m:r>
        <m:r>
          <m:t>m</m:t>
        </m:r>
        <m:r>
          <m:t>s</m:t>
        </m:r>
        <m:r>
          <m:t>h</m:t>
        </m:r>
        <m:r>
          <m:t>e</m:t>
        </m:r>
        <m:r>
          <m:t>e</m:t>
        </m:r>
        <m:r>
          <m:t>t</m:t>
        </m:r>
        <m:r>
          <m:t>s</m:t>
        </m:r>
        <m:r>
          <m:rPr>
            <m:sty m:val="p"/>
          </m:rPr>
          <m:t>/</m:t>
        </m:r>
        <m:r>
          <m:t> </m:t>
        </m:r>
      </m:oMath>
      <w:r>
        <w:t xml:space="preserve">600M revenue). Watch the deal-count/pipeline update.</w:t>
      </w:r>
    </w:p>
    <w:bookmarkEnd w:id="16"/>
    <w:bookmarkStart w:id="17" w:name="Xc25e6068f8ef46212578118192f68283c3d323b"/>
    <w:p>
      <w:pPr>
        <w:pStyle w:val="Heading3"/>
      </w:pPr>
      <w:r>
        <w:t xml:space="preserve">6) AI narrative</w:t>
      </w:r>
    </w:p>
    <w:p>
      <w:pPr>
        <w:pStyle w:val="FirstParagraph"/>
      </w:pPr>
      <w:r>
        <w:t xml:space="preserve">Heavy emphasis on AI as a productivity/quality lever (potential 5% savings in producer layer, 10–15% service layer, 20–30% back office over 3–5 years) and a growth enabler (higher hit ratios via Gallagher Drive/Blueprint), explicitly framed as</w:t>
      </w:r>
      <w:r>
        <w:t xml:space="preserve"> </w:t>
      </w:r>
      <w:r>
        <w:rPr>
          <w:b/>
          <w:bCs/>
        </w:rPr>
        <w:t xml:space="preserve">enhancing, not disintermediating</w:t>
      </w:r>
      <w:r>
        <w:t xml:space="preserve"> </w:t>
      </w:r>
      <w:r>
        <w:t xml:space="preserve">the broker. Expect more of this; it's a margin-runway and moat story more than a near-term number.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19" w:name="modeling-anchors-from-prior-disclosures"/>
    <w:p>
      <w:pPr>
        <w:pStyle w:val="Heading2"/>
      </w:pPr>
      <w:r>
        <w:t xml:space="preserve">Modeling anchors (from prior disclosures)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Effective tax rate</w:t>
      </w:r>
      <w:r>
        <w:t xml:space="preserve"> </w:t>
      </w:r>
      <w:r>
        <w:t xml:space="preserve">~21%;</w:t>
      </w:r>
      <w:r>
        <w:t xml:space="preserve"> </w:t>
      </w:r>
      <w:r>
        <w:rPr>
          <w:b/>
          <w:bCs/>
        </w:rPr>
        <w:t xml:space="preserve">cash taxes ~10% of EBITDAC</w:t>
      </w:r>
      <w:r>
        <w:t xml:space="preserve"> </w:t>
      </w:r>
      <w:r>
        <w:t xml:space="preserve">(helped by ~$11B of future amortization deductions + tax credit carryforwards).</w:t>
      </w:r>
    </w:p>
    <w:p>
      <w:pPr>
        <w:pStyle w:val="Compact"/>
        <w:numPr>
          <w:ilvl w:val="0"/>
          <w:numId w:val="1007"/>
        </w:numPr>
      </w:pPr>
      <w:r>
        <w:t xml:space="preserve">Corporate segment: watch non-cash FX remeasurement swings (noise in EPS).</w:t>
      </w:r>
    </w:p>
    <w:p>
      <w:pPr>
        <w:pStyle w:val="Compact"/>
        <w:numPr>
          <w:ilvl w:val="0"/>
          <w:numId w:val="1007"/>
        </w:numPr>
      </w:pPr>
      <w:r>
        <w:t xml:space="preserve">Q1 2026 marked the</w:t>
      </w:r>
      <w:r>
        <w:t xml:space="preserve"> </w:t>
      </w:r>
      <w:r>
        <w:rPr>
          <w:b/>
          <w:bCs/>
        </w:rPr>
        <w:t xml:space="preserve">24th consecutive quarter of double-digit adjusted EBITDAC growth</w:t>
      </w:r>
      <w:r>
        <w:t xml:space="preserve"> </w:t>
      </w:r>
      <w:r>
        <w:t xml:space="preserve">— streak continuation is a soft expectation.</w:t>
      </w:r>
    </w:p>
    <w:p>
      <w:pPr>
        <w:pStyle w:val="Compact"/>
        <w:numPr>
          <w:ilvl w:val="0"/>
          <w:numId w:val="1007"/>
        </w:numPr>
      </w:pPr>
      <w:r>
        <w:t xml:space="preserve">Q2 2025 reference points: Brokerage adjusted EPS $2.75, total company adjusted EPS $2.33, brokerage total organic 5.3%, RM organic 6.2%.</w:t>
      </w:r>
    </w:p>
    <w:p>
      <w:r>
        <w:pict>
          <v:rect style="width:0;height:1.5pt" o:hralign="center" o:hrstd="t" o:hr="t"/>
        </w:pict>
      </w:r>
    </w:p>
    <w:bookmarkEnd w:id="19"/>
    <w:bookmarkStart w:id="20" w:name="stock-setup--risk-reward"/>
    <w:p>
      <w:pPr>
        <w:pStyle w:val="Heading2"/>
      </w:pPr>
      <w:r>
        <w:t xml:space="preserve">Stock setup / risk-reward</w:t>
      </w:r>
    </w:p>
    <w:p>
      <w:pPr>
        <w:pStyle w:val="Compact"/>
        <w:numPr>
          <w:ilvl w:val="0"/>
          <w:numId w:val="1008"/>
        </w:numPr>
      </w:pPr>
      <w:r>
        <w:t xml:space="preserve">AJG is only ~+5% YTD (from ~</w:t>
      </w:r>
      <m:oMath>
        <m:r>
          <m:t>256</m:t>
        </m:r>
        <m:r>
          <m:t>t</m:t>
        </m:r>
        <m:r>
          <m:t>o</m:t>
        </m:r>
        <m:r>
          <m:t> </m:t>
        </m:r>
      </m:oMath>
      <w:r>
        <w:t xml:space="preserve">269), having round-tripped a sharp Feb–May drawdown (to ~$192 in mid-May) — it has **lagged Aon (~+10% YTD)** while roughly tracking/beating Brown &amp; Brown (~-3%).</w:t>
      </w:r>
    </w:p>
    <w:p>
      <w:pPr>
        <w:pStyle w:val="Compact"/>
        <w:numPr>
          <w:ilvl w:val="0"/>
          <w:numId w:val="1008"/>
        </w:numPr>
      </w:pPr>
      <w:r>
        <w:t xml:space="preserve">The concerning near-term dynamic: a</w:t>
      </w:r>
      <w:r>
        <w:t xml:space="preserve"> </w:t>
      </w:r>
      <w:r>
        <w:rPr>
          <w:b/>
          <w:bCs/>
        </w:rPr>
        <w:t xml:space="preserve">~11% rally in the final week into the print</w:t>
      </w:r>
      <w:r>
        <w:t xml:space="preserve"> </w:t>
      </w:r>
      <w:r>
        <w:t xml:space="preserve">(from ~</w:t>
      </w:r>
      <m:oMath>
        <m:r>
          <m:t>242</m:t>
        </m:r>
        <m:r>
          <m:t>o</m:t>
        </m:r>
        <m:r>
          <m:t>n</m:t>
        </m:r>
        <m:r>
          <m:t>7</m:t>
        </m:r>
        <m:r>
          <m:rPr>
            <m:sty m:val="p"/>
          </m:rPr>
          <m:t>/</m:t>
        </m:r>
        <m:r>
          <m:t>23</m:t>
        </m:r>
        <m:r>
          <m:t>t</m:t>
        </m:r>
        <m:r>
          <m:t>o</m:t>
        </m:r>
        <m:r>
          <m:t> </m:t>
        </m:r>
      </m:oMath>
      <w:r>
        <w:t xml:space="preserve">269 on 7/29) raises the bar. Given AJG's history of sharp post-earnings moves, a merely in-line organic print with the usual optically-soft margin comp could disappoint a now-elevated setup.</w:t>
      </w:r>
    </w:p>
    <w:p>
      <w:pPr>
        <w:pStyle w:val="Compact"/>
        <w:numPr>
          <w:ilvl w:val="0"/>
          <w:numId w:val="1008"/>
        </w:numPr>
      </w:pPr>
      <w:r>
        <w:t xml:space="preserve">Governance housekeeping: a 7/29 8-K named a</w:t>
      </w:r>
      <w:r>
        <w:t xml:space="preserve"> </w:t>
      </w:r>
      <w:r>
        <w:rPr>
          <w:b/>
          <w:bCs/>
        </w:rPr>
        <w:t xml:space="preserve">new Lead Independent Director and reduced board size</w:t>
      </w:r>
      <w:r>
        <w:t xml:space="preserve"> </w:t>
      </w:r>
      <w:r>
        <w:t xml:space="preserve">— not financially material.</w:t>
      </w:r>
    </w:p>
    <w:bookmarkEnd w:id="20"/>
    <w:bookmarkStart w:id="21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The fundamentals should be fine-to-good: ~5% brokerage organic, ~11% Risk Management, big AP-driven revenue growth, and rising synergies. The</w:t>
      </w:r>
      <w:r>
        <w:t xml:space="preserve"> </w:t>
      </w:r>
      <w:r>
        <w:rPr>
          <w:b/>
          <w:bCs/>
        </w:rPr>
        <w:t xml:space="preserve">traps are optical</w:t>
      </w:r>
      <w:r>
        <w:t xml:space="preserve"> </w:t>
      </w:r>
      <w:r>
        <w:t xml:space="preserve">— reported margins/EPS growth look muddied by the lost prior-year interest income. Focus on (1)</w:t>
      </w:r>
      <w:r>
        <w:t xml:space="preserve"> </w:t>
      </w:r>
      <w:r>
        <w:rPr>
          <w:b/>
          <w:bCs/>
        </w:rPr>
        <w:t xml:space="preserve">brokerage organic vs. ~5% and the 2H acceleration commentary</w:t>
      </w:r>
      <w:r>
        <w:t xml:space="preserve">, (2)</w:t>
      </w:r>
      <w:r>
        <w:t xml:space="preserve"> </w:t>
      </w:r>
      <w:r>
        <w:rPr>
          <w:b/>
          <w:bCs/>
        </w:rPr>
        <w:t xml:space="preserve">underlying margin expansion (+40–60 bps)</w:t>
      </w:r>
      <w:r>
        <w:t xml:space="preserve">, (3)</w:t>
      </w:r>
      <w:r>
        <w:t xml:space="preserve"> </w:t>
      </w:r>
      <w:r>
        <w:rPr>
          <w:b/>
          <w:bCs/>
        </w:rPr>
        <w:t xml:space="preserve">any AP synergy raise</w:t>
      </w:r>
      <w:r>
        <w:t xml:space="preserve">, and (4)</w:t>
      </w:r>
      <w:r>
        <w:t xml:space="preserve"> </w:t>
      </w:r>
      <w:r>
        <w:rPr>
          <w:b/>
          <w:bCs/>
        </w:rPr>
        <w:t xml:space="preserve">tone on property pricing into 2027</w:t>
      </w:r>
      <w:r>
        <w:t xml:space="preserve">. With the stock stretched into the report, the reaction likely hinges more on the organic trajectory and forward tone than on the headline EPS beat/miss.</w:t>
      </w:r>
    </w:p>
    <w:p>
      <w:pPr>
        <w:pStyle w:val="BodyText"/>
      </w:pPr>
      <w:r>
        <w:rPr>
          <w:i/>
          <w:iCs/>
        </w:rPr>
        <w:t xml:space="preserve">Note: adjusted (non-GAAP) figures referenced throughout; consensus figures are from third-party aggregators and may differ modestly from the company's ultimate reported basis.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2026-07-29T20:26:08Z</dcterms:created>
  <dcterms:modified xsi:type="dcterms:W3CDTF">2026-07-29T20:26:08Z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