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jg-earnings-predictions--2026-07-30"/>
    <w:p>
      <w:pPr>
        <w:pStyle w:val="Heading1"/>
      </w:pPr>
      <w:r>
        <w:t xml:space="preserve">AJG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2.91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4.05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Brokerage segment organic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~5.0% vs. cons ~5.0%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Brokerage organic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~5.5% vs. cons ~5.3%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Risk Management (Gallagher Bassett) organic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~8.0% vs. cons ~7.5%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AssuredPartners run-rate synergy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340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325M (by early 2028)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Brokerage underlying margin expansion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~40-60bps (50bps midpoint) vs. cons ~50bps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-2.7% (FADE)</w:t>
            </w:r>
          </w:p>
        </w:tc>
        <w:tc>
          <w:tcPr/>
          <w:p>
            <w:pPr>
              <w:pStyle w:val="Compact"/>
            </w:pPr>
            <w:r>
              <w:t xml:space="preserve">Stock rallied ~40% off May lows into the print on reaffirmed June Investor Day guidance, leaving little room for positive surprise; an in-line-to-modest-beat quarter with unchanged FY26 organic/margin guides is unlikely to justify the recent re-rating, and Zacks' own model does not predict a beat. Even a synergy-target raise on AssuredPartners is largely pre-anticipated. Expect initial day-1 profit-taking to extend over the week as sell-side models trim near-term estimates for continued property-pricing softness (-9% to -11%) and AP integration/netting noise, producing a mild fade rather than a reversal, since underlying fundamentals (Gallagher Bassett strength, casualty firmness, M&amp;A pipeline) prevent a sharper breakdown.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2026-07-29T19:37:48Z</dcterms:created>
  <dcterms:modified xsi:type="dcterms:W3CDTF">2026-07-29T19:37:48Z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