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bc9764f9401358c70c0f6165f6fdb7e94b4ef6d"/>
    <w:p>
      <w:pPr>
        <w:pStyle w:val="Heading1"/>
      </w:pPr>
      <w:r>
        <w:t xml:space="preserve">Arthur J. Gallagher &amp; Co. (AJG) — Q2 2026 Earnings Preview</w:t>
      </w:r>
    </w:p>
    <w:p>
      <w:pPr>
        <w:pStyle w:val="FirstParagraph"/>
      </w:pPr>
      <w:r>
        <w:rPr>
          <w:b/>
          <w:bCs/>
        </w:rPr>
        <w:t xml:space="preserve">Report Date:</w:t>
      </w:r>
      <w:r>
        <w:t xml:space="preserve"> </w:t>
      </w:r>
      <w:r>
        <w:t xml:space="preserve">Thursday, July 30, 2026, after market close | Call: 5:15 p.m.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AJG heads into tomorrow's report with its stock near 52-week highs after a wild round trip in 2026. Shares started the year around $256, sold off sharply to a low near</w:t>
      </w:r>
      <w:r>
        <w:t xml:space="preserve"> </w:t>
      </w:r>
      <m:oMath>
        <m:r>
          <m:t>192</m:t>
        </m:r>
        <m:r>
          <m:t>i</m:t>
        </m:r>
        <m:r>
          <m:t>n</m:t>
        </m:r>
        <m:r>
          <m:t>m</m:t>
        </m:r>
        <m:r>
          <m:t>i</m:t>
        </m:r>
        <m:r>
          <m:t>d</m:t>
        </m:r>
        <m:r>
          <m:rPr>
            <m:sty m:val="p"/>
          </m:rPr>
          <m:t>−</m:t>
        </m:r>
        <m:r>
          <m:t>M</m:t>
        </m:r>
        <m:r>
          <m:t>a</m:t>
        </m:r>
        <m:r>
          <m:t>y</m:t>
        </m:r>
        <m:r>
          <m:t>a</m:t>
        </m:r>
        <m:r>
          <m:t>s</m:t>
        </m:r>
        <m:r>
          <m:t>i</m:t>
        </m:r>
        <m:r>
          <m:t>n</m:t>
        </m:r>
        <m:r>
          <m:t>v</m:t>
        </m:r>
        <m:r>
          <m:t>e</m:t>
        </m:r>
        <m:r>
          <m:t>s</m:t>
        </m:r>
        <m:r>
          <m:t>t</m:t>
        </m:r>
        <m:r>
          <m:t>o</m:t>
        </m:r>
        <m:r>
          <m:t>r</m:t>
        </m:r>
        <m:r>
          <m:t>s</m:t>
        </m:r>
        <m:r>
          <m:t>g</m:t>
        </m:r>
        <m:r>
          <m:t>r</m:t>
        </m:r>
        <m:r>
          <m:t>e</m:t>
        </m:r>
        <m:r>
          <m:t>w</m:t>
        </m:r>
        <m:r>
          <m:t>n</m:t>
        </m:r>
        <m:r>
          <m:t>e</m:t>
        </m:r>
        <m:r>
          <m:t>r</m:t>
        </m:r>
        <m:r>
          <m:t>v</m:t>
        </m:r>
        <m:r>
          <m:t>o</m:t>
        </m:r>
        <m:r>
          <m:t>u</m:t>
        </m:r>
        <m:r>
          <m:t>s</m:t>
        </m:r>
        <m:r>
          <m:t>a</m:t>
        </m:r>
        <m:r>
          <m:t>b</m:t>
        </m:r>
        <m:r>
          <m:t>o</m:t>
        </m:r>
        <m:r>
          <m:t>u</m:t>
        </m:r>
        <m:r>
          <m:t>t</m:t>
        </m:r>
        <m:r>
          <m:t>i</m:t>
        </m:r>
        <m:r>
          <m:t>n</m:t>
        </m:r>
        <m:r>
          <m:t>t</m:t>
        </m:r>
        <m:r>
          <m:t>e</m:t>
        </m:r>
        <m:r>
          <m:t>g</m:t>
        </m:r>
        <m:r>
          <m:t>r</m:t>
        </m:r>
        <m:r>
          <m:t>a</m:t>
        </m:r>
        <m:r>
          <m:t>t</m:t>
        </m:r>
        <m:r>
          <m:t>i</m:t>
        </m:r>
        <m:r>
          <m:t>o</m:t>
        </m:r>
        <m:r>
          <m:t>n</m:t>
        </m:r>
        <m:r>
          <m:t>r</m:t>
        </m:r>
        <m:r>
          <m:t>i</m:t>
        </m:r>
        <m:r>
          <m:t>s</m:t>
        </m:r>
        <m:r>
          <m:t>k</m:t>
        </m:r>
        <m:r>
          <m:t>f</m:t>
        </m:r>
        <m:r>
          <m:t>r</m:t>
        </m:r>
        <m:r>
          <m:t>o</m:t>
        </m:r>
        <m:r>
          <m:t>m</m:t>
        </m:r>
        <m:r>
          <m:t>t</m:t>
        </m:r>
        <m:r>
          <m:t>h</m:t>
        </m:r>
        <m:r>
          <m:t>e</m:t>
        </m:r>
        <m:r>
          <m:t>m</m:t>
        </m:r>
        <m:r>
          <m:t>a</m:t>
        </m:r>
        <m:r>
          <m:t>s</m:t>
        </m:r>
        <m:r>
          <m:t>s</m:t>
        </m:r>
        <m:r>
          <m:t>i</m:t>
        </m:r>
        <m:r>
          <m:t>v</m:t>
        </m:r>
        <m:r>
          <m:t>e</m:t>
        </m:r>
        <m:r>
          <m:t>A</m:t>
        </m:r>
        <m:r>
          <m:t>s</m:t>
        </m:r>
        <m:r>
          <m:t>s</m:t>
        </m:r>
        <m:r>
          <m:t>u</m:t>
        </m:r>
        <m:r>
          <m:t>r</m:t>
        </m:r>
        <m:r>
          <m:t>e</m:t>
        </m:r>
        <m:r>
          <m:t>d</m:t>
        </m:r>
        <m:r>
          <m:t>P</m:t>
        </m:r>
        <m:r>
          <m:t>a</m:t>
        </m:r>
        <m:r>
          <m:t>r</m:t>
        </m:r>
        <m:r>
          <m:t>t</m:t>
        </m:r>
        <m:r>
          <m:t>n</m:t>
        </m:r>
        <m:r>
          <m:t>e</m:t>
        </m:r>
        <m:r>
          <m:t>r</m:t>
        </m:r>
        <m:r>
          <m:t>s</m:t>
        </m:r>
        <m:r>
          <m:t>d</m:t>
        </m:r>
        <m:r>
          <m:t>e</m:t>
        </m:r>
        <m:r>
          <m:t>a</m:t>
        </m:r>
        <m:r>
          <m:t>l</m:t>
        </m:r>
        <m:r>
          <m:rPr>
            <m:sty m:val="p"/>
          </m:rPr>
          <m:t>,</m:t>
        </m:r>
        <m:r>
          <m:t>a</m:t>
        </m:r>
        <m:r>
          <m:t>n</m:t>
        </m:r>
        <m:r>
          <m:t>d</m:t>
        </m:r>
        <m:r>
          <m:t>h</m:t>
        </m:r>
        <m:r>
          <m:t>a</m:t>
        </m:r>
        <m:r>
          <m:t>v</m:t>
        </m:r>
        <m:r>
          <m:t>e</m:t>
        </m:r>
        <m:r>
          <m:t>s</m:t>
        </m:r>
        <m:r>
          <m:t>i</m:t>
        </m:r>
        <m:r>
          <m:t>n</m:t>
        </m:r>
        <m:r>
          <m:t>c</m:t>
        </m:r>
        <m:r>
          <m:t>e</m:t>
        </m:r>
        <m:r>
          <m:t>r</m:t>
        </m:r>
        <m:r>
          <m:t>a</m:t>
        </m:r>
        <m:r>
          <m:t>l</m:t>
        </m:r>
        <m:r>
          <m:t>l</m:t>
        </m:r>
        <m:r>
          <m:t>i</m:t>
        </m:r>
        <m:r>
          <m:t>e</m:t>
        </m:r>
        <m:r>
          <m:t>d</m:t>
        </m:r>
        <m:r>
          <m:t>r</m:t>
        </m:r>
        <m:r>
          <m:t>o</m:t>
        </m:r>
        <m:r>
          <m:t>u</m:t>
        </m:r>
        <m:r>
          <m:t>g</m:t>
        </m:r>
        <m:r>
          <m:t>h</m:t>
        </m:r>
        <m:r>
          <m:t>l</m:t>
        </m:r>
        <m:r>
          <m:t>y</m:t>
        </m:r>
        <m:r>
          <m:t>40</m:t>
        </m:r>
      </m:oMath>
      <w:r>
        <w:t xml:space="preserve">268.18** — within striking distance of the 52-week high of $315.48. One analysis attributed the spring drawdown to the market "pricing in AssuredPartners integration risk" amid concerns the company "can sustain its 20% revenue growth trajectory after such a large deal." The subsequent rebound suggests sentiment has improved materially heading into Q2 results, likely aided by a well-received June Investor Day and reaccelerating M&amp;A synergy targets (detailed below).</w:t>
      </w:r>
    </w:p>
    <w:p>
      <w:pPr>
        <w:pStyle w:val="BodyText"/>
      </w:pPr>
      <w:r>
        <w:t xml:space="preserve">One day before earnings, AJG also disclosed governance changes — naming a new Lead Independent Director and reducing its board size — a housekeeping item unlikely to move the stock but worth noting for completeness.</w:t>
      </w:r>
    </w:p>
    <w:bookmarkEnd w:id="9"/>
    <w:bookmarkStart w:id="10" w:name="consensus-expectations"/>
    <w:p>
      <w:pPr>
        <w:pStyle w:val="Heading2"/>
      </w:pPr>
      <w:r>
        <w:t xml:space="preserve">Consensus Expectations</w:t>
      </w:r>
    </w:p>
    <w:p>
      <w:pPr>
        <w:pStyle w:val="FirstParagraph"/>
      </w:pPr>
      <w:r>
        <w:t xml:space="preserve">Estimates cluster in a tight range, reflecting a well-covered, largely predictable story:</w:t>
      </w:r>
    </w:p>
    <w:p>
      <w:pPr>
        <w:pStyle w:val="Compact"/>
        <w:numPr>
          <w:ilvl w:val="0"/>
          <w:numId w:val="1001"/>
        </w:numPr>
      </w:pPr>
      <w:r>
        <w:rPr>
          <w:b/>
          <w:bCs/>
        </w:rPr>
        <w:t xml:space="preserve">EPS:</w:t>
      </w:r>
      <w:r>
        <w:t xml:space="preserve"> </w:t>
      </w:r>
      <w:r>
        <w:t xml:space="preserve">Consensus sits around</w:t>
      </w:r>
      <w:r>
        <w:t xml:space="preserve"> </w:t>
      </w:r>
      <m:oMath>
        <m:r>
          <m:t>2.82</m:t>
        </m:r>
        <m:r>
          <m:rPr>
            <m:sty m:val="p"/>
          </m:rPr>
          <m:t>–</m:t>
        </m:r>
      </m:oMath>
      <w:r>
        <w:rPr>
          <w:b/>
          <w:bCs/>
        </w:rPr>
        <w:t xml:space="preserve">2.91</w:t>
      </w:r>
      <w:r>
        <w:t xml:space="preserve"> </w:t>
      </w:r>
      <w:r>
        <w:t xml:space="preserve">(adjusted), up 21.9% year-over-year, with revenue pegged at $4.03 billion, indicating 26.9% growth from the year-ago reported figure.</w:t>
      </w:r>
    </w:p>
    <w:p>
      <w:pPr>
        <w:pStyle w:val="Compact"/>
        <w:numPr>
          <w:ilvl w:val="0"/>
          <w:numId w:val="1001"/>
        </w:numPr>
      </w:pPr>
      <w:r>
        <w:rPr>
          <w:b/>
          <w:bCs/>
        </w:rPr>
        <w:t xml:space="preserve">Revenue:</w:t>
      </w:r>
      <w:r>
        <w:t xml:space="preserve"> </w:t>
      </w:r>
      <w:r>
        <w:t xml:space="preserve">Estimates range from about</w:t>
      </w:r>
      <w:r>
        <w:t xml:space="preserve"> </w:t>
      </w:r>
      <w:r>
        <w:rPr>
          <w:b/>
          <w:bCs/>
        </w:rPr>
        <w:t xml:space="preserve">$4.00B to $4.06B</w:t>
      </w:r>
      <w:r>
        <w:t xml:space="preserve">, with the market expecting revenue to grow 25% year on year, improving from the 15.9% increase recorded in the same quarter last year.</w:t>
      </w:r>
    </w:p>
    <w:p>
      <w:pPr>
        <w:pStyle w:val="Compact"/>
        <w:numPr>
          <w:ilvl w:val="0"/>
          <w:numId w:val="1001"/>
        </w:numPr>
      </w:pPr>
      <w:r>
        <w:rPr>
          <w:b/>
          <w:bCs/>
        </w:rPr>
        <w:t xml:space="preserve">Segment detail:</w:t>
      </w:r>
      <w:r>
        <w:t xml:space="preserve"> </w:t>
      </w:r>
      <w:r>
        <w:t xml:space="preserve">the Zacks Consensus Estimate for fees is pegged at $1.2 billion, an increase of 24.2% from the prior-year period, while the consensus mark for commissions is $2.56 billion, implying 41.9% growth from the prior-year period.</w:t>
      </w:r>
    </w:p>
    <w:p>
      <w:pPr>
        <w:pStyle w:val="Compact"/>
        <w:numPr>
          <w:ilvl w:val="0"/>
          <w:numId w:val="1001"/>
        </w:numPr>
      </w:pPr>
      <w:r>
        <w:rPr>
          <w:b/>
          <w:bCs/>
        </w:rPr>
        <w:t xml:space="preserve">Margin metrics:</w:t>
      </w:r>
      <w:r>
        <w:t xml:space="preserve"> </w:t>
      </w:r>
      <w:r>
        <w:t xml:space="preserve">Analysts expect a Risk Management segment compensation expense ratio of 58.9%, compared to 62.2% a year ago, and a Brokerage operating expense ratio of 13.7% versus 13.2% in the same quarter last year — both pointing to modest margin improvement.</w:t>
      </w:r>
    </w:p>
    <w:p>
      <w:pPr>
        <w:pStyle w:val="Compact"/>
        <w:numPr>
          <w:ilvl w:val="0"/>
          <w:numId w:val="1001"/>
        </w:numPr>
      </w:pPr>
      <w:r>
        <w:t xml:space="preserve">Sell-side sentiment: among 24 analysts covering the stock, 17 recommend "Strong Buy," one "Moderate Buy," and six "Hold," with an average price target of $269.05 — though a more recent survey cites an average analyst price target of $281.39 compared to the current share price of $265.30. Either way, upside to target looks modest, consistent with a stock that has already re-rated sharply higher.</w:t>
      </w:r>
    </w:p>
    <w:p>
      <w:pPr>
        <w:pStyle w:val="FirstParagraph"/>
      </w:pPr>
      <w:r>
        <w:t xml:space="preserve">Notably, one Zacks model explicitly does not predict an earnings beat for Arthur J. Gallagher this time around — a useful reminder that expectations have caught up after a large recent run in the shares. Track record: AJG met analysts' revenue expectations last quarter, reporting revenues of $4.75 billion, up 27.7% year on year, in a mixed quarter with a narrow beat of EPS estimates, and last quarter's actual print came in at $4.47 EPS, topping the consensus estimate of $4.43 by $0.04, on revenue of $4.71 billion versus estimates of $4.73 billion.</w:t>
      </w:r>
    </w:p>
    <w:bookmarkEnd w:id="10"/>
    <w:bookmarkStart w:id="11" w:name="q1-2026-recap--the-baseline"/>
    <w:p>
      <w:pPr>
        <w:pStyle w:val="Heading2"/>
      </w:pPr>
      <w:r>
        <w:t xml:space="preserve">Q1 2026 Recap — The Baseline</w:t>
      </w:r>
    </w:p>
    <w:p>
      <w:pPr>
        <w:pStyle w:val="FirstParagraph"/>
      </w:pPr>
      <w:r>
        <w:t xml:space="preserve">Q1 was a strong quarter and the jumping-off point for Q2 guidance. For the combined Brokerage and Risk Management segments, the two-pronged revenue growth strategy — growing both organically and through acquisitions — delivered revenue growth of 28% in the first quarter, with organic growth of 5% and M&amp;A contributing 23%, driven by strong results from AssuredPartners. On a GAAP basis, total company diluted net earnings per share was $3.16 versus $2.72 a year earlier, with revenues before reimbursements of $4,716 million versus $3,688 million; adjusted EPS was $4.47. Segment organic growth was Brokerage revenues up 30% (5% organic), with strong growth across retail P/C, wholesale, reinsurance and benefits, while Gallagher Bassett (Risk Management) posted revenue up 14% (10% organic) on excellent new business and strong client retention. Management highlighted 24 consecutive quarters of double-digit adjusted EBITDAC growth.</w:t>
      </w:r>
    </w:p>
    <w:bookmarkEnd w:id="11"/>
    <w:bookmarkStart w:id="12" w:name="Xc5880c2572ca3997704fb12a4d22a203aa49689"/>
    <w:p>
      <w:pPr>
        <w:pStyle w:val="Heading2"/>
      </w:pPr>
      <w:r>
        <w:t xml:space="preserve">What Management Guided For Q2 (June Investor Day Update)</w:t>
      </w:r>
    </w:p>
    <w:p>
      <w:pPr>
        <w:pStyle w:val="FirstParagraph"/>
      </w:pPr>
      <w:r>
        <w:t xml:space="preserve">Roughly six weeks ago, at its June 17 "Pre-2Q26 Investor Meeting," Gallagher gave a fresh, granular preview of Q2 that should frame expectations tomorrow:</w:t>
      </w:r>
    </w:p>
    <w:p>
      <w:pPr>
        <w:pStyle w:val="BodyText"/>
      </w:pPr>
      <w:r>
        <w:rPr>
          <w:b/>
          <w:bCs/>
        </w:rPr>
        <w:t xml:space="preserve">Organic growth by segment:</w:t>
      </w:r>
    </w:p>
    <w:p>
      <w:pPr>
        <w:pStyle w:val="Compact"/>
        <w:numPr>
          <w:ilvl w:val="0"/>
          <w:numId w:val="1002"/>
        </w:numPr>
      </w:pPr>
      <w:r>
        <w:t xml:space="preserve">Brokerage: second quarter organic growth for the Brokerage segment of about 5%, and full-year 2026 of approximately 5.5%.</w:t>
      </w:r>
    </w:p>
    <w:p>
      <w:pPr>
        <w:pStyle w:val="Compact"/>
        <w:numPr>
          <w:ilvl w:val="0"/>
          <w:numId w:val="1002"/>
        </w:numPr>
      </w:pPr>
      <w:r>
        <w:t xml:space="preserve">Risk Management (Gallagher Bassett): organic growth expectations increased to 11% in the second quarter, with an estimated 8% for full year 2026, driven by several large new business wins that were flagged late last year.</w:t>
      </w:r>
    </w:p>
    <w:p>
      <w:pPr>
        <w:pStyle w:val="Compact"/>
        <w:numPr>
          <w:ilvl w:val="0"/>
          <w:numId w:val="1002"/>
        </w:numPr>
      </w:pPr>
      <w:r>
        <w:t xml:space="preserve">Americas Retail P&amp;C/Specialty: management continues to expect mid-single digit organic growth in total for the Americas Specialty and Americas Retail P&amp;C businesses.</w:t>
      </w:r>
    </w:p>
    <w:p>
      <w:pPr>
        <w:pStyle w:val="Compact"/>
        <w:numPr>
          <w:ilvl w:val="0"/>
          <w:numId w:val="1002"/>
        </w:numPr>
      </w:pPr>
      <w:r>
        <w:t xml:space="preserve">International (UK/Australia/NZ retail + London Specialty): continued middle single digit organic growth in the second quarter and full year 2026.</w:t>
      </w:r>
    </w:p>
    <w:p>
      <w:pPr>
        <w:pStyle w:val="Compact"/>
        <w:numPr>
          <w:ilvl w:val="0"/>
          <w:numId w:val="1002"/>
        </w:numPr>
      </w:pPr>
      <w:r>
        <w:t xml:space="preserve">Gallagher Re (reinsurance): finished 2025 with 14% organic growth and management remains "bullish" on the growth outlook heading into mid-year renewals, noting the 4/1, 5/1 and 6/1 renewals reflected many of the same themes as 1/1 — abundant capacity, meaningful risk-adjusted rate reductions in property and specialty lines, and broadly stable casualty pricing.</w:t>
      </w:r>
    </w:p>
    <w:p>
      <w:pPr>
        <w:pStyle w:val="Compact"/>
        <w:numPr>
          <w:ilvl w:val="0"/>
          <w:numId w:val="1002"/>
        </w:numPr>
      </w:pPr>
      <w:r>
        <w:t xml:space="preserve">Employee Benefits (GBS): second quarter organic growth of approximately 3% and full-year 2026 organic growth of 4%, tracking in line with expectations.</w:t>
      </w:r>
    </w:p>
    <w:p>
      <w:pPr>
        <w:pStyle w:val="FirstParagraph"/>
      </w:pPr>
      <w:r>
        <w:rPr>
          <w:b/>
          <w:bCs/>
        </w:rPr>
        <w:t xml:space="preserve">Pricing backdrop (through the first two months of Q2):</w:t>
      </w:r>
      <w:r>
        <w:t xml:space="preserve"> </w:t>
      </w:r>
      <w:r>
        <w:t xml:space="preserve">property lines were down 9% overall, casualty lines up 5% (general liability +1%, commercial auto +4%, umbrella +8%), D&amp;O/cyber/other professional lines up 2%, personal lines up 3%, workers' comp about flat; excluding property, renewal premium changes were up about 3%, with stronger increases in the U.S. than international markets. In U.S. retail specifically, property was down 11%, casualty up 7% (GL +4%, commercial auto +8%, umbrella +8%), package +3%, workers' comp flat, D&amp;O +1%, cyber +5%. Management stressed that as rates come down, renewal premiums are declining but the revenue impact is more muted, reflecting strong retention, exposure growth and placement/program work — with larger, cat-exposed accounts often being fee-based rather than commission-based.</w:t>
      </w:r>
    </w:p>
    <w:p>
      <w:pPr>
        <w:pStyle w:val="BodyText"/>
      </w:pPr>
      <w:r>
        <w:rPr>
          <w:b/>
          <w:bCs/>
        </w:rPr>
        <w:t xml:space="preserve">Margins and profitability:</w:t>
      </w:r>
      <w:r>
        <w:t xml:space="preserve"> </w:t>
      </w:r>
      <w:r>
        <w:t xml:space="preserve">No changes flagged versus the March outlook — full-year underlying Brokerage margin expansion guidance remains 40 to 60 basis points, and Risk Management margins are expected in the</w:t>
      </w:r>
      <w:r>
        <w:t xml:space="preserve"> </w:t>
      </w:r>
      <w:r>
        <w:rPr>
          <w:b/>
          <w:bCs/>
        </w:rPr>
        <w:t xml:space="preserve">21–22% EBITDA margin range</w:t>
      </w:r>
      <w:r>
        <w:t xml:space="preserve"> </w:t>
      </w:r>
      <w:r>
        <w:t xml:space="preserve">for both Q2 and the full year.</w:t>
      </w:r>
    </w:p>
    <w:bookmarkEnd w:id="12"/>
    <w:bookmarkStart w:id="13" w:name="Xe163aac96ce9338933e1b4754158b0ce8eb8705"/>
    <w:p>
      <w:pPr>
        <w:pStyle w:val="Heading2"/>
      </w:pPr>
      <w:r>
        <w:t xml:space="preserve">AssuredPartners Integration — The Key Swing Factor</w:t>
      </w:r>
    </w:p>
    <w:p>
      <w:pPr>
        <w:pStyle w:val="FirstParagraph"/>
      </w:pPr>
      <w:r>
        <w:t xml:space="preserve">This remains the single biggest story overhanging the stock. Positives from the June update:</w:t>
      </w:r>
    </w:p>
    <w:p>
      <w:pPr>
        <w:pStyle w:val="Compact"/>
        <w:numPr>
          <w:ilvl w:val="0"/>
          <w:numId w:val="1003"/>
        </w:numPr>
      </w:pPr>
      <w:r>
        <w:t xml:space="preserve">Annualized run-rate synergies are now expected at up to $325 million by early 2028, up from the $300 million forecast in April and well above the original $160 million estimate from when the deal was announced in December 2024.</w:t>
      </w:r>
    </w:p>
    <w:p>
      <w:pPr>
        <w:pStyle w:val="Compact"/>
        <w:numPr>
          <w:ilvl w:val="0"/>
          <w:numId w:val="1003"/>
        </w:numPr>
      </w:pPr>
      <w:r>
        <w:t xml:space="preserve">Nearly all back-office systems and processes are fully implemented and running, vendor and real estate consolidations are ahead of plan, and the vast majority of the roughly 300 branches will be migrated onto Gallagher's agency management systems from the second half of 2026 through mid-2027.</w:t>
      </w:r>
    </w:p>
    <w:p>
      <w:pPr>
        <w:pStyle w:val="Compact"/>
        <w:numPr>
          <w:ilvl w:val="0"/>
          <w:numId w:val="1003"/>
        </w:numPr>
      </w:pPr>
      <w:r>
        <w:t xml:space="preserve">Management pushed back on bears' concerns that AP's rollover revenue disclosures imply weak organic growth, explaining that apparent revenue softness is largely an accounting/netting issue (gross vs. net co-broker commissions) as AP is converted onto Gallagher's systems, and does not reflect the underlying EBITDA or growth trajectory of the business.</w:t>
      </w:r>
    </w:p>
    <w:p>
      <w:pPr>
        <w:pStyle w:val="FirstParagraph"/>
      </w:pPr>
      <w:r>
        <w:t xml:space="preserve">Investors should listen closely for: (1) any change to the synergy timeline/magnitude, (2) producer and client retention metrics, and (3) further clarity on how AP's organic growth is trending versus Gallagher legacy.</w:t>
      </w:r>
    </w:p>
    <w:bookmarkEnd w:id="13"/>
    <w:bookmarkStart w:id="14" w:name="ma-pipeline--capital-allocation"/>
    <w:p>
      <w:pPr>
        <w:pStyle w:val="Heading2"/>
      </w:pPr>
      <w:r>
        <w:t xml:space="preserve">M&amp;A Pipeline &amp; Capital Allocation</w:t>
      </w:r>
    </w:p>
    <w:p>
      <w:pPr>
        <w:pStyle w:val="Compact"/>
        <w:numPr>
          <w:ilvl w:val="0"/>
          <w:numId w:val="1004"/>
        </w:numPr>
      </w:pPr>
      <w:r>
        <w:t xml:space="preserve">Tuck-in M&amp;A remains active: so far this year the company had completed 15 mergers, representing around $115 million of estimated annualized revenue, with a pipeline of nearly 40 term sheets signed or being prepared, representing around $600 million of annualized revenue.</w:t>
      </w:r>
    </w:p>
    <w:p>
      <w:pPr>
        <w:pStyle w:val="Compact"/>
        <w:numPr>
          <w:ilvl w:val="0"/>
          <w:numId w:val="1004"/>
        </w:numPr>
      </w:pPr>
      <w:r>
        <w:t xml:space="preserve">Multiples are coming down: in the Q1 call, management noted that sellers are becoming more rational on pricing, and reiterated that theme in June, with CEO Pat Gallagher noting deal brokers "are still telling them that the multiples are not coming down," creating some friction in negotiations.</w:t>
      </w:r>
    </w:p>
    <w:p>
      <w:pPr>
        <w:pStyle w:val="Compact"/>
        <w:numPr>
          <w:ilvl w:val="0"/>
          <w:numId w:val="1004"/>
        </w:numPr>
      </w:pPr>
      <w:r>
        <w:t xml:space="preserve">Balance sheet capacity: available cash on hand, expected free cash flows and future investment-grade borrowings give the company close to $10 billion of capacity to fund M&amp;A over the next two years before using any stock.</w:t>
      </w:r>
    </w:p>
    <w:p>
      <w:pPr>
        <w:pStyle w:val="Compact"/>
        <w:numPr>
          <w:ilvl w:val="0"/>
          <w:numId w:val="1004"/>
        </w:numPr>
      </w:pPr>
      <w:r>
        <w:t xml:space="preserve">Buybacks: Gallagher repurchased</w:t>
      </w:r>
      <w:r>
        <w:t xml:space="preserve"> </w:t>
      </w:r>
      <m:oMath>
        <m:r>
          <m:t>310</m:t>
        </m:r>
        <m:r>
          <m:t>m</m:t>
        </m:r>
        <m:r>
          <m:t>i</m:t>
        </m:r>
        <m:r>
          <m:t>l</m:t>
        </m:r>
        <m:r>
          <m:t>l</m:t>
        </m:r>
        <m:r>
          <m:t>i</m:t>
        </m:r>
        <m:r>
          <m:t>o</m:t>
        </m:r>
        <m:r>
          <m:t>n</m:t>
        </m:r>
        <m:r>
          <m:rPr>
            <m:sty m:val="p"/>
          </m:rPr>
          <m:t>*</m:t>
        </m:r>
        <m:r>
          <m:rPr>
            <m:sty m:val="p"/>
          </m:rPr>
          <m:t>*</m:t>
        </m:r>
        <m:r>
          <m:t>o</m:t>
        </m:r>
        <m:r>
          <m:t>f</m:t>
        </m:r>
        <m:r>
          <m:t>s</m:t>
        </m:r>
        <m:r>
          <m:t>t</m:t>
        </m:r>
        <m:r>
          <m:t>o</m:t>
        </m:r>
        <m:r>
          <m:t>c</m:t>
        </m:r>
        <m:r>
          <m:t>k</m:t>
        </m:r>
        <m:r>
          <m:t>i</m:t>
        </m:r>
        <m:r>
          <m:t>n</m:t>
        </m:r>
        <m:r>
          <m:t>Q</m:t>
        </m:r>
        <m:r>
          <m:t>1</m:t>
        </m:r>
        <m:r>
          <m:t>a</m:t>
        </m:r>
        <m:r>
          <m:t>n</m:t>
        </m:r>
        <m:r>
          <m:t>d</m:t>
        </m:r>
        <m:r>
          <m:rPr>
            <m:sty m:val="p"/>
          </m:rPr>
          <m:t>*</m:t>
        </m:r>
        <m:r>
          <m:rPr>
            <m:sty m:val="p"/>
          </m:rPr>
          <m:t>*</m:t>
        </m:r>
      </m:oMath>
      <w:r>
        <w:rPr>
          <w:b/>
          <w:bCs/>
        </w:rPr>
        <w:t xml:space="preserve">170 million</w:t>
      </w:r>
      <w:r>
        <w:t xml:space="preserve"> </w:t>
      </w:r>
      <w:r>
        <w:t xml:space="preserve">thus far in Q2, with CFO Doug Hall emphasizing the priority remains organic investment and M&amp;A over buybacks, given the scale of the fragmented brokerage market opportunity.</w:t>
      </w:r>
    </w:p>
    <w:p>
      <w:pPr>
        <w:pStyle w:val="Compact"/>
        <w:numPr>
          <w:ilvl w:val="0"/>
          <w:numId w:val="1004"/>
        </w:numPr>
      </w:pPr>
      <w:r>
        <w:t xml:space="preserve">Tax efficiency: at March 31 the company had $165 million of tax credit carryforwards plus about $11 billion of tax-deductible amortization tied to its acquisition strategy — together worth roughly $3.4 billion of future cash tax savings, keeping cash taxes paid at around 10% of EBITDAC for the foreseeable future.</w:t>
      </w:r>
    </w:p>
    <w:bookmarkEnd w:id="14"/>
    <w:bookmarkStart w:id="15" w:name="key-themes-to-watch-on-the-call"/>
    <w:p>
      <w:pPr>
        <w:pStyle w:val="Heading2"/>
      </w:pPr>
      <w:r>
        <w:t xml:space="preserve">Key Themes to Watch on the Call</w:t>
      </w:r>
    </w:p>
    <w:p>
      <w:pPr>
        <w:pStyle w:val="Compact"/>
        <w:numPr>
          <w:ilvl w:val="0"/>
          <w:numId w:val="1005"/>
        </w:numPr>
      </w:pPr>
      <w:r>
        <w:rPr>
          <w:b/>
          <w:bCs/>
        </w:rPr>
        <w:t xml:space="preserve">Does Brokerage organic hit the ~5% Q2 guide, and does the 2H acceleration narrative (toward 5.5% full-year) hold up?</w:t>
      </w:r>
      <w:r>
        <w:t xml:space="preserve"> </w:t>
      </w:r>
      <w:r>
        <w:t xml:space="preserve">Management has pointed to reinsurance demand, fee raises, and rebounding supplemental/contingent income as tailwinds for H2.</w:t>
      </w:r>
    </w:p>
    <w:p>
      <w:pPr>
        <w:pStyle w:val="Compact"/>
        <w:numPr>
          <w:ilvl w:val="0"/>
          <w:numId w:val="1005"/>
        </w:numPr>
      </w:pPr>
      <w:r>
        <w:rPr>
          <w:b/>
          <w:bCs/>
        </w:rPr>
        <w:t xml:space="preserve">Property pricing trajectory</w:t>
      </w:r>
      <w:r>
        <w:t xml:space="preserve"> </w:t>
      </w:r>
      <w:r>
        <w:t xml:space="preserve">— down high-single/low-double digits industry-wide; watch for signs of stabilization versus further deceleration, and any updated sensitivity commentary.</w:t>
      </w:r>
    </w:p>
    <w:p>
      <w:pPr>
        <w:pStyle w:val="Compact"/>
        <w:numPr>
          <w:ilvl w:val="0"/>
          <w:numId w:val="1005"/>
        </w:numPr>
      </w:pPr>
      <w:r>
        <w:rPr>
          <w:b/>
          <w:bCs/>
        </w:rPr>
        <w:t xml:space="preserve">Gallagher Bassett strength</w:t>
      </w:r>
      <w:r>
        <w:t xml:space="preserve"> </w:t>
      </w:r>
      <w:r>
        <w:t xml:space="preserve">— the 11% Q2 / 8% full-year organic guide is a notable positive offset to brokerage softness; confirm momentum continued through June.</w:t>
      </w:r>
    </w:p>
    <w:p>
      <w:pPr>
        <w:pStyle w:val="Compact"/>
        <w:numPr>
          <w:ilvl w:val="0"/>
          <w:numId w:val="1005"/>
        </w:numPr>
      </w:pPr>
      <w:r>
        <w:rPr>
          <w:b/>
          <w:bCs/>
        </w:rPr>
        <w:t xml:space="preserve">AI/productivity commentary</w:t>
      </w:r>
      <w:r>
        <w:t xml:space="preserve"> </w:t>
      </w:r>
      <w:r>
        <w:t xml:space="preserve">— management has been vocal that AI is a multi-year margin and win-rate tailwind (embedded in Gallagher Drive, Smart Market, GB Navigator, Blueprint) rather than a disintermediation risk; incremental proof points on hit-rate/retention improvements would be a positive.</w:t>
      </w:r>
    </w:p>
    <w:p>
      <w:pPr>
        <w:pStyle w:val="Compact"/>
        <w:numPr>
          <w:ilvl w:val="0"/>
          <w:numId w:val="1005"/>
        </w:numPr>
      </w:pPr>
      <w:r>
        <w:rPr>
          <w:b/>
          <w:bCs/>
        </w:rPr>
        <w:t xml:space="preserve">Guidance cadence for Q3/Q4</w:t>
      </w:r>
      <w:r>
        <w:t xml:space="preserve"> </w:t>
      </w:r>
      <w:r>
        <w:t xml:space="preserve">and any early commentary on 2027 property pricing (Doug Hall suggested in June he does not expect a repeat of the ~10% sequential step-down in property pricing seen in 2024→2025 and 2025→2026).</w:t>
      </w:r>
    </w:p>
    <w:p>
      <w:pPr>
        <w:pStyle w:val="Compact"/>
        <w:numPr>
          <w:ilvl w:val="0"/>
          <w:numId w:val="1005"/>
        </w:numPr>
      </w:pPr>
      <w:r>
        <w:rPr>
          <w:b/>
          <w:bCs/>
        </w:rPr>
        <w:t xml:space="preserve">Valuation context</w:t>
      </w:r>
      <w:r>
        <w:t xml:space="preserve"> </w:t>
      </w:r>
      <w:r>
        <w:t xml:space="preserve">— with the stock trading at a premium multiple (P/E in the high-30s per recent data) and near 52-week highs after a sharp rally, the bar for a "beat and raise" reaction may be higher than the modest consensus upside to price targets suggests.</w:t>
      </w:r>
    </w:p>
    <w:bookmarkEnd w:id="15"/>
    <w:bookmarkStart w:id="16" w:name="bottom-line"/>
    <w:p>
      <w:pPr>
        <w:pStyle w:val="Heading2"/>
      </w:pPr>
      <w:r>
        <w:t xml:space="preserve">Bottom Line</w:t>
      </w:r>
    </w:p>
    <w:p>
      <w:pPr>
        <w:pStyle w:val="FirstParagraph"/>
      </w:pPr>
      <w:r>
        <w:t xml:space="preserve">AJG goes into Thursday's report with strong underlying fundamentals — diversified organic growth across brokerage, benefits, reinsurance and claims (Gallagher Bassett), a robust M&amp;A pipeline, and rising synergy estimates from its transformational AssuredPartners deal. The main debate is less about the current quarter (guidance has been reaffirmed as recently as mid-June) and more about (a) how quickly AssuredPartners' organic growth converges toward Gallagher's own, (b) whether property pricing softness continues to be offset by casualty firmness and Gallagher Bassett's outsized growth, and (c) whether the stock's sharp rally off its May lows has already priced in a clean quarter, raising the bar for shares to react positively even to an in-line print.</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2026-07-29T19:37:48Z</dcterms:created>
  <dcterms:modified xsi:type="dcterms:W3CDTF">2026-07-29T19:37:48Z</dcterms:modified>
</cp:coreProperties>
</file>

<file path=docProps/custom.xml><?xml version="1.0" encoding="utf-8"?>
<Properties xmlns="http://schemas.openxmlformats.org/officeDocument/2006/custom-properties" xmlns:vt="http://schemas.openxmlformats.org/officeDocument/2006/docPropsVTypes"/>
</file>