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ajg-2026-q2-earnings-preview"/>
    <w:p>
      <w:pPr>
        <w:pStyle w:val="Heading1"/>
      </w:pPr>
      <w:r>
        <w:t xml:space="preserve">AJG 2026 Q2 Earnings Preview</w:t>
      </w:r>
    </w:p>
    <w:p>
      <w:pPr>
        <w:pStyle w:val="FirstParagraph"/>
      </w:pPr>
      <w:r>
        <w:rPr>
          <w:b/>
          <w:bCs/>
        </w:rPr>
        <w:t xml:space="preserve">Report:</w:t>
      </w:r>
      <w:r>
        <w:t xml:space="preserve"> </w:t>
      </w:r>
      <w:r>
        <w:t xml:space="preserve">Thursday, July 30, 2026, after market close</w:t>
      </w:r>
      <w:r>
        <w:br/>
      </w:r>
      <w:r>
        <w:rPr>
          <w:b/>
          <w:bCs/>
        </w:rPr>
        <w:t xml:space="preserve">Conference call:</w:t>
      </w:r>
      <w:r>
        <w:t xml:space="preserve"> </w:t>
      </w:r>
      <w:r>
        <w:t xml:space="preserve">5:15 p.m. ET (</w:t>
      </w:r>
      <w:hyperlink r:id="rId9">
        <w:r>
          <w:rPr>
            <w:rStyle w:val="Hyperlink"/>
          </w:rPr>
          <w:t xml:space="preserve">investor.ajg.com</w:t>
        </w:r>
      </w:hyperlink>
      <w:r>
        <w:t xml:space="preserve">)</w:t>
      </w:r>
    </w:p>
    <w:bookmarkStart w:id="1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Arthur J. Gallagher enters the quarter with a favorable operating setup but a higher expectations bar. The key question is not whether reported revenue grows sharply—the first full Q2 contribution from AssuredPartners largely assures that—but whether AJG can sustain roughly</w:t>
      </w:r>
      <w:r>
        <w:t xml:space="preserve"> </w:t>
      </w:r>
      <w:r>
        <w:rPr>
          <w:b/>
          <w:bCs/>
        </w:rPr>
        <w:t xml:space="preserve">5% organic Brokerage growth</w:t>
      </w:r>
      <w:r>
        <w:t xml:space="preserve"> </w:t>
      </w:r>
      <w:r>
        <w:t xml:space="preserve">despite falling property premiums, convert Gallagher Bassett’s new-business wins into</w:t>
      </w:r>
      <w:r>
        <w:t xml:space="preserve"> </w:t>
      </w:r>
      <w:r>
        <w:rPr>
          <w:b/>
          <w:bCs/>
        </w:rPr>
        <w:t xml:space="preserve">double-digit organic growth</w:t>
      </w:r>
      <w:r>
        <w:t xml:space="preserve">, and demonstrate that AssuredPartners integration economics remain ahead of the original deal case.</w:t>
      </w:r>
    </w:p>
    <w:p>
      <w:pPr>
        <w:pStyle w:val="BodyText"/>
      </w:pPr>
      <w:r>
        <w:t xml:space="preserve">Investors should look past potentially ugly year-over-year comparisons in Brokerage margin. Last year’s quarter included</w:t>
      </w:r>
      <w:r>
        <w:t xml:space="preserve"> </w:t>
      </w:r>
      <w:r>
        <w:rPr>
          <w:b/>
          <w:bCs/>
        </w:rPr>
        <w:t xml:space="preserve">$144 million of high-margin interest income</w:t>
      </w:r>
      <w:r>
        <w:t xml:space="preserve"> </w:t>
      </w:r>
      <w:r>
        <w:t xml:space="preserve">on funds held for the AssuredPartners acquisition; that income disappears this year. The cleaner indicators are organic growth, normalized margin expansion, AssuredPartners EBITDAC and management’s second-half outlook.</w:t>
      </w:r>
    </w:p>
    <w:bookmarkEnd w:id="10"/>
    <w:bookmarkStart w:id="12" w:name="expectations-at-a-glance"/>
    <w:p>
      <w:pPr>
        <w:pStyle w:val="Heading2"/>
      </w:pPr>
      <w:r>
        <w:t xml:space="preserve">Expectations at a glance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expectation / reference 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consensus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$2.84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Consensus range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2.77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consensus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 $4.03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2025 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$2.33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2025 revenue before reimbursements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$3.178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Management’s Q2 Brokerage organic outlook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 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Management’s Q2 Risk Management organic outlook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 11%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Risk Management adjusted EBITDAC margin outlook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 21%–22%</w:t>
            </w:r>
          </w:p>
        </w:tc>
      </w:tr>
    </w:tbl>
    <w:p>
      <w:pPr>
        <w:pStyle w:val="BodyText"/>
      </w:pPr>
      <w:r>
        <w:t xml:space="preserve">Consensus implies about</w:t>
      </w:r>
      <w:r>
        <w:t xml:space="preserve"> </w:t>
      </w:r>
      <w:r>
        <w:rPr>
          <w:b/>
          <w:bCs/>
        </w:rPr>
        <w:t xml:space="preserve">22% adjusted EPS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27% reported revenue growth</w:t>
      </w:r>
      <w:r>
        <w:t xml:space="preserve">. (</w:t>
      </w:r>
      <w:hyperlink r:id="rId11">
        <w:r>
          <w:rPr>
            <w:rStyle w:val="Hyperlink"/>
          </w:rPr>
          <w:t xml:space="preserve">barchart.com</w:t>
        </w:r>
      </w:hyperlink>
      <w:r>
        <w:t xml:space="preserve">)</w:t>
      </w:r>
    </w:p>
    <w:p>
      <w:pPr>
        <w:pStyle w:val="BodyText"/>
      </w:pPr>
      <w:r>
        <w:t xml:space="preserve">The EPS comparison is stronger than it initially appears: Q2 2025 benefited from $144 million of AssuredPartners financing interest income. Using the roughly $0.41 after-tax benefit disclosed for a similar amount in Q1 2025, consensus implies close to</w:t>
      </w:r>
      <w:r>
        <w:t xml:space="preserve"> </w:t>
      </w:r>
      <w:r>
        <w:rPr>
          <w:b/>
          <w:bCs/>
        </w:rPr>
        <w:t xml:space="preserve">50% growth from a normalized prior-year EPS base</w:t>
      </w:r>
      <w:r>
        <w:t xml:space="preserve">. That makes AssuredPartners execution and core profitability more important than a small headline beat or miss.</w:t>
      </w:r>
    </w:p>
    <w:bookmarkEnd w:id="12"/>
    <w:bookmarkStart w:id="20" w:name="the-five-issues-that-matter-most"/>
    <w:p>
      <w:pPr>
        <w:pStyle w:val="Heading2"/>
      </w:pPr>
      <w:r>
        <w:t xml:space="preserve">The five issues that matter most</w:t>
      </w:r>
    </w:p>
    <w:bookmarkStart w:id="14" w:name="Xd0e6caffbfcadd08c99452d8672fca1abec28be"/>
    <w:p>
      <w:pPr>
        <w:pStyle w:val="Heading3"/>
      </w:pPr>
      <w:r>
        <w:t xml:space="preserve">1. Can Brokerage organic growth hold at 5%?</w:t>
      </w:r>
    </w:p>
    <w:p>
      <w:pPr>
        <w:pStyle w:val="FirstParagraph"/>
      </w:pPr>
      <w:r>
        <w:t xml:space="preserve">Management reiterated approximately</w:t>
      </w:r>
      <w:r>
        <w:t xml:space="preserve"> </w:t>
      </w:r>
      <w:r>
        <w:rPr>
          <w:b/>
          <w:bCs/>
        </w:rPr>
        <w:t xml:space="preserve">5% Q2 Brokerage organic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5.5% for full-year 2026</w:t>
      </w:r>
      <w:r>
        <w:t xml:space="preserve"> </w:t>
      </w:r>
      <w:r>
        <w:t xml:space="preserve">at its June investor meeting. That outlook assumes a softer property market but continued strength in new business, client retention, exposure growth, casualty, reinsurance and supplemental/contingent commissions. (</w:t>
      </w:r>
      <w:hyperlink r:id="rId13">
        <w:r>
          <w:rPr>
            <w:rStyle w:val="Hyperlink"/>
          </w:rPr>
          <w:t xml:space="preserve">static.seekingalpha.com</w:t>
        </w:r>
      </w:hyperlink>
      <w:r>
        <w:t xml:space="preserve">)</w:t>
      </w:r>
    </w:p>
    <w:p>
      <w:pPr>
        <w:pStyle w:val="BodyText"/>
      </w:pPr>
      <w:r>
        <w:t xml:space="preserve">The pricing backdrop became less helpful during the quarter:</w:t>
      </w:r>
    </w:p>
    <w:p>
      <w:pPr>
        <w:pStyle w:val="Compact"/>
        <w:numPr>
          <w:ilvl w:val="0"/>
          <w:numId w:val="1001"/>
        </w:numPr>
      </w:pPr>
      <w:r>
        <w:t xml:space="preserve">Overall property renewal premiums were down roughly</w:t>
      </w:r>
      <w:r>
        <w:t xml:space="preserve"> </w:t>
      </w:r>
      <w:r>
        <w:rPr>
          <w:b/>
          <w:bCs/>
        </w:rPr>
        <w:t xml:space="preserve">9%</w:t>
      </w:r>
      <w:r>
        <w:t xml:space="preserve"> </w:t>
      </w:r>
      <w:r>
        <w:t xml:space="preserve">through May.</w:t>
      </w:r>
    </w:p>
    <w:p>
      <w:pPr>
        <w:pStyle w:val="Compact"/>
        <w:numPr>
          <w:ilvl w:val="0"/>
          <w:numId w:val="1001"/>
        </w:numPr>
      </w:pPr>
      <w:r>
        <w:t xml:space="preserve">U.S. retail property was down approximately</w:t>
      </w:r>
      <w:r>
        <w:t xml:space="preserve"> </w:t>
      </w:r>
      <w:r>
        <w:rPr>
          <w:b/>
          <w:bCs/>
        </w:rPr>
        <w:t xml:space="preserve">11%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U.S. open-brokerage wholesale premiums were down approximately</w:t>
      </w:r>
      <w:r>
        <w:t xml:space="preserve"> </w:t>
      </w:r>
      <w:r>
        <w:rPr>
          <w:b/>
          <w:bCs/>
        </w:rPr>
        <w:t xml:space="preserve">4%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Casualty remained positive, including stronger commercial auto and umbrella pricing.</w:t>
      </w:r>
    </w:p>
    <w:p>
      <w:pPr>
        <w:pStyle w:val="Compact"/>
        <w:numPr>
          <w:ilvl w:val="0"/>
          <w:numId w:val="1001"/>
        </w:numPr>
      </w:pPr>
      <w:r>
        <w:t xml:space="preserve">Clients continued to redeploy some property savings into higher limits or broader coverage.</w:t>
      </w:r>
    </w:p>
    <w:p>
      <w:pPr>
        <w:pStyle w:val="FirstParagraph"/>
      </w:pPr>
      <w:r>
        <w:t xml:space="preserve">AJG argues that premium change does not translate one-for-one into revenue. Large property placements are often fee-based, exposure units are still growing, clients are buying back coverage, and the company has been improving commission and fee economics.</w:t>
      </w:r>
    </w:p>
    <w:p>
      <w:pPr>
        <w:pStyle w:val="BodyText"/>
      </w:pPr>
      <w:r>
        <w:rPr>
          <w:b/>
          <w:bCs/>
        </w:rPr>
        <w:t xml:space="preserve">What would be good:</w:t>
      </w:r>
      <w:r>
        <w:t xml:space="preserve"> </w:t>
      </w:r>
      <w:r>
        <w:t xml:space="preserve">Brokerage organic growth of 5% or better, with base commissions and fees near the total organic rate.</w:t>
      </w:r>
    </w:p>
    <w:p>
      <w:pPr>
        <w:pStyle w:val="BodyText"/>
      </w:pPr>
      <w:r>
        <w:rPr>
          <w:b/>
          <w:bCs/>
        </w:rPr>
        <w:t xml:space="preserve">What would be less convincing:</w:t>
      </w:r>
      <w:r>
        <w:t xml:space="preserve"> </w:t>
      </w:r>
      <w:r>
        <w:t xml:space="preserve">A 5% result driven disproportionately by volatile supplemental and contingent commissions while base organic growth remains around 4% or below.</w:t>
      </w:r>
    </w:p>
    <w:bookmarkEnd w:id="14"/>
    <w:bookmarkStart w:id="15" w:name="Xf59ee02db7cf901d5fc63f071defa7ee54267d9"/>
    <w:p>
      <w:pPr>
        <w:pStyle w:val="Heading3"/>
      </w:pPr>
      <w:r>
        <w:t xml:space="preserve">2. AssuredPartners is the central earnings-growth engine</w:t>
      </w:r>
    </w:p>
    <w:p>
      <w:pPr>
        <w:pStyle w:val="FirstParagraph"/>
      </w:pPr>
      <w:r>
        <w:t xml:space="preserve">Management’s June model called for AssuredPartners to contribute approximately: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$720 million of Q2 revenue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$222 million of adjusted EBITDAC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31% adjusted EBITDAC margin</w:t>
      </w:r>
    </w:p>
    <w:p>
      <w:pPr>
        <w:pStyle w:val="FirstParagraph"/>
      </w:pPr>
      <w:r>
        <w:t xml:space="preserve">Those estimates exclude synergies. Management expects approximately</w:t>
      </w:r>
      <w:r>
        <w:t xml:space="preserve"> </w:t>
      </w:r>
      <m:oMath>
        <m:r>
          <m:t>160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t>r</m:t>
        </m:r>
        <m:r>
          <m:t>u</m:t>
        </m:r>
        <m:r>
          <m:t>n</m:t>
        </m:r>
        <m:r>
          <m:rPr>
            <m:sty m:val="p"/>
          </m:rPr>
          <m:t>−</m:t>
        </m:r>
        <m:r>
          <m:t>r</m:t>
        </m:r>
        <m:r>
          <m:t>a</m:t>
        </m:r>
        <m:r>
          <m:t>t</m:t>
        </m:r>
        <m:r>
          <m:t>e</m:t>
        </m:r>
        <m:r>
          <m:t>s</m:t>
        </m:r>
        <m:r>
          <m:t>y</m:t>
        </m:r>
        <m:r>
          <m:t>n</m:t>
        </m:r>
        <m:r>
          <m:t>e</m:t>
        </m:r>
        <m:r>
          <m:t>r</m:t>
        </m:r>
        <m:r>
          <m:t>g</m:t>
        </m:r>
        <m:r>
          <m:t>i</m:t>
        </m:r>
        <m:r>
          <m:t>e</m:t>
        </m:r>
        <m:r>
          <m:t>s</m:t>
        </m:r>
        <m:r>
          <m:t>b</m:t>
        </m:r>
        <m:r>
          <m:t>y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−</m:t>
        </m:r>
        <m:r>
          <m:t>e</m:t>
        </m:r>
        <m:r>
          <m:t>n</m:t>
        </m:r>
        <m:r>
          <m:t>d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d</m:t>
        </m:r>
        <m:r>
          <m:t>t</m:t>
        </m:r>
        <m:r>
          <m:t>h</m:t>
        </m:r>
        <m:r>
          <m:t>e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rPr>
            <m:sty m:val="p"/>
          </m:rPr>
          <m:t>−</m:t>
        </m:r>
        <m:r>
          <m:t>2028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t</m:t>
        </m:r>
        <m:r>
          <m:t>o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325 million</w:t>
      </w:r>
      <w:r>
        <w:t xml:space="preserve">, versus $300 million previously and $160 million when the acquisition was announced. (</w:t>
      </w:r>
      <w:hyperlink r:id="rId13">
        <w:r>
          <w:rPr>
            <w:rStyle w:val="Hyperlink"/>
          </w:rPr>
          <w:t xml:space="preserve">static.seekingalpha.com</w:t>
        </w:r>
      </w:hyperlink>
      <w:r>
        <w:t xml:space="preserve">)</w:t>
      </w:r>
    </w:p>
    <w:p>
      <w:pPr>
        <w:pStyle w:val="BodyText"/>
      </w:pPr>
      <w:r>
        <w:t xml:space="preserve">The important questions are:</w:t>
      </w:r>
    </w:p>
    <w:p>
      <w:pPr>
        <w:pStyle w:val="Compact"/>
        <w:numPr>
          <w:ilvl w:val="0"/>
          <w:numId w:val="1003"/>
        </w:numPr>
      </w:pPr>
      <w:r>
        <w:t xml:space="preserve">Did AssuredPartners deliver the expected $222 million of Q2 EBITDAC?</w:t>
      </w:r>
    </w:p>
    <w:p>
      <w:pPr>
        <w:pStyle w:val="Compact"/>
        <w:numPr>
          <w:ilvl w:val="0"/>
          <w:numId w:val="1003"/>
        </w:numPr>
      </w:pPr>
      <w:r>
        <w:t xml:space="preserve">Are branch and agency-management-system conversions on schedule?</w:t>
      </w:r>
    </w:p>
    <w:p>
      <w:pPr>
        <w:pStyle w:val="Compact"/>
        <w:numPr>
          <w:ilvl w:val="0"/>
          <w:numId w:val="1003"/>
        </w:numPr>
      </w:pPr>
      <w:r>
        <w:t xml:space="preserve">Are producer and client retention holding at historical levels?</w:t>
      </w:r>
    </w:p>
    <w:p>
      <w:pPr>
        <w:pStyle w:val="Compact"/>
        <w:numPr>
          <w:ilvl w:val="0"/>
          <w:numId w:val="1003"/>
        </w:numPr>
      </w:pPr>
      <w:r>
        <w:t xml:space="preserve">Is management still seeing upside to the $325 million synergy target?</w:t>
      </w:r>
    </w:p>
    <w:p>
      <w:pPr>
        <w:pStyle w:val="Compact"/>
        <w:numPr>
          <w:ilvl w:val="0"/>
          <w:numId w:val="1003"/>
        </w:numPr>
      </w:pPr>
      <w:r>
        <w:t xml:space="preserve">Are cross-selling and improved carrier economics beginning to show up?</w:t>
      </w:r>
    </w:p>
    <w:p>
      <w:pPr>
        <w:pStyle w:val="FirstParagraph"/>
      </w:pPr>
      <w:r>
        <w:t xml:space="preserve">Revenue may be a noisy indicator. AJG has been changing the presentation of some co-brokered revenue from gross to net as AssuredPartners locations move onto Gallagher systems. That can lower reported revenue and expenses without changing cash flow or EBITDAC. Investors should therefore prioritize</w:t>
      </w:r>
      <w:r>
        <w:t xml:space="preserve"> </w:t>
      </w:r>
      <w:r>
        <w:rPr>
          <w:b/>
          <w:bCs/>
        </w:rPr>
        <w:t xml:space="preserve">EBITDAC, margin, retention and synergy realization</w:t>
      </w:r>
      <w:r>
        <w:t xml:space="preserve"> </w:t>
      </w:r>
      <w:r>
        <w:t xml:space="preserve">over the precise AssuredPartners revenue figure.</w:t>
      </w:r>
    </w:p>
    <w:bookmarkEnd w:id="15"/>
    <w:bookmarkStart w:id="17" w:name="X8bd56b40780960348089b3ccf5711f73611607e"/>
    <w:p>
      <w:pPr>
        <w:pStyle w:val="Heading3"/>
      </w:pPr>
      <w:r>
        <w:t xml:space="preserve">3. Do not misread the Brokerage margin comparison</w:t>
      </w:r>
    </w:p>
    <w:p>
      <w:pPr>
        <w:pStyle w:val="FirstParagraph"/>
      </w:pPr>
      <w:r>
        <w:t xml:space="preserve">AJG’s Q2 2025 Brokerage adjusted EBITDAC margin was</w:t>
      </w:r>
      <w:r>
        <w:t xml:space="preserve"> </w:t>
      </w:r>
      <w:r>
        <w:rPr>
          <w:b/>
          <w:bCs/>
        </w:rPr>
        <w:t xml:space="preserve">36.4%</w:t>
      </w:r>
      <w:r>
        <w:t xml:space="preserve">, but that included $144 million of interest income on acquisition funding. (</w:t>
      </w:r>
      <w:hyperlink r:id="rId16">
        <w:r>
          <w:rPr>
            <w:rStyle w:val="Hyperlink"/>
          </w:rPr>
          <w:t xml:space="preserve">investor.ajg.com</w:t>
        </w:r>
      </w:hyperlink>
      <w:r>
        <w:t xml:space="preserve">)</w:t>
      </w:r>
    </w:p>
    <w:p>
      <w:pPr>
        <w:pStyle w:val="BodyText"/>
      </w:pPr>
      <w:r>
        <w:t xml:space="preserve">Management’s June bridge pointed to a Q2 2026 adjusted Brokerage margin around</w:t>
      </w:r>
      <w:r>
        <w:t xml:space="preserve"> </w:t>
      </w:r>
      <w:r>
        <w:rPr>
          <w:b/>
          <w:bCs/>
        </w:rPr>
        <w:t xml:space="preserve">32.2%</w:t>
      </w:r>
      <w:r>
        <w:t xml:space="preserve">. A decline of more than 400 basis points would look poor in isolation, but it is principally a comparison issue. After removing the financing income and other modeled items, management continued to expect</w:t>
      </w:r>
      <w:r>
        <w:t xml:space="preserve"> </w:t>
      </w:r>
      <w:r>
        <w:rPr>
          <w:b/>
          <w:bCs/>
        </w:rPr>
        <w:t xml:space="preserve">40–60 basis points of underlying full-year margin expansion</w:t>
      </w:r>
      <w:r>
        <w:t xml:space="preserve">. (</w:t>
      </w:r>
      <w:hyperlink r:id="rId13">
        <w:r>
          <w:rPr>
            <w:rStyle w:val="Hyperlink"/>
          </w:rPr>
          <w:t xml:space="preserve">static.seekingalpha.com</w:t>
        </w:r>
      </w:hyperlink>
      <w:r>
        <w:t xml:space="preserve">)</w:t>
      </w:r>
    </w:p>
    <w:p>
      <w:pPr>
        <w:pStyle w:val="BodyText"/>
      </w:pPr>
      <w:r>
        <w:t xml:space="preserve">Accordingly:</w:t>
      </w:r>
    </w:p>
    <w:p>
      <w:pPr>
        <w:pStyle w:val="Compact"/>
        <w:numPr>
          <w:ilvl w:val="0"/>
          <w:numId w:val="1004"/>
        </w:numPr>
      </w:pPr>
      <w:r>
        <w:t xml:space="preserve">A headline margin near 32% is not necessarily a problem.</w:t>
      </w:r>
    </w:p>
    <w:p>
      <w:pPr>
        <w:pStyle w:val="Compact"/>
        <w:numPr>
          <w:ilvl w:val="0"/>
          <w:numId w:val="1004"/>
        </w:numPr>
      </w:pPr>
      <w:r>
        <w:t xml:space="preserve">The relevant test is the normalized margin bridge.</w:t>
      </w:r>
    </w:p>
    <w:p>
      <w:pPr>
        <w:pStyle w:val="Compact"/>
        <w:numPr>
          <w:ilvl w:val="0"/>
          <w:numId w:val="1004"/>
        </w:numPr>
      </w:pPr>
      <w:r>
        <w:t xml:space="preserve">Slippage in underlying expansion or AssuredPartners pre-synergy profitability would matter much more.</w:t>
      </w:r>
    </w:p>
    <w:p>
      <w:pPr>
        <w:pStyle w:val="FirstParagraph"/>
      </w:pPr>
      <w:r>
        <w:t xml:space="preserve">Management may also provide more detail on AI-driven productivity. It has suggested meaningful multiyear savings across field-service and back-office layers, although most benefits are expected to emerge through natural attrition and reinvestment rather than abrupt headcount reductions.</w:t>
      </w:r>
    </w:p>
    <w:bookmarkEnd w:id="17"/>
    <w:bookmarkStart w:id="18" w:name="X6063d1c582ee62665dd969a361b888133a14b89"/>
    <w:p>
      <w:pPr>
        <w:pStyle w:val="Heading3"/>
      </w:pPr>
      <w:r>
        <w:t xml:space="preserve">4. Gallagher Bassett could be the cleanest source of upside</w:t>
      </w:r>
    </w:p>
    <w:p>
      <w:pPr>
        <w:pStyle w:val="FirstParagraph"/>
      </w:pPr>
      <w:r>
        <w:t xml:space="preserve">Risk Management, or Gallagher Bassett, is expected to post approximately</w:t>
      </w:r>
      <w:r>
        <w:t xml:space="preserve"> </w:t>
      </w:r>
      <w:r>
        <w:rPr>
          <w:b/>
          <w:bCs/>
        </w:rPr>
        <w:t xml:space="preserve">11% Q2 organic growth</w:t>
      </w:r>
      <w:r>
        <w:t xml:space="preserve">, up from 10% in Q1. The strength comes from large new-business wins, strong retention, higher claims volumes and expansion with insurance-carrier clients.</w:t>
      </w:r>
    </w:p>
    <w:p>
      <w:pPr>
        <w:pStyle w:val="BodyText"/>
      </w:pPr>
      <w:r>
        <w:t xml:space="preserve">Management expects a</w:t>
      </w:r>
      <w:r>
        <w:t xml:space="preserve"> </w:t>
      </w:r>
      <w:r>
        <w:rPr>
          <w:b/>
          <w:bCs/>
        </w:rPr>
        <w:t xml:space="preserve">21%–22% adjusted EBITDAC margin</w:t>
      </w:r>
      <w:r>
        <w:t xml:space="preserve"> </w:t>
      </w:r>
      <w:r>
        <w:t xml:space="preserve">in both Q2 and full-year 2026, compared with 21.0% in Q2 2025.</w:t>
      </w:r>
    </w:p>
    <w:p>
      <w:pPr>
        <w:pStyle w:val="BodyText"/>
      </w:pPr>
      <w:r>
        <w:t xml:space="preserve">This segment is particularly valuable because it is less sensitive to insurance pricing than Brokerage. A result above 11%, accompanied by margin toward the upper half of guidance, would reinforce the durability of AJG’s consolidated organic-growth profile. Conversely, a slowdown would raise questions about the timing or profitability of recent large client wins.</w:t>
      </w:r>
    </w:p>
    <w:bookmarkEnd w:id="18"/>
    <w:bookmarkStart w:id="19" w:name="X5a50773b86e3fe92f3bf5dc7139dc9ec64da96e"/>
    <w:p>
      <w:pPr>
        <w:pStyle w:val="Heading3"/>
      </w:pPr>
      <w:r>
        <w:t xml:space="preserve">5. The second-half outlook matters more than a modest EPS surprise</w:t>
      </w:r>
    </w:p>
    <w:p>
      <w:pPr>
        <w:pStyle w:val="FirstParagraph"/>
      </w:pPr>
      <w:r>
        <w:t xml:space="preserve">Management’s full-year organic assumptions are: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Brokerage:</w:t>
      </w:r>
      <w:r>
        <w:t xml:space="preserve"> </w:t>
      </w:r>
      <w:r>
        <w:t xml:space="preserve">approximately 5.5%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Risk Management:</w:t>
      </w:r>
      <w:r>
        <w:t xml:space="preserve"> </w:t>
      </w:r>
      <w:r>
        <w:t xml:space="preserve">approximately 8%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Combined:</w:t>
      </w:r>
      <w:r>
        <w:t xml:space="preserve"> </w:t>
      </w:r>
      <w:r>
        <w:t xml:space="preserve">roughly 6%</w:t>
      </w:r>
    </w:p>
    <w:p>
      <w:pPr>
        <w:pStyle w:val="FirstParagraph"/>
      </w:pPr>
      <w:r>
        <w:t xml:space="preserve">Because first-half Brokerage growth is expected around 5%, the full-year guide assumes some acceleration in the second half. Management previously indicated that Q3 could be slightly stronger than Q4, supported by reinsurance new business, fee increases, supplemental/contingent revenue and reduced property pressure after the heavy Q2 renewal season.</w:t>
      </w:r>
    </w:p>
    <w:p>
      <w:pPr>
        <w:pStyle w:val="BodyText"/>
      </w:pPr>
      <w:r>
        <w:t xml:space="preserve">The most important call commentary will therefore be whether management still sees</w:t>
      </w:r>
      <w:r>
        <w:t xml:space="preserve"> </w:t>
      </w:r>
      <w:r>
        <w:rPr>
          <w:b/>
          <w:bCs/>
        </w:rPr>
        <w:t xml:space="preserve">5%–6% Brokerage organic growth in the back half</w:t>
      </w:r>
      <w:r>
        <w:t xml:space="preserve">. A clean Q2 beat paired with less confidence in the second half would be a mixed result.</w:t>
      </w:r>
    </w:p>
    <w:bookmarkEnd w:id="19"/>
    <w:bookmarkEnd w:id="20"/>
    <w:bookmarkStart w:id="24" w:name="segment-checklist"/>
    <w:p>
      <w:pPr>
        <w:pStyle w:val="Heading2"/>
      </w:pPr>
      <w:r>
        <w:t xml:space="preserve">Segment checklist</w:t>
      </w:r>
    </w:p>
    <w:bookmarkStart w:id="21" w:name="brokerage"/>
    <w:p>
      <w:pPr>
        <w:pStyle w:val="Heading3"/>
      </w:pPr>
      <w:r>
        <w:t xml:space="preserve">Brokerage</w:t>
      </w:r>
    </w:p>
    <w:p>
      <w:pPr>
        <w:pStyle w:val="FirstParagraph"/>
      </w:pPr>
      <w:r>
        <w:t xml:space="preserve">Watch for:</w:t>
      </w:r>
    </w:p>
    <w:p>
      <w:pPr>
        <w:pStyle w:val="Compact"/>
        <w:numPr>
          <w:ilvl w:val="0"/>
          <w:numId w:val="1006"/>
        </w:numPr>
      </w:pPr>
      <w:r>
        <w:t xml:space="preserve">Total organic growth versus the 5% outlook</w:t>
      </w:r>
    </w:p>
    <w:p>
      <w:pPr>
        <w:pStyle w:val="Compact"/>
        <w:numPr>
          <w:ilvl w:val="0"/>
          <w:numId w:val="1006"/>
        </w:numPr>
      </w:pPr>
      <w:r>
        <w:t xml:space="preserve">Base commissions and fees versus supplemental/contingent growth</w:t>
      </w:r>
    </w:p>
    <w:p>
      <w:pPr>
        <w:pStyle w:val="Compact"/>
        <w:numPr>
          <w:ilvl w:val="0"/>
          <w:numId w:val="1006"/>
        </w:numPr>
      </w:pPr>
      <w:r>
        <w:t xml:space="preserve">U.S. retail and wholesale property pressure</w:t>
      </w:r>
    </w:p>
    <w:p>
      <w:pPr>
        <w:pStyle w:val="Compact"/>
        <w:numPr>
          <w:ilvl w:val="0"/>
          <w:numId w:val="1006"/>
        </w:numPr>
      </w:pPr>
      <w:r>
        <w:t xml:space="preserve">Casualty renewal trends, particularly commercial auto and umbrella</w:t>
      </w:r>
    </w:p>
    <w:p>
      <w:pPr>
        <w:pStyle w:val="Compact"/>
        <w:numPr>
          <w:ilvl w:val="0"/>
          <w:numId w:val="1006"/>
        </w:numPr>
      </w:pPr>
      <w:r>
        <w:t xml:space="preserve">Reinsurance performance following the midyear renewals</w:t>
      </w:r>
    </w:p>
    <w:p>
      <w:pPr>
        <w:pStyle w:val="Compact"/>
        <w:numPr>
          <w:ilvl w:val="0"/>
          <w:numId w:val="1006"/>
        </w:numPr>
      </w:pPr>
      <w:r>
        <w:t xml:space="preserve">Benefits organic growth, guided to approximately 3% for Q2</w:t>
      </w:r>
    </w:p>
    <w:p>
      <w:pPr>
        <w:pStyle w:val="Compact"/>
        <w:numPr>
          <w:ilvl w:val="0"/>
          <w:numId w:val="1006"/>
        </w:numPr>
      </w:pPr>
      <w:r>
        <w:t xml:space="preserve">AssuredPartners EBITDAC and synergies</w:t>
      </w:r>
    </w:p>
    <w:p>
      <w:pPr>
        <w:pStyle w:val="Compact"/>
        <w:numPr>
          <w:ilvl w:val="0"/>
          <w:numId w:val="1006"/>
        </w:numPr>
      </w:pPr>
      <w:r>
        <w:t xml:space="preserve">Normalized margin expansion</w:t>
      </w:r>
    </w:p>
    <w:p>
      <w:pPr>
        <w:pStyle w:val="FirstParagraph"/>
      </w:pPr>
      <w:r>
        <w:t xml:space="preserve">Employee Benefits is likely to be the slowest major Brokerage operation this quarter. Rising medical and pharmacy costs support long-term advisory demand, but management noted more muted consulting activity during April and May.</w:t>
      </w:r>
    </w:p>
    <w:bookmarkEnd w:id="21"/>
    <w:bookmarkStart w:id="22" w:name="risk-management"/>
    <w:p>
      <w:pPr>
        <w:pStyle w:val="Heading3"/>
      </w:pPr>
      <w:r>
        <w:t xml:space="preserve">Risk Management</w:t>
      </w:r>
    </w:p>
    <w:p>
      <w:pPr>
        <w:pStyle w:val="FirstParagraph"/>
      </w:pPr>
      <w:r>
        <w:t xml:space="preserve">Watch for:</w:t>
      </w:r>
    </w:p>
    <w:p>
      <w:pPr>
        <w:pStyle w:val="Compact"/>
        <w:numPr>
          <w:ilvl w:val="0"/>
          <w:numId w:val="1007"/>
        </w:numPr>
      </w:pPr>
      <w:r>
        <w:t xml:space="preserve">Organic growth at or above 11%</w:t>
      </w:r>
    </w:p>
    <w:p>
      <w:pPr>
        <w:pStyle w:val="Compact"/>
        <w:numPr>
          <w:ilvl w:val="0"/>
          <w:numId w:val="1007"/>
        </w:numPr>
      </w:pPr>
      <w:r>
        <w:t xml:space="preserve">Adjusted EBITDAC margin within 21%–22%</w:t>
      </w:r>
    </w:p>
    <w:p>
      <w:pPr>
        <w:pStyle w:val="Compact"/>
        <w:numPr>
          <w:ilvl w:val="0"/>
          <w:numId w:val="1007"/>
        </w:numPr>
      </w:pPr>
      <w:r>
        <w:t xml:space="preserve">Conversion of large new wins into revenue</w:t>
      </w:r>
    </w:p>
    <w:p>
      <w:pPr>
        <w:pStyle w:val="Compact"/>
        <w:numPr>
          <w:ilvl w:val="0"/>
          <w:numId w:val="1007"/>
        </w:numPr>
      </w:pPr>
      <w:r>
        <w:t xml:space="preserve">Claims-volume growth and international expansion</w:t>
      </w:r>
    </w:p>
    <w:p>
      <w:pPr>
        <w:pStyle w:val="Compact"/>
        <w:numPr>
          <w:ilvl w:val="0"/>
          <w:numId w:val="1007"/>
        </w:numPr>
      </w:pPr>
      <w:r>
        <w:t xml:space="preserve">Evidence that AI-based severity, fraud and litigation models are helping win clients or improve economics</w:t>
      </w:r>
    </w:p>
    <w:bookmarkEnd w:id="22"/>
    <w:bookmarkStart w:id="23" w:name="capital-allocation"/>
    <w:p>
      <w:pPr>
        <w:pStyle w:val="Heading3"/>
      </w:pPr>
      <w:r>
        <w:t xml:space="preserve">Capital allocation</w:t>
      </w:r>
    </w:p>
    <w:p>
      <w:pPr>
        <w:pStyle w:val="FirstParagraph"/>
      </w:pPr>
      <w:r>
        <w:t xml:space="preserve">As of the June investor meeting, AJG had repurchased approximately</w:t>
      </w:r>
      <w:r>
        <w:t xml:space="preserve"> </w:t>
      </w:r>
      <m:oMath>
        <m:r>
          <m:t>480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d</m:t>
        </m:r>
        <m:r>
          <m:t>u</m:t>
        </m:r>
        <m:r>
          <m:t>r</m:t>
        </m:r>
        <m:r>
          <m:t>i</m:t>
        </m:r>
        <m:r>
          <m:t>n</m:t>
        </m:r>
        <m:r>
          <m:t>g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—</m:t>
        </m:r>
      </m:oMath>
      <w:r>
        <w:rPr>
          <w:b/>
          <w:bCs/>
        </w:rPr>
        <w:t xml:space="preserve">310 million in Q1 and another</w:t>
      </w:r>
      <w:r>
        <w:rPr>
          <w:b/>
          <w:bCs/>
        </w:rPr>
        <w:t xml:space="preserve"> </w:t>
      </w:r>
      <m:oMath>
        <m:r>
          <m:t>170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Q</m:t>
        </m:r>
        <m:r>
          <m:t>2</m:t>
        </m:r>
        <m:r>
          <m:rPr>
            <m:sty m:val="p"/>
          </m:rPr>
          <m:t>—</m:t>
        </m:r>
        <m:r>
          <m:t>a</m:t>
        </m:r>
        <m:r>
          <m:t>n</m:t>
        </m:r>
        <m:r>
          <m:t>d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d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10 billion of M&amp;A capacity over two years</w:t>
      </w:r>
      <w:r>
        <w:t xml:space="preserve"> </w:t>
      </w:r>
      <w:r>
        <w:t xml:space="preserve">before issuing equity.</w:t>
      </w:r>
    </w:p>
    <w:p>
      <w:pPr>
        <w:pStyle w:val="BodyText"/>
      </w:pPr>
      <w:r>
        <w:t xml:space="preserve">Management also reported an active acquisition pipeline, although completed tuck-ins had been relatively light early in the year. Investors should listen for:</w:t>
      </w:r>
    </w:p>
    <w:p>
      <w:pPr>
        <w:pStyle w:val="Compact"/>
        <w:numPr>
          <w:ilvl w:val="0"/>
          <w:numId w:val="1008"/>
        </w:numPr>
      </w:pPr>
      <w:r>
        <w:t xml:space="preserve">Whether seller valuation expectations have adjusted downward</w:t>
      </w:r>
    </w:p>
    <w:p>
      <w:pPr>
        <w:pStyle w:val="Compact"/>
        <w:numPr>
          <w:ilvl w:val="0"/>
          <w:numId w:val="1008"/>
        </w:numPr>
      </w:pPr>
      <w:r>
        <w:t xml:space="preserve">Q2 and post-quarter acquisition closings</w:t>
      </w:r>
    </w:p>
    <w:p>
      <w:pPr>
        <w:pStyle w:val="Compact"/>
        <w:numPr>
          <w:ilvl w:val="0"/>
          <w:numId w:val="1008"/>
        </w:numPr>
      </w:pPr>
      <w:r>
        <w:t xml:space="preserve">Additional repurchases</w:t>
      </w:r>
    </w:p>
    <w:p>
      <w:pPr>
        <w:pStyle w:val="Compact"/>
        <w:numPr>
          <w:ilvl w:val="0"/>
          <w:numId w:val="1008"/>
        </w:numPr>
      </w:pPr>
      <w:r>
        <w:t xml:space="preserve">Debt and leverage trajectory</w:t>
      </w:r>
    </w:p>
    <w:p>
      <w:pPr>
        <w:pStyle w:val="Compact"/>
        <w:numPr>
          <w:ilvl w:val="0"/>
          <w:numId w:val="1008"/>
        </w:numPr>
      </w:pPr>
      <w:r>
        <w:t xml:space="preserve">Whether M&amp;A remains clearly preferred over buybacks</w:t>
      </w:r>
    </w:p>
    <w:bookmarkEnd w:id="23"/>
    <w:bookmarkEnd w:id="24"/>
    <w:bookmarkStart w:id="25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AJG closed July 29 around</w:t>
      </w:r>
      <w:r>
        <w:t xml:space="preserve"> </w:t>
      </w:r>
      <w:r>
        <w:rPr>
          <w:b/>
          <w:bCs/>
        </w:rPr>
        <w:t xml:space="preserve">$268</w:t>
      </w:r>
      <w:r>
        <w:t xml:space="preserve">, approximately 24% above its level at the June 17 investor meeting. At that price, it trades near</w:t>
      </w:r>
      <w:r>
        <w:t xml:space="preserve"> </w:t>
      </w:r>
      <w:r>
        <w:rPr>
          <w:b/>
          <w:bCs/>
        </w:rPr>
        <w:t xml:space="preserve">20 times the current $13.22 full-year 2026 adjusted EPS consensus</w:t>
      </w:r>
      <w:r>
        <w:t xml:space="preserve">. (</w:t>
      </w:r>
      <w:hyperlink r:id="rId11">
        <w:r>
          <w:rPr>
            <w:rStyle w:val="Hyperlink"/>
          </w:rPr>
          <w:t xml:space="preserve">barchart.com</w:t>
        </w:r>
      </w:hyperlink>
      <w:r>
        <w:t xml:space="preserve">)</w:t>
      </w:r>
    </w:p>
    <w:p>
      <w:pPr>
        <w:pStyle w:val="BodyText"/>
      </w:pPr>
      <w:r>
        <w:t xml:space="preserve">The recent rebound raises the bar. A modest EPS beat may not be sufficient if it comes with:</w:t>
      </w:r>
    </w:p>
    <w:p>
      <w:pPr>
        <w:pStyle w:val="Compact"/>
        <w:numPr>
          <w:ilvl w:val="0"/>
          <w:numId w:val="1009"/>
        </w:numPr>
      </w:pPr>
      <w:r>
        <w:t xml:space="preserve">Brokerage organic growth below 5%</w:t>
      </w:r>
    </w:p>
    <w:p>
      <w:pPr>
        <w:pStyle w:val="Compact"/>
        <w:numPr>
          <w:ilvl w:val="0"/>
          <w:numId w:val="1009"/>
        </w:numPr>
      </w:pPr>
      <w:r>
        <w:t xml:space="preserve">A softer second-half outlook</w:t>
      </w:r>
    </w:p>
    <w:p>
      <w:pPr>
        <w:pStyle w:val="Compact"/>
        <w:numPr>
          <w:ilvl w:val="0"/>
          <w:numId w:val="1009"/>
        </w:numPr>
      </w:pPr>
      <w:r>
        <w:t xml:space="preserve">AssuredPartners integration slippage</w:t>
      </w:r>
    </w:p>
    <w:p>
      <w:pPr>
        <w:pStyle w:val="Compact"/>
        <w:numPr>
          <w:ilvl w:val="0"/>
          <w:numId w:val="1009"/>
        </w:numPr>
      </w:pPr>
      <w:r>
        <w:t xml:space="preserve">Weaker normalized margins</w:t>
      </w:r>
    </w:p>
    <w:p>
      <w:pPr>
        <w:pStyle w:val="FirstParagraph"/>
      </w:pPr>
      <w:r>
        <w:t xml:space="preserve">Conversely, organic growth at or above plan, strong Gallagher Bassett results and another constructive AssuredPartners update could support further estimate revisions.</w:t>
      </w:r>
    </w:p>
    <w:bookmarkEnd w:id="25"/>
    <w:bookmarkStart w:id="29" w:name="bull-base-and-bear-interpretations"/>
    <w:p>
      <w:pPr>
        <w:pStyle w:val="Heading2"/>
      </w:pPr>
      <w:r>
        <w:t xml:space="preserve">Bull, base and bear interpretations</w:t>
      </w:r>
    </w:p>
    <w:bookmarkStart w:id="26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Adjusted EPS above the high end of consensus</w:t>
      </w:r>
    </w:p>
    <w:p>
      <w:pPr>
        <w:pStyle w:val="Compact"/>
        <w:numPr>
          <w:ilvl w:val="0"/>
          <w:numId w:val="1010"/>
        </w:numPr>
      </w:pPr>
      <w:r>
        <w:t xml:space="preserve">Brokerage organic growth of</w:t>
      </w:r>
      <w:r>
        <w:t xml:space="preserve"> </w:t>
      </w:r>
      <w:r>
        <w:rPr>
          <w:b/>
          <w:bCs/>
        </w:rPr>
        <w:t xml:space="preserve">5.5% or better</w:t>
      </w:r>
    </w:p>
    <w:p>
      <w:pPr>
        <w:pStyle w:val="Compact"/>
        <w:numPr>
          <w:ilvl w:val="0"/>
          <w:numId w:val="1010"/>
        </w:numPr>
      </w:pPr>
      <w:r>
        <w:t xml:space="preserve">Base commissions and fees accelerate from Q1</w:t>
      </w:r>
    </w:p>
    <w:p>
      <w:pPr>
        <w:pStyle w:val="Compact"/>
        <w:numPr>
          <w:ilvl w:val="0"/>
          <w:numId w:val="1010"/>
        </w:numPr>
      </w:pPr>
      <w:r>
        <w:t xml:space="preserve">Risk Management organic growth exceeds</w:t>
      </w:r>
      <w:r>
        <w:t xml:space="preserve"> </w:t>
      </w:r>
      <w:r>
        <w:rPr>
          <w:b/>
          <w:bCs/>
        </w:rPr>
        <w:t xml:space="preserve">11%</w:t>
      </w:r>
    </w:p>
    <w:p>
      <w:pPr>
        <w:pStyle w:val="Compact"/>
        <w:numPr>
          <w:ilvl w:val="0"/>
          <w:numId w:val="1010"/>
        </w:numPr>
      </w:pPr>
      <w:r>
        <w:t xml:space="preserve">AssuredPartners EBITDAC exceeds $222 million</w:t>
      </w:r>
    </w:p>
    <w:p>
      <w:pPr>
        <w:pStyle w:val="Compact"/>
        <w:numPr>
          <w:ilvl w:val="0"/>
          <w:numId w:val="1010"/>
        </w:numPr>
      </w:pPr>
      <w:r>
        <w:t xml:space="preserve">Synergy target or timing improves again</w:t>
      </w:r>
    </w:p>
    <w:p>
      <w:pPr>
        <w:pStyle w:val="Compact"/>
        <w:numPr>
          <w:ilvl w:val="0"/>
          <w:numId w:val="1010"/>
        </w:numPr>
      </w:pPr>
      <w:r>
        <w:t xml:space="preserve">Full-year organic and margin outlooks are reaffirmed or raised</w:t>
      </w:r>
    </w:p>
    <w:bookmarkEnd w:id="26"/>
    <w:bookmarkStart w:id="27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1"/>
        </w:numPr>
      </w:pPr>
      <w:r>
        <w:t xml:space="preserve">Adjusted EPS around</w:t>
      </w:r>
      <w:r>
        <w:t xml:space="preserve"> </w:t>
      </w:r>
      <m:oMath>
        <m:r>
          <m:t>2.80</m:t>
        </m:r>
        <m:r>
          <m:rPr>
            <m:sty m:val="p"/>
          </m:rPr>
          <m:t>–</m:t>
        </m:r>
      </m:oMath>
      <w:r>
        <w:rPr>
          <w:b/>
          <w:bCs/>
        </w:rPr>
        <w:t xml:space="preserve">2.88</w:t>
      </w:r>
    </w:p>
    <w:p>
      <w:pPr>
        <w:pStyle w:val="Compact"/>
        <w:numPr>
          <w:ilvl w:val="0"/>
          <w:numId w:val="1011"/>
        </w:numPr>
      </w:pPr>
      <w:r>
        <w:t xml:space="preserve">Brokerage organic near</w:t>
      </w:r>
      <w:r>
        <w:t xml:space="preserve"> </w:t>
      </w:r>
      <w:r>
        <w:rPr>
          <w:b/>
          <w:bCs/>
        </w:rPr>
        <w:t xml:space="preserve">5%</w:t>
      </w:r>
    </w:p>
    <w:p>
      <w:pPr>
        <w:pStyle w:val="Compact"/>
        <w:numPr>
          <w:ilvl w:val="0"/>
          <w:numId w:val="1011"/>
        </w:numPr>
      </w:pPr>
      <w:r>
        <w:t xml:space="preserve">Risk Management growth near</w:t>
      </w:r>
      <w:r>
        <w:t xml:space="preserve"> </w:t>
      </w:r>
      <w:r>
        <w:rPr>
          <w:b/>
          <w:bCs/>
        </w:rPr>
        <w:t xml:space="preserve">11%</w:t>
      </w:r>
    </w:p>
    <w:p>
      <w:pPr>
        <w:pStyle w:val="Compact"/>
        <w:numPr>
          <w:ilvl w:val="0"/>
          <w:numId w:val="1011"/>
        </w:numPr>
      </w:pPr>
      <w:r>
        <w:t xml:space="preserve">AssuredPartners and normalized margins track June assumptions</w:t>
      </w:r>
    </w:p>
    <w:p>
      <w:pPr>
        <w:pStyle w:val="Compact"/>
        <w:numPr>
          <w:ilvl w:val="0"/>
          <w:numId w:val="1011"/>
        </w:numPr>
      </w:pPr>
      <w:r>
        <w:t xml:space="preserve">Full-year guidance is reiterated</w:t>
      </w:r>
    </w:p>
    <w:p>
      <w:pPr>
        <w:pStyle w:val="Compact"/>
        <w:numPr>
          <w:ilvl w:val="0"/>
          <w:numId w:val="1011"/>
        </w:numPr>
      </w:pPr>
      <w:r>
        <w:t xml:space="preserve">Headline Brokerage margin declines because of the financing-income comparison, without deterioration in underlying performance</w:t>
      </w:r>
    </w:p>
    <w:bookmarkEnd w:id="27"/>
    <w:bookmarkStart w:id="28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2"/>
        </w:numPr>
      </w:pPr>
      <w:r>
        <w:t xml:space="preserve">Brokerage organic growth at</w:t>
      </w:r>
      <w:r>
        <w:t xml:space="preserve"> </w:t>
      </w:r>
      <w:r>
        <w:rPr>
          <w:b/>
          <w:bCs/>
        </w:rPr>
        <w:t xml:space="preserve">4.5% or lower</w:t>
      </w:r>
    </w:p>
    <w:p>
      <w:pPr>
        <w:pStyle w:val="Compact"/>
        <w:numPr>
          <w:ilvl w:val="0"/>
          <w:numId w:val="1012"/>
        </w:numPr>
      </w:pPr>
      <w:r>
        <w:t xml:space="preserve">Property and wholesale pressure begins to outweigh new business and fee actions</w:t>
      </w:r>
    </w:p>
    <w:p>
      <w:pPr>
        <w:pStyle w:val="Compact"/>
        <w:numPr>
          <w:ilvl w:val="0"/>
          <w:numId w:val="1012"/>
        </w:numPr>
      </w:pPr>
      <w:r>
        <w:t xml:space="preserve">Benefits or reinsurance underperform</w:t>
      </w:r>
    </w:p>
    <w:p>
      <w:pPr>
        <w:pStyle w:val="Compact"/>
        <w:numPr>
          <w:ilvl w:val="0"/>
          <w:numId w:val="1012"/>
        </w:numPr>
      </w:pPr>
      <w:r>
        <w:t xml:space="preserve">Risk Management growth or margin misses guidance</w:t>
      </w:r>
    </w:p>
    <w:p>
      <w:pPr>
        <w:pStyle w:val="Compact"/>
        <w:numPr>
          <w:ilvl w:val="0"/>
          <w:numId w:val="1012"/>
        </w:numPr>
      </w:pPr>
      <w:r>
        <w:t xml:space="preserve">AssuredPartners EBITDA, integration or retention falls short</w:t>
      </w:r>
    </w:p>
    <w:p>
      <w:pPr>
        <w:pStyle w:val="Compact"/>
        <w:numPr>
          <w:ilvl w:val="0"/>
          <w:numId w:val="1012"/>
        </w:numPr>
      </w:pPr>
      <w:r>
        <w:t xml:space="preserve">Management becomes less confident in 5.5% full-year Brokerage organic growth or 40–60 basis points of underlying margin expansion</w:t>
      </w:r>
    </w:p>
    <w:bookmarkEnd w:id="28"/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AJG’s Q2 report is primarily an</w:t>
      </w:r>
      <w:r>
        <w:t xml:space="preserve"> </w:t>
      </w:r>
      <w:r>
        <w:rPr>
          <w:b/>
          <w:bCs/>
        </w:rPr>
        <w:t xml:space="preserve">execution and quality-of-growth test</w:t>
      </w:r>
      <w:r>
        <w:t xml:space="preserve">. Reported revenue and EPS should rise substantially because AssuredPartners is now consolidated, but investors should focus on three cleaner signals: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Can core Brokerage organic growth hold near 5% despite property deflation?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Can Gallagher Bassett deliver its expected 11% growth with stable-to-improving margins?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Does AssuredPartners remain on or ahead of plan on EBITDAC, integration and synergies?</w:t>
      </w:r>
    </w:p>
    <w:p>
      <w:pPr>
        <w:pStyle w:val="FirstParagraph"/>
      </w:pPr>
      <w:r>
        <w:t xml:space="preserve">A result matching those targets, combined with continued confidence in second-half acceleration, would support the thesis that AJG can compound through a softer insurance-pricing cycle. The main downside risk is not a small EPS miss—it is evidence that falling property premiums are beginning to overpower AJG’s new-business, fee and diversification advantages.</w:t>
      </w:r>
    </w:p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https://investor.ajg.com/news/news-details/2025/Arthur-J--Gallagher--Co--Announces-Second-Quarter-2025-Financial-Results/default.aspx" TargetMode="External" /><Relationship Type="http://schemas.openxmlformats.org/officeDocument/2006/relationships/hyperlink" Id="rId9" Target="https://investor.ajg.com/news/news-details/2026/Arthur-J--Gallagher--Co--Announces-Second-Quarter-2026-Earnings-Release-And-Conference-Call-Date/default.aspx?utm_source=openai" TargetMode="External" /><Relationship Type="http://schemas.openxmlformats.org/officeDocument/2006/relationships/hyperlink" Id="rId13" Target="https://static.seekingalpha.com/uploads/sa_presentations/462/130462/original.pdf" TargetMode="External" /><Relationship Type="http://schemas.openxmlformats.org/officeDocument/2006/relationships/hyperlink" Id="rId11" Target="https://www.barchart.com/stocks/quotes/AJG/earnings-estima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investor.ajg.com/news/news-details/2025/Arthur-J--Gallagher--Co--Announces-Second-Quarter-2025-Financial-Results/default.aspx" TargetMode="External" /><Relationship Type="http://schemas.openxmlformats.org/officeDocument/2006/relationships/hyperlink" Id="rId9" Target="https://investor.ajg.com/news/news-details/2026/Arthur-J--Gallagher--Co--Announces-Second-Quarter-2026-Earnings-Release-And-Conference-Call-Date/default.aspx?utm_source=openai" TargetMode="External" /><Relationship Type="http://schemas.openxmlformats.org/officeDocument/2006/relationships/hyperlink" Id="rId13" Target="https://static.seekingalpha.com/uploads/sa_presentations/462/130462/original.pdf" TargetMode="External" /><Relationship Type="http://schemas.openxmlformats.org/officeDocument/2006/relationships/hyperlink" Id="rId11" Target="https://www.barchart.com/stocks/quotes/AJG/earnings-estima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2026-07-29T19:37:13Z</dcterms:created>
  <dcterms:modified xsi:type="dcterms:W3CDTF">2026-07-29T19:37:13Z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