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f5e5bec64eaae0267b2636a2a8b7c5e53efd9e"/>
    <w:p>
      <w:pPr>
        <w:pStyle w:val="Heading1"/>
      </w:pPr>
      <w:r>
        <w:t xml:space="preserve">Arthur J. Gallagher (NYSE: AJG) — 2Q26 Earnings Preview</w:t>
      </w:r>
    </w:p>
    <w:p>
      <w:pPr>
        <w:pStyle w:val="FirstParagraph"/>
      </w:pPr>
      <w:r>
        <w:rPr>
          <w:b/>
          <w:bCs/>
        </w:rPr>
        <w:t xml:space="preserve">Event:</w:t>
      </w:r>
      <w:r>
        <w:t xml:space="preserve"> </w:t>
      </w:r>
      <w:r>
        <w:t xml:space="preserve">2026Q2 earnings call —</w:t>
      </w:r>
      <w:r>
        <w:t xml:space="preserve"> </w:t>
      </w:r>
      <w:r>
        <w:rPr>
          <w:b/>
          <w:bCs/>
        </w:rPr>
        <w:t xml:space="preserve">Thursday, July 30, 2026</w:t>
      </w:r>
      <w:r>
        <w:br/>
      </w:r>
      <w:r>
        <w:rPr>
          <w:b/>
          <w:bCs/>
        </w:rPr>
        <w:t xml:space="preserve">Core setup:</w:t>
      </w:r>
      <w:r>
        <w:t xml:space="preserve"> </w:t>
      </w:r>
      <w:r>
        <w:t xml:space="preserve">AJG enters the quarter with a well-telegraphed operational backdrop: roughly</w:t>
      </w:r>
      <w:r>
        <w:t xml:space="preserve"> </w:t>
      </w:r>
      <w:r>
        <w:rPr>
          <w:b/>
          <w:bCs/>
        </w:rPr>
        <w:t xml:space="preserve">5% Brokerage organic growth</w:t>
      </w:r>
      <w:r>
        <w:t xml:space="preserve"> </w:t>
      </w:r>
      <w:r>
        <w:t xml:space="preserve">and</w:t>
      </w:r>
      <w:r>
        <w:t xml:space="preserve"> </w:t>
      </w:r>
      <w:r>
        <w:rPr>
          <w:b/>
          <w:bCs/>
        </w:rPr>
        <w:t xml:space="preserve">11% Risk Management organic growth</w:t>
      </w:r>
      <w:r>
        <w:t xml:space="preserve"> </w:t>
      </w:r>
      <w:r>
        <w:t xml:space="preserve">are management’s stated mid-quarter expectations. The investment debate is less about whether the company grows and more about whether it can sustain mid-single-digit organic growth and margin expansion as property pricing softens, while demonstrating that the AssuredPartners integration is generating more value than initially underwritten.</w:t>
      </w:r>
    </w:p>
    <w:bookmarkStart w:id="13" w:name="what-matters-most-this-quarter"/>
    <w:p>
      <w:pPr>
        <w:pStyle w:val="Heading2"/>
      </w:pPr>
      <w:r>
        <w:t xml:space="preserve">What matters most this quarter</w:t>
      </w:r>
    </w:p>
    <w:bookmarkStart w:id="9" w:name="Xbd25e1bdd71408f80552e6ecd2745e1acf18e77"/>
    <w:p>
      <w:pPr>
        <w:pStyle w:val="Heading3"/>
      </w:pPr>
      <w:r>
        <w:t xml:space="preserve">1. Brokerage organic growth: can AJG deliver the guided ~5% despite property deflation?</w:t>
      </w:r>
    </w:p>
    <w:p>
      <w:pPr>
        <w:pStyle w:val="FirstParagraph"/>
      </w:pPr>
      <w:r>
        <w:t xml:space="preserve">At its June 17 investor meeting, management reaffirmed expectations for approximately</w:t>
      </w:r>
      <w:r>
        <w:t xml:space="preserve"> </w:t>
      </w:r>
      <w:r>
        <w:rPr>
          <w:b/>
          <w:bCs/>
        </w:rPr>
        <w:t xml:space="preserve">5% Brokerage organic growth in 2Q</w:t>
      </w:r>
      <w:r>
        <w:t xml:space="preserve"> </w:t>
      </w:r>
      <w:r>
        <w:t xml:space="preserve">and approximately</w:t>
      </w:r>
      <w:r>
        <w:t xml:space="preserve"> </w:t>
      </w:r>
      <w:r>
        <w:rPr>
          <w:b/>
          <w:bCs/>
        </w:rPr>
        <w:t xml:space="preserve">5.5% for full-year 2026</w:t>
      </w:r>
      <w:r>
        <w:t xml:space="preserve">.</w:t>
      </w:r>
    </w:p>
    <w:p>
      <w:pPr>
        <w:pStyle w:val="BodyText"/>
      </w:pPr>
      <w:r>
        <w:t xml:space="preserve">The principal concern is property pricing. Through the first two months of 2Q, AJG reported:</w:t>
      </w:r>
    </w:p>
    <w:p>
      <w:pPr>
        <w:pStyle w:val="Compact"/>
        <w:numPr>
          <w:ilvl w:val="0"/>
          <w:numId w:val="1001"/>
        </w:numPr>
      </w:pPr>
      <w:r>
        <w:rPr>
          <w:b/>
          <w:bCs/>
        </w:rPr>
        <w:t xml:space="preserve">Property renewal premiums down 9% overall</w:t>
      </w:r>
      <w:r>
        <w:t xml:space="preserve">; U.S. retail property down</w:t>
      </w:r>
      <w:r>
        <w:t xml:space="preserve"> </w:t>
      </w:r>
      <w:r>
        <w:rPr>
          <w:b/>
          <w:bCs/>
        </w:rPr>
        <w:t xml:space="preserve">11%</w:t>
      </w:r>
    </w:p>
    <w:p>
      <w:pPr>
        <w:pStyle w:val="Compact"/>
        <w:numPr>
          <w:ilvl w:val="0"/>
          <w:numId w:val="1001"/>
        </w:numPr>
      </w:pPr>
      <w:r>
        <w:rPr>
          <w:b/>
          <w:bCs/>
        </w:rPr>
        <w:t xml:space="preserve">Casualty renewal premiums up 5% overall</w:t>
      </w:r>
    </w:p>
    <w:p>
      <w:pPr>
        <w:pStyle w:val="Compact"/>
        <w:numPr>
          <w:ilvl w:val="0"/>
          <w:numId w:val="1001"/>
        </w:numPr>
      </w:pPr>
      <w:r>
        <w:t xml:space="preserve">Ex-property renewal premium change up approximately</w:t>
      </w:r>
      <w:r>
        <w:t xml:space="preserve"> </w:t>
      </w:r>
      <w:r>
        <w:rPr>
          <w:b/>
          <w:bCs/>
        </w:rPr>
        <w:t xml:space="preserve">3%</w:t>
      </w:r>
    </w:p>
    <w:p>
      <w:pPr>
        <w:pStyle w:val="Compact"/>
        <w:numPr>
          <w:ilvl w:val="0"/>
          <w:numId w:val="1001"/>
        </w:numPr>
      </w:pPr>
      <w:r>
        <w:t xml:space="preserve">U.S. retail P&amp;C renewal premium change down roughly</w:t>
      </w:r>
      <w:r>
        <w:t xml:space="preserve"> </w:t>
      </w:r>
      <w:r>
        <w:rPr>
          <w:b/>
          <w:bCs/>
        </w:rPr>
        <w:t xml:space="preserve">2%</w:t>
      </w:r>
      <w:r>
        <w:t xml:space="preserve">, but management said underlying</w:t>
      </w:r>
      <w:r>
        <w:t xml:space="preserve"> </w:t>
      </w:r>
      <w:r>
        <w:rPr>
          <w:b/>
          <w:bCs/>
        </w:rPr>
        <w:t xml:space="preserve">renewal revenue remained positive</w:t>
      </w:r>
    </w:p>
    <w:p>
      <w:pPr>
        <w:pStyle w:val="FirstParagraph"/>
      </w:pPr>
      <w:r>
        <w:t xml:space="preserve">The key distinction is that premium declines should not translate one-for-one into brokerage revenue pressure. Larger and catastrophe-exposed property accounts are frequently fee-based, while retention, exposure growth, added limits/coverage, stronger commissions, and new business can offset lower premium rates. Management has framed rate as only about</w:t>
      </w:r>
      <w:r>
        <w:t xml:space="preserve"> </w:t>
      </w:r>
      <w:r>
        <w:rPr>
          <w:b/>
          <w:bCs/>
        </w:rPr>
        <w:t xml:space="preserve">one percentage point</w:t>
      </w:r>
      <w:r>
        <w:t xml:space="preserve"> </w:t>
      </w:r>
      <w:r>
        <w:t xml:space="preserve">of its current organic-growth outlook, with market-share gains, client exposures, and customer “opt-in” behavior doing more of the work.</w:t>
      </w:r>
    </w:p>
    <w:p>
      <w:pPr>
        <w:pStyle w:val="BodyText"/>
      </w:pPr>
      <w:r>
        <w:rPr>
          <w:b/>
          <w:bCs/>
        </w:rPr>
        <w:t xml:space="preserve">What investors should watch:</w:t>
      </w:r>
    </w:p>
    <w:p>
      <w:pPr>
        <w:pStyle w:val="Compact"/>
        <w:numPr>
          <w:ilvl w:val="0"/>
          <w:numId w:val="1002"/>
        </w:numPr>
      </w:pPr>
      <w:r>
        <w:t xml:space="preserve">Whether total Brokerage organic growth reaches or exceeds 5%</w:t>
      </w:r>
    </w:p>
    <w:p>
      <w:pPr>
        <w:pStyle w:val="Compact"/>
        <w:numPr>
          <w:ilvl w:val="0"/>
          <w:numId w:val="1002"/>
        </w:numPr>
      </w:pPr>
      <w:r>
        <w:t xml:space="preserve">Commentary on the trajectory of property pricing after the heavy spring renewal season</w:t>
      </w:r>
    </w:p>
    <w:p>
      <w:pPr>
        <w:pStyle w:val="Compact"/>
        <w:numPr>
          <w:ilvl w:val="0"/>
          <w:numId w:val="1002"/>
        </w:numPr>
      </w:pPr>
      <w:r>
        <w:t xml:space="preserve">Organic growth by retail, wholesale/specialty, reinsurance, benefits, and international operations</w:t>
      </w:r>
    </w:p>
    <w:p>
      <w:pPr>
        <w:pStyle w:val="Compact"/>
        <w:numPr>
          <w:ilvl w:val="0"/>
          <w:numId w:val="1002"/>
        </w:numPr>
      </w:pPr>
      <w:r>
        <w:t xml:space="preserve">The pace of supplemental and contingent revenue, which management has suggested may outgrow base commissions</w:t>
      </w:r>
    </w:p>
    <w:p>
      <w:pPr>
        <w:pStyle w:val="FirstParagraph"/>
      </w:pPr>
      <w:r>
        <w:t xml:space="preserve">A result around 5% likely validates the durability argument. A miss would likely rekindle concern that soft property conditions are reaching revenue faster than anticipated.</w:t>
      </w:r>
    </w:p>
    <w:p>
      <w:r>
        <w:pict>
          <v:rect style="width:0;height:1.5pt" o:hralign="center" o:hrstd="t" o:hr="t"/>
        </w:pict>
      </w:r>
    </w:p>
    <w:bookmarkEnd w:id="9"/>
    <w:bookmarkStart w:id="10" w:name="X0a31e97fbc5781844637cde306f300529f0ff8d"/>
    <w:p>
      <w:pPr>
        <w:pStyle w:val="Heading3"/>
      </w:pPr>
      <w:r>
        <w:t xml:space="preserve">2. Gallagher Bassett is positioned to be the upside growth contributor</w:t>
      </w:r>
    </w:p>
    <w:p>
      <w:pPr>
        <w:pStyle w:val="FirstParagraph"/>
      </w:pPr>
      <w:r>
        <w:t xml:space="preserve">AJG’s Risk Management segment—Gallagher Bassett—has the clearest near-term organic-growth setup. Management increased its 2Q organic-growth outlook to</w:t>
      </w:r>
      <w:r>
        <w:t xml:space="preserve"> </w:t>
      </w:r>
      <w:r>
        <w:rPr>
          <w:b/>
          <w:bCs/>
        </w:rPr>
        <w:t xml:space="preserve">11%</w:t>
      </w:r>
      <w:r>
        <w:t xml:space="preserve">, from</w:t>
      </w:r>
      <w:r>
        <w:t xml:space="preserve"> </w:t>
      </w:r>
      <w:r>
        <w:rPr>
          <w:b/>
          <w:bCs/>
        </w:rPr>
        <w:t xml:space="preserve">10% organic growth in 1Q</w:t>
      </w:r>
      <w:r>
        <w:t xml:space="preserve">, driven by large new-business wins and international growth. Full-year organic growth is now expected to be about</w:t>
      </w:r>
      <w:r>
        <w:t xml:space="preserve"> </w:t>
      </w:r>
      <w:r>
        <w:rPr>
          <w:b/>
          <w:bCs/>
        </w:rPr>
        <w:t xml:space="preserve">8%</w:t>
      </w:r>
      <w:r>
        <w:t xml:space="preserve">.</w:t>
      </w:r>
    </w:p>
    <w:p>
      <w:pPr>
        <w:pStyle w:val="BodyText"/>
      </w:pPr>
      <w:r>
        <w:t xml:space="preserve">This matters disproportionately for the narrative because Gallagher Bassett is less exposed to the insurance-pricing cycle than brokerage. It also has a credible margin and AI-productivity story: management expects</w:t>
      </w:r>
      <w:r>
        <w:t xml:space="preserve"> </w:t>
      </w:r>
      <w:r>
        <w:rPr>
          <w:b/>
          <w:bCs/>
        </w:rPr>
        <w:t xml:space="preserve">21%–22% EBITDAC margins</w:t>
      </w:r>
      <w:r>
        <w:t xml:space="preserve"> </w:t>
      </w:r>
      <w:r>
        <w:t xml:space="preserve">in both 2Q and FY26, with additional long-term expansion from scale and workflow automation.</w:t>
      </w:r>
    </w:p>
    <w:p>
      <w:pPr>
        <w:pStyle w:val="BodyText"/>
      </w:pPr>
      <w:r>
        <w:t xml:space="preserve">The company highlighted that its fraud-detection capabilities saved one client more than</w:t>
      </w:r>
      <w:r>
        <w:t xml:space="preserve"> </w:t>
      </w:r>
      <w:r>
        <w:rPr>
          <w:b/>
          <w:bCs/>
        </w:rPr>
        <w:t xml:space="preserve">$100 million</w:t>
      </w:r>
      <w:r>
        <w:t xml:space="preserve">, a tangible proof point for its AI-enabled claims platform. While that does not necessarily translate directly into near-term financial upside, it supports the differentiation and new-business case.</w:t>
      </w:r>
    </w:p>
    <w:p>
      <w:pPr>
        <w:pStyle w:val="BodyText"/>
      </w:pPr>
      <w:r>
        <w:rPr>
          <w:b/>
          <w:bCs/>
        </w:rPr>
        <w:t xml:space="preserve">What investors should watch:</w:t>
      </w:r>
    </w:p>
    <w:p>
      <w:pPr>
        <w:pStyle w:val="Compact"/>
        <w:numPr>
          <w:ilvl w:val="0"/>
          <w:numId w:val="1003"/>
        </w:numPr>
      </w:pPr>
      <w:r>
        <w:t xml:space="preserve">Organic growth versus the 11% expectation</w:t>
      </w:r>
    </w:p>
    <w:p>
      <w:pPr>
        <w:pStyle w:val="Compact"/>
        <w:numPr>
          <w:ilvl w:val="0"/>
          <w:numId w:val="1003"/>
        </w:numPr>
      </w:pPr>
      <w:r>
        <w:t xml:space="preserve">Margin progression versus the 21%–22% framework</w:t>
      </w:r>
    </w:p>
    <w:p>
      <w:pPr>
        <w:pStyle w:val="Compact"/>
        <w:numPr>
          <w:ilvl w:val="0"/>
          <w:numId w:val="1003"/>
        </w:numPr>
      </w:pPr>
      <w:r>
        <w:t xml:space="preserve">Evidence that carrier outsourcing, large commercial wins, and international expansion are broadening the growth runway</w:t>
      </w:r>
    </w:p>
    <w:p>
      <w:r>
        <w:pict>
          <v:rect style="width:0;height:1.5pt" o:hralign="center" o:hrstd="t" o:hr="t"/>
        </w:pict>
      </w:r>
    </w:p>
    <w:bookmarkEnd w:id="10"/>
    <w:bookmarkStart w:id="11" w:name="X469a79d505bcf60fc235633d6beb6cd3790183c"/>
    <w:p>
      <w:pPr>
        <w:pStyle w:val="Heading3"/>
      </w:pPr>
      <w:r>
        <w:t xml:space="preserve">3. AssuredPartners: integration and synergies are the biggest strategic catalyst</w:t>
      </w:r>
    </w:p>
    <w:p>
      <w:pPr>
        <w:pStyle w:val="FirstParagraph"/>
      </w:pPr>
      <w:r>
        <w:t xml:space="preserve">AssuredPartners is now the central driver of AJG’s reported revenue growth, integration costs, leverage profile, and eventual margin upside.</w:t>
      </w:r>
    </w:p>
    <w:p>
      <w:pPr>
        <w:pStyle w:val="BodyText"/>
      </w:pPr>
      <w:r>
        <w:t xml:space="preserve">The June update was constructive:</w:t>
      </w:r>
    </w:p>
    <w:p>
      <w:pPr>
        <w:pStyle w:val="Compact"/>
        <w:numPr>
          <w:ilvl w:val="0"/>
          <w:numId w:val="1004"/>
        </w:numPr>
      </w:pPr>
      <w:r>
        <w:t xml:space="preserve">Nearly all back-office systems and processes were said to be implemented</w:t>
      </w:r>
    </w:p>
    <w:p>
      <w:pPr>
        <w:pStyle w:val="Compact"/>
        <w:numPr>
          <w:ilvl w:val="0"/>
          <w:numId w:val="1004"/>
        </w:numPr>
      </w:pPr>
      <w:r>
        <w:t xml:space="preserve">Vendor and real-estate consolidations are reportedly</w:t>
      </w:r>
      <w:r>
        <w:t xml:space="preserve"> </w:t>
      </w:r>
      <w:r>
        <w:rPr>
          <w:b/>
          <w:bCs/>
        </w:rPr>
        <w:t xml:space="preserve">ahead of plan</w:t>
      </w:r>
    </w:p>
    <w:p>
      <w:pPr>
        <w:pStyle w:val="Compact"/>
        <w:numPr>
          <w:ilvl w:val="0"/>
          <w:numId w:val="1004"/>
        </w:numPr>
      </w:pPr>
      <w:r>
        <w:t xml:space="preserve">The bulk of approximately 300 branches are scheduled to migrate to AJG’s agency-management systems from</w:t>
      </w:r>
      <w:r>
        <w:t xml:space="preserve"> </w:t>
      </w:r>
      <w:r>
        <w:rPr>
          <w:b/>
          <w:bCs/>
        </w:rPr>
        <w:t xml:space="preserve">2H26 through mid-2027</w:t>
      </w:r>
    </w:p>
    <w:p>
      <w:pPr>
        <w:pStyle w:val="Compact"/>
        <w:numPr>
          <w:ilvl w:val="0"/>
          <w:numId w:val="1004"/>
        </w:numPr>
      </w:pPr>
      <w:r>
        <w:t xml:space="preserve">Annualized run-rate synergy potential was raised to</w:t>
      </w:r>
      <w:r>
        <w:t xml:space="preserve"> </w:t>
      </w:r>
      <w:r>
        <w:rPr>
          <w:b/>
          <w:bCs/>
        </w:rPr>
        <w:t xml:space="preserve">up to $325 million by early 2028</w:t>
      </w:r>
      <w:r>
        <w:t xml:space="preserve">, from $300 million previously and far above the original $160 million estimate at announcement</w:t>
      </w:r>
    </w:p>
    <w:p>
      <w:pPr>
        <w:pStyle w:val="Compact"/>
        <w:numPr>
          <w:ilvl w:val="0"/>
          <w:numId w:val="1004"/>
        </w:numPr>
      </w:pPr>
      <w:r>
        <w:t xml:space="preserve">Management said AssuredPartners’</w:t>
      </w:r>
      <w:r>
        <w:t xml:space="preserve"> </w:t>
      </w:r>
      <w:r>
        <w:rPr>
          <w:b/>
          <w:bCs/>
        </w:rPr>
        <w:t xml:space="preserve">2Q and FY26 EBITDAC outlook was unchanged</w:t>
      </w:r>
    </w:p>
    <w:p>
      <w:pPr>
        <w:pStyle w:val="FirstParagraph"/>
      </w:pPr>
      <w:r>
        <w:t xml:space="preserve">This is the most important long-duration earnings lever. AJG is buying a large revenue base, but the value-creation case rests on producer enablement, carrier economics, technology migration, cost synergies, cross-selling, and margin improvement.</w:t>
      </w:r>
    </w:p>
    <w:p>
      <w:pPr>
        <w:pStyle w:val="BodyText"/>
      </w:pPr>
      <w:r>
        <w:t xml:space="preserve">There is one important modeling wrinkle: reported AssuredPartners revenue estimates have moved lower because AJG is converting certain co-broker arrangements from gross revenue/gross expense presentation to a net presentation. Management has emphasized that this is</w:t>
      </w:r>
      <w:r>
        <w:t xml:space="preserve"> </w:t>
      </w:r>
      <w:r>
        <w:rPr>
          <w:b/>
          <w:bCs/>
        </w:rPr>
        <w:t xml:space="preserve">accounting geography rather than cash-flow deterioration</w:t>
      </w:r>
      <w:r>
        <w:t xml:space="preserve">, because EBITDAC expectations are unchanged.</w:t>
      </w:r>
    </w:p>
    <w:p>
      <w:pPr>
        <w:pStyle w:val="BodyText"/>
      </w:pPr>
      <w:r>
        <w:rPr>
          <w:b/>
          <w:bCs/>
        </w:rPr>
        <w:t xml:space="preserve">What investors should watch:</w:t>
      </w:r>
    </w:p>
    <w:p>
      <w:pPr>
        <w:pStyle w:val="Compact"/>
        <w:numPr>
          <w:ilvl w:val="0"/>
          <w:numId w:val="1005"/>
        </w:numPr>
      </w:pPr>
      <w:r>
        <w:t xml:space="preserve">Any increase to synergy targets or acceleration in realization timing</w:t>
      </w:r>
    </w:p>
    <w:p>
      <w:pPr>
        <w:pStyle w:val="Compact"/>
        <w:numPr>
          <w:ilvl w:val="0"/>
          <w:numId w:val="1005"/>
        </w:numPr>
      </w:pPr>
      <w:r>
        <w:t xml:space="preserve">Producer and client-retention commentary</w:t>
      </w:r>
    </w:p>
    <w:p>
      <w:pPr>
        <w:pStyle w:val="Compact"/>
        <w:numPr>
          <w:ilvl w:val="0"/>
          <w:numId w:val="1005"/>
        </w:numPr>
      </w:pPr>
      <w:r>
        <w:t xml:space="preserve">AssuredPartners’ contribution to Brokerage margins</w:t>
      </w:r>
    </w:p>
    <w:p>
      <w:pPr>
        <w:pStyle w:val="Compact"/>
        <w:numPr>
          <w:ilvl w:val="0"/>
          <w:numId w:val="1005"/>
        </w:numPr>
      </w:pPr>
      <w:r>
        <w:t xml:space="preserve">Whether management begins to quantify revenue synergies or cross-sell wins more clearly</w:t>
      </w:r>
    </w:p>
    <w:p>
      <w:r>
        <w:pict>
          <v:rect style="width:0;height:1.5pt" o:hralign="center" o:hrstd="t" o:hr="t"/>
        </w:pict>
      </w:r>
    </w:p>
    <w:bookmarkEnd w:id="11"/>
    <w:bookmarkStart w:id="12" w:name="X91926752e244404d12e9f4ebc0651f246ca37f3"/>
    <w:p>
      <w:pPr>
        <w:pStyle w:val="Heading3"/>
      </w:pPr>
      <w:r>
        <w:t xml:space="preserve">4. Margin performance must be assessed beneath a noisy year-over-year comparison</w:t>
      </w:r>
    </w:p>
    <w:p>
      <w:pPr>
        <w:pStyle w:val="FirstParagraph"/>
      </w:pPr>
      <w:r>
        <w:t xml:space="preserve">AJG’s headline 2Q year-over-year comparisons are distorted by a large prior-year investment-income benefit. In 2Q25, the company earned about</w:t>
      </w:r>
      <w:r>
        <w:t xml:space="preserve"> </w:t>
      </w:r>
      <w:r>
        <w:rPr>
          <w:b/>
          <w:bCs/>
        </w:rPr>
        <w:t xml:space="preserve">$144 million of interest income</w:t>
      </w:r>
      <w:r>
        <w:t xml:space="preserve"> </w:t>
      </w:r>
      <w:r>
        <w:t xml:space="preserve">on cash held ahead of the AssuredPartners acquisition. That income does not recur in 2Q26.</w:t>
      </w:r>
    </w:p>
    <w:p>
      <w:pPr>
        <w:pStyle w:val="BodyText"/>
      </w:pPr>
      <w:r>
        <w:t xml:space="preserve">Accordingly, investors should focus less on reported margin comparisons and more on AJG’s underlying margin bridge. Management continues to expect</w:t>
      </w:r>
      <w:r>
        <w:t xml:space="preserve"> </w:t>
      </w:r>
      <w:r>
        <w:rPr>
          <w:b/>
          <w:bCs/>
        </w:rPr>
        <w:t xml:space="preserve">40–60 basis points of full-year underlying Brokerage margin expansion</w:t>
      </w:r>
      <w:r>
        <w:t xml:space="preserve">, driven by productivity initiatives, scale, AssuredPartners roll-in, and early synergy capture.</w:t>
      </w:r>
    </w:p>
    <w:p>
      <w:pPr>
        <w:pStyle w:val="BodyText"/>
      </w:pPr>
      <w:r>
        <w:t xml:space="preserve">In 1Q, the company delivered</w:t>
      </w:r>
      <w:r>
        <w:t xml:space="preserve"> </w:t>
      </w:r>
      <w:r>
        <w:rPr>
          <w:b/>
          <w:bCs/>
        </w:rPr>
        <w:t xml:space="preserve">50 bps of underlying Brokerage margin expansion</w:t>
      </w:r>
      <w:r>
        <w:t xml:space="preserve">, even as the reported adjusted EBITDAC margin appeared pressured by the prior-year financing-related interest income comparison.</w:t>
      </w:r>
    </w:p>
    <w:p>
      <w:pPr>
        <w:pStyle w:val="BodyText"/>
      </w:pPr>
      <w:r>
        <w:rPr>
          <w:b/>
          <w:bCs/>
        </w:rPr>
        <w:t xml:space="preserve">What investors should watch:</w:t>
      </w:r>
    </w:p>
    <w:p>
      <w:pPr>
        <w:pStyle w:val="Compact"/>
        <w:numPr>
          <w:ilvl w:val="0"/>
          <w:numId w:val="1006"/>
        </w:numPr>
      </w:pPr>
      <w:r>
        <w:t xml:space="preserve">Confirmation of the 40–60 bps full-year underlying margin outlook</w:t>
      </w:r>
    </w:p>
    <w:p>
      <w:pPr>
        <w:pStyle w:val="Compact"/>
        <w:numPr>
          <w:ilvl w:val="0"/>
          <w:numId w:val="1006"/>
        </w:numPr>
      </w:pPr>
      <w:r>
        <w:t xml:space="preserve">Progress on compensation and operating-expense ratios</w:t>
      </w:r>
    </w:p>
    <w:p>
      <w:pPr>
        <w:pStyle w:val="Compact"/>
        <w:numPr>
          <w:ilvl w:val="0"/>
          <w:numId w:val="1006"/>
        </w:numPr>
      </w:pPr>
      <w:r>
        <w:t xml:space="preserve">The degree to which AssuredPartners contributes to expansion versus integration-related noise</w:t>
      </w:r>
    </w:p>
    <w:p>
      <w:pPr>
        <w:pStyle w:val="Compact"/>
        <w:numPr>
          <w:ilvl w:val="0"/>
          <w:numId w:val="1006"/>
        </w:numPr>
      </w:pPr>
      <w:r>
        <w:t xml:space="preserve">Any change in expected technology, real-estate, workforce, or integration costs</w:t>
      </w:r>
    </w:p>
    <w:p>
      <w:r>
        <w:pict>
          <v:rect style="width:0;height:1.5pt" o:hralign="center" o:hrstd="t" o:hr="t"/>
        </w:pict>
      </w:r>
    </w:p>
    <w:bookmarkEnd w:id="12"/>
    <w:bookmarkEnd w:id="13"/>
    <w:bookmarkStart w:id="17" w:name="other-items-likely-to-matter-on-the-call"/>
    <w:p>
      <w:pPr>
        <w:pStyle w:val="Heading2"/>
      </w:pPr>
      <w:r>
        <w:t xml:space="preserve">Other items likely to matter on the call</w:t>
      </w:r>
    </w:p>
    <w:bookmarkStart w:id="14" w:name="reinsurance-seasonality-and-71-renewals"/>
    <w:p>
      <w:pPr>
        <w:pStyle w:val="Heading3"/>
      </w:pPr>
      <w:r>
        <w:t xml:space="preserve">Reinsurance seasonality and 7/1 renewals</w:t>
      </w:r>
    </w:p>
    <w:p>
      <w:pPr>
        <w:pStyle w:val="FirstParagraph"/>
      </w:pPr>
      <w:r>
        <w:t xml:space="preserve">Gallagher Re is meaningful in the first half because of renewal timing. Management characterized the reinsurance market as well capitalized, with continued property and specialty rate pressure but stable casualty pricing. It has remained bullish on its growth outlook, emphasizing new business, advisory demand, alternative capital, and talent gains rather than rate.</w:t>
      </w:r>
    </w:p>
    <w:p>
      <w:pPr>
        <w:pStyle w:val="BodyText"/>
      </w:pPr>
      <w:r>
        <w:t xml:space="preserve">The upcoming 7/1 renewal activity could affect the quarterly mix and help explain the expected pickup in Brokerage growth in the back half. Management has indicated that 3Q could be modestly stronger than 4Q, but not dramatically so.</w:t>
      </w:r>
    </w:p>
    <w:bookmarkEnd w:id="14"/>
    <w:bookmarkStart w:id="15" w:name="benefits-remains-steady-not-spectacular"/>
    <w:p>
      <w:pPr>
        <w:pStyle w:val="Heading3"/>
      </w:pPr>
      <w:r>
        <w:t xml:space="preserve">Benefits remains steady, not spectacular</w:t>
      </w:r>
    </w:p>
    <w:p>
      <w:pPr>
        <w:pStyle w:val="FirstParagraph"/>
      </w:pPr>
      <w:r>
        <w:t xml:space="preserve">AJG expects approximately</w:t>
      </w:r>
      <w:r>
        <w:t xml:space="preserve"> </w:t>
      </w:r>
      <w:r>
        <w:rPr>
          <w:b/>
          <w:bCs/>
        </w:rPr>
        <w:t xml:space="preserve">3% organic growth in benefits for 2Q</w:t>
      </w:r>
      <w:r>
        <w:t xml:space="preserve"> </w:t>
      </w:r>
      <w:r>
        <w:t xml:space="preserve">and</w:t>
      </w:r>
      <w:r>
        <w:t xml:space="preserve"> </w:t>
      </w:r>
      <w:r>
        <w:rPr>
          <w:b/>
          <w:bCs/>
        </w:rPr>
        <w:t xml:space="preserve">4% for FY26</w:t>
      </w:r>
      <w:r>
        <w:t xml:space="preserve">. The segment benefits from persistent healthcare-cost inflation, pharmacy-cost pressures, and employers’ need for plan-design and cost-management advice. This should be a stable contributor, but it is unlikely to be the primary source of an upside surprise.</w:t>
      </w:r>
    </w:p>
    <w:bookmarkEnd w:id="15"/>
    <w:bookmarkStart w:id="16" w:name="ma-pipeline-and-capital-allocation"/>
    <w:p>
      <w:pPr>
        <w:pStyle w:val="Heading3"/>
      </w:pPr>
      <w:r>
        <w:t xml:space="preserve">M&amp;A pipeline and capital allocation</w:t>
      </w:r>
    </w:p>
    <w:p>
      <w:pPr>
        <w:pStyle w:val="FirstParagraph"/>
      </w:pPr>
      <w:r>
        <w:t xml:space="preserve">AJG completed 15 mergers totaling roughly</w:t>
      </w:r>
      <w:r>
        <w:t xml:space="preserve"> </w:t>
      </w:r>
      <m:oMath>
        <m:r>
          <m:t>115</m:t>
        </m:r>
        <m:r>
          <m:t>m</m:t>
        </m:r>
        <m:r>
          <m:t>i</m:t>
        </m:r>
        <m:r>
          <m:t>l</m:t>
        </m:r>
        <m:r>
          <m:t>l</m:t>
        </m:r>
        <m:r>
          <m:t>i</m:t>
        </m:r>
        <m:r>
          <m:t>o</m:t>
        </m:r>
        <m:r>
          <m:t>n</m:t>
        </m:r>
        <m:r>
          <m:t>o</m:t>
        </m:r>
        <m:r>
          <m:t>f</m:t>
        </m:r>
        <m:r>
          <m:t>a</m:t>
        </m:r>
        <m:r>
          <m:t>n</m:t>
        </m:r>
        <m:r>
          <m:t>n</m:t>
        </m:r>
        <m:r>
          <m:t>u</m:t>
        </m:r>
        <m:r>
          <m:t>a</m:t>
        </m:r>
        <m:r>
          <m:t>l</m:t>
        </m:r>
        <m:r>
          <m:t>i</m:t>
        </m:r>
        <m:r>
          <m:t>z</m:t>
        </m:r>
        <m:r>
          <m:t>e</m:t>
        </m:r>
        <m:r>
          <m:t>d</m:t>
        </m:r>
        <m:r>
          <m:t>r</m:t>
        </m:r>
        <m:r>
          <m:t>e</m:t>
        </m:r>
        <m:r>
          <m:t>v</m:t>
        </m:r>
        <m:r>
          <m:t>e</m:t>
        </m:r>
        <m:r>
          <m:t>n</m:t>
        </m:r>
        <m:r>
          <m:t>u</m:t>
        </m:r>
        <m:r>
          <m:t>e</m:t>
        </m:r>
        <m:r>
          <m:rPr>
            <m:sty m:val="p"/>
          </m:rPr>
          <m:t>*</m:t>
        </m:r>
        <m:r>
          <m:rPr>
            <m:sty m:val="p"/>
          </m:rPr>
          <m:t>*</m:t>
        </m:r>
        <m:r>
          <m:t>t</m:t>
        </m:r>
        <m:r>
          <m:t>h</m:t>
        </m:r>
        <m:r>
          <m:t>r</m:t>
        </m:r>
        <m:r>
          <m:t>o</m:t>
        </m:r>
        <m:r>
          <m:t>u</m:t>
        </m:r>
        <m:r>
          <m:t>g</m:t>
        </m:r>
        <m:r>
          <m:t>h</m:t>
        </m:r>
        <m:r>
          <m:t>m</m:t>
        </m:r>
        <m:r>
          <m:t>i</m:t>
        </m:r>
        <m:r>
          <m:t>d</m:t>
        </m:r>
        <m:r>
          <m:rPr>
            <m:sty m:val="p"/>
          </m:rPr>
          <m:t>−</m:t>
        </m:r>
        <m:r>
          <m:t>J</m:t>
        </m:r>
        <m:r>
          <m:t>u</m:t>
        </m:r>
        <m:r>
          <m:t>n</m:t>
        </m:r>
        <m:r>
          <m:t>e</m:t>
        </m:r>
        <m:r>
          <m:t>a</m:t>
        </m:r>
        <m:r>
          <m:t>n</m:t>
        </m:r>
        <m:r>
          <m:t>d</m:t>
        </m:r>
        <m:r>
          <m:t>h</m:t>
        </m:r>
        <m:r>
          <m:t>a</m:t>
        </m:r>
        <m:r>
          <m:t>d</m:t>
        </m:r>
        <m:r>
          <m:t>n</m:t>
        </m:r>
        <m:r>
          <m:t>e</m:t>
        </m:r>
        <m:r>
          <m:t>a</m:t>
        </m:r>
        <m:r>
          <m:t>r</m:t>
        </m:r>
        <m:r>
          <m:t>l</m:t>
        </m:r>
        <m:r>
          <m:t>y</m:t>
        </m:r>
        <m:r>
          <m:t>40</m:t>
        </m:r>
        <m:r>
          <m:t>s</m:t>
        </m:r>
        <m:r>
          <m:t>i</m:t>
        </m:r>
        <m:r>
          <m:t>g</m:t>
        </m:r>
        <m:r>
          <m:t>n</m:t>
        </m:r>
        <m:r>
          <m:t>e</m:t>
        </m:r>
        <m:r>
          <m:t>d</m:t>
        </m:r>
        <m:r>
          <m:t>o</m:t>
        </m:r>
        <m:r>
          <m:t>r</m:t>
        </m:r>
        <m:r>
          <m:t>p</m:t>
        </m:r>
        <m:r>
          <m:t>r</m:t>
        </m:r>
        <m:r>
          <m:t>e</m:t>
        </m:r>
        <m:r>
          <m:t>p</m:t>
        </m:r>
        <m:r>
          <m:t>a</m:t>
        </m:r>
        <m:r>
          <m:t>r</m:t>
        </m:r>
        <m:r>
          <m:t>e</m:t>
        </m:r>
        <m:r>
          <m:t>d</m:t>
        </m:r>
        <m:r>
          <m:t>t</m:t>
        </m:r>
        <m:r>
          <m:t>e</m:t>
        </m:r>
        <m:r>
          <m:t>r</m:t>
        </m:r>
        <m:r>
          <m:t>m</m:t>
        </m:r>
        <m:r>
          <m:t>s</m:t>
        </m:r>
        <m:r>
          <m:t>h</m:t>
        </m:r>
        <m:r>
          <m:t>e</m:t>
        </m:r>
        <m:r>
          <m:t>e</m:t>
        </m:r>
        <m:r>
          <m:t>t</m:t>
        </m:r>
        <m:r>
          <m:t>s</m:t>
        </m:r>
        <m:r>
          <m:t>r</m:t>
        </m:r>
        <m:r>
          <m:t>e</m:t>
        </m:r>
        <m:r>
          <m:t>p</m:t>
        </m:r>
        <m:r>
          <m:t>r</m:t>
        </m:r>
        <m:r>
          <m:t>e</m:t>
        </m:r>
        <m:r>
          <m:t>s</m:t>
        </m:r>
        <m:r>
          <m:t>e</m:t>
        </m:r>
        <m:r>
          <m:t>n</m:t>
        </m:r>
        <m:r>
          <m:t>t</m:t>
        </m:r>
        <m:r>
          <m:t>i</m:t>
        </m:r>
        <m:r>
          <m:t>n</m:t>
        </m:r>
        <m:r>
          <m:t>g</m:t>
        </m:r>
        <m:r>
          <m:t>a</m:t>
        </m:r>
        <m:r>
          <m:t>b</m:t>
        </m:r>
        <m:r>
          <m:t>o</m:t>
        </m:r>
        <m:r>
          <m:t>u</m:t>
        </m:r>
        <m:r>
          <m:t>t</m:t>
        </m:r>
        <m:r>
          <m:rPr>
            <m:sty m:val="p"/>
          </m:rPr>
          <m:t>*</m:t>
        </m:r>
        <m:r>
          <m:rPr>
            <m:sty m:val="p"/>
          </m:rPr>
          <m:t>*</m:t>
        </m:r>
      </m:oMath>
      <w:r>
        <w:rPr>
          <w:b/>
          <w:bCs/>
        </w:rPr>
        <w:t xml:space="preserve">600 million</w:t>
      </w:r>
      <w:r>
        <w:t xml:space="preserve"> </w:t>
      </w:r>
      <w:r>
        <w:t xml:space="preserve">of annualized revenue.</w:t>
      </w:r>
    </w:p>
    <w:p>
      <w:pPr>
        <w:pStyle w:val="BodyText"/>
      </w:pPr>
      <w:r>
        <w:t xml:space="preserve">Management says private-broker multiples are easing, but sellers are taking time to adjust. AJG has emphasized both its capacity—approximately</w:t>
      </w:r>
      <w:r>
        <w:t xml:space="preserve"> </w:t>
      </w:r>
      <w:r>
        <w:rPr>
          <w:b/>
          <w:bCs/>
        </w:rPr>
        <w:t xml:space="preserve">$10 billion</w:t>
      </w:r>
      <w:r>
        <w:t xml:space="preserve"> </w:t>
      </w:r>
      <w:r>
        <w:t xml:space="preserve">over two years before issuing stock—and preference for M&amp;A over aggressive buybacks, although it repurchased $310 million in 1Q and another $170 million through mid-June.</w:t>
      </w:r>
    </w:p>
    <w:p>
      <w:pPr>
        <w:pStyle w:val="BodyText"/>
      </w:pPr>
      <w:r>
        <w:t xml:space="preserve">An acceleration in acquired-revenue contribution, improved deal terms, or a larger transaction would reinforce the long-term compounding case.</w:t>
      </w:r>
    </w:p>
    <w:p>
      <w:r>
        <w:pict>
          <v:rect style="width:0;height:1.5pt" o:hralign="center" o:hrstd="t" o:hr="t"/>
        </w:pict>
      </w:r>
    </w:p>
    <w:bookmarkEnd w:id="16"/>
    <w:bookmarkEnd w:id="17"/>
    <w:bookmarkStart w:id="18" w:name="bull-case"/>
    <w:p>
      <w:pPr>
        <w:pStyle w:val="Heading2"/>
      </w:pPr>
      <w:r>
        <w:t xml:space="preserve">Bull case</w:t>
      </w:r>
    </w:p>
    <w:p>
      <w:pPr>
        <w:pStyle w:val="FirstParagraph"/>
      </w:pPr>
      <w:r>
        <w:t xml:space="preserve">A constructive report would include:</w:t>
      </w:r>
    </w:p>
    <w:p>
      <w:pPr>
        <w:pStyle w:val="Compact"/>
        <w:numPr>
          <w:ilvl w:val="0"/>
          <w:numId w:val="1007"/>
        </w:numPr>
      </w:pPr>
      <w:r>
        <w:rPr>
          <w:b/>
          <w:bCs/>
        </w:rPr>
        <w:t xml:space="preserve">Brokerage organic growth at or above 5%</w:t>
      </w:r>
      <w:r>
        <w:t xml:space="preserve">, confirming that property softness remains manageable.</w:t>
      </w:r>
    </w:p>
    <w:p>
      <w:pPr>
        <w:pStyle w:val="Compact"/>
        <w:numPr>
          <w:ilvl w:val="0"/>
          <w:numId w:val="1007"/>
        </w:numPr>
      </w:pPr>
      <w:r>
        <w:rPr>
          <w:b/>
          <w:bCs/>
        </w:rPr>
        <w:t xml:space="preserve">Risk Management growth around or above 11%</w:t>
      </w:r>
      <w:r>
        <w:t xml:space="preserve">, validating a less cyclical incremental growth engine.</w:t>
      </w:r>
    </w:p>
    <w:p>
      <w:pPr>
        <w:pStyle w:val="Compact"/>
        <w:numPr>
          <w:ilvl w:val="0"/>
          <w:numId w:val="1007"/>
        </w:numPr>
      </w:pPr>
      <w:r>
        <w:t xml:space="preserve">Reaffirmed or improved</w:t>
      </w:r>
      <w:r>
        <w:t xml:space="preserve"> </w:t>
      </w:r>
      <w:r>
        <w:rPr>
          <w:b/>
          <w:bCs/>
        </w:rPr>
        <w:t xml:space="preserve">5.5% FY26 Brokerage</w:t>
      </w:r>
      <w:r>
        <w:t xml:space="preserve"> </w:t>
      </w:r>
      <w:r>
        <w:t xml:space="preserve">and</w:t>
      </w:r>
      <w:r>
        <w:t xml:space="preserve"> </w:t>
      </w:r>
      <w:r>
        <w:rPr>
          <w:b/>
          <w:bCs/>
        </w:rPr>
        <w:t xml:space="preserve">8% FY26 Risk Management</w:t>
      </w:r>
      <w:r>
        <w:t xml:space="preserve"> </w:t>
      </w:r>
      <w:r>
        <w:t xml:space="preserve">organic-growth outlooks.</w:t>
      </w:r>
    </w:p>
    <w:p>
      <w:pPr>
        <w:pStyle w:val="Compact"/>
        <w:numPr>
          <w:ilvl w:val="0"/>
          <w:numId w:val="1007"/>
        </w:numPr>
      </w:pPr>
      <w:r>
        <w:t xml:space="preserve">Continued</w:t>
      </w:r>
      <w:r>
        <w:t xml:space="preserve"> </w:t>
      </w:r>
      <w:r>
        <w:rPr>
          <w:b/>
          <w:bCs/>
        </w:rPr>
        <w:t xml:space="preserve">40–60 bps underlying Brokerage margin-expansion</w:t>
      </w:r>
      <w:r>
        <w:t xml:space="preserve"> </w:t>
      </w:r>
      <w:r>
        <w:t xml:space="preserve">guidance.</w:t>
      </w:r>
    </w:p>
    <w:p>
      <w:pPr>
        <w:pStyle w:val="Compact"/>
        <w:numPr>
          <w:ilvl w:val="0"/>
          <w:numId w:val="1007"/>
        </w:numPr>
      </w:pPr>
      <w:r>
        <w:t xml:space="preserve">Additional AssuredPartners integration milestones, stronger-than-expected synergy realization, or further upside to the</w:t>
      </w:r>
      <w:r>
        <w:t xml:space="preserve"> </w:t>
      </w:r>
      <w:r>
        <w:rPr>
          <w:b/>
          <w:bCs/>
        </w:rPr>
        <w:t xml:space="preserve">$325 million</w:t>
      </w:r>
      <w:r>
        <w:t xml:space="preserve"> </w:t>
      </w:r>
      <w:r>
        <w:t xml:space="preserve">run-rate synergy target.</w:t>
      </w:r>
    </w:p>
    <w:p>
      <w:pPr>
        <w:pStyle w:val="Compact"/>
        <w:numPr>
          <w:ilvl w:val="0"/>
          <w:numId w:val="1007"/>
        </w:numPr>
      </w:pPr>
      <w:r>
        <w:t xml:space="preserve">Constructive comments on 7/1 reinsurance activity, carrier economics, producer productivity, and new-business pipelines.</w:t>
      </w:r>
    </w:p>
    <w:bookmarkEnd w:id="18"/>
    <w:bookmarkStart w:id="19" w:name="bear-case"/>
    <w:p>
      <w:pPr>
        <w:pStyle w:val="Heading2"/>
      </w:pPr>
      <w:r>
        <w:t xml:space="preserve">Bear case</w:t>
      </w:r>
    </w:p>
    <w:p>
      <w:pPr>
        <w:pStyle w:val="FirstParagraph"/>
      </w:pPr>
      <w:r>
        <w:t xml:space="preserve">The principal downside risks are:</w:t>
      </w:r>
    </w:p>
    <w:p>
      <w:pPr>
        <w:pStyle w:val="Compact"/>
        <w:numPr>
          <w:ilvl w:val="0"/>
          <w:numId w:val="1008"/>
        </w:numPr>
      </w:pPr>
      <w:r>
        <w:rPr>
          <w:b/>
          <w:bCs/>
        </w:rPr>
        <w:t xml:space="preserve">Property price declines deepen</w:t>
      </w:r>
      <w:r>
        <w:t xml:space="preserve"> </w:t>
      </w:r>
      <w:r>
        <w:t xml:space="preserve">beyond management’s expectations, particularly in U.S. wholesale and cat-exposed business.</w:t>
      </w:r>
    </w:p>
    <w:p>
      <w:pPr>
        <w:pStyle w:val="Compact"/>
        <w:numPr>
          <w:ilvl w:val="0"/>
          <w:numId w:val="1008"/>
        </w:numPr>
      </w:pPr>
      <w:r>
        <w:t xml:space="preserve">Brokerage organic growth falls below 5%, suggesting fee structures, exposure growth, and new business are not offsetting pricing pressure as effectively as expected.</w:t>
      </w:r>
    </w:p>
    <w:p>
      <w:pPr>
        <w:pStyle w:val="Compact"/>
        <w:numPr>
          <w:ilvl w:val="0"/>
          <w:numId w:val="1008"/>
        </w:numPr>
      </w:pPr>
      <w:r>
        <w:t xml:space="preserve">AssuredPartners integration costs rise, timing slips, or producer/client retention weakens.</w:t>
      </w:r>
    </w:p>
    <w:p>
      <w:pPr>
        <w:pStyle w:val="Compact"/>
        <w:numPr>
          <w:ilvl w:val="0"/>
          <w:numId w:val="1008"/>
        </w:numPr>
      </w:pPr>
      <w:r>
        <w:t xml:space="preserve">Margin guidance is reduced because of technology spending, compensation pressure, or slower synergy conversion.</w:t>
      </w:r>
    </w:p>
    <w:p>
      <w:pPr>
        <w:pStyle w:val="Compact"/>
        <w:numPr>
          <w:ilvl w:val="0"/>
          <w:numId w:val="1008"/>
        </w:numPr>
      </w:pPr>
      <w:r>
        <w:t xml:space="preserve">Reinsurance or London specialty activity is delayed by geopolitical uncertainty, creating quarterly volatility.</w:t>
      </w:r>
    </w:p>
    <w:p>
      <w:pPr>
        <w:pStyle w:val="Compact"/>
        <w:numPr>
          <w:ilvl w:val="0"/>
          <w:numId w:val="1008"/>
        </w:numPr>
      </w:pPr>
      <w:r>
        <w:t xml:space="preserve">M&amp;A remains slow as sellers resist lower valuations, reducing acquired-growth visibility.</w:t>
      </w:r>
    </w:p>
    <w:p>
      <w:r>
        <w:pict>
          <v:rect style="width:0;height:1.5pt" o:hralign="center" o:hrstd="t" o:hr="t"/>
        </w:pict>
      </w:r>
    </w:p>
    <w:bookmarkEnd w:id="19"/>
    <w:bookmarkStart w:id="20" w:name="stock-and-positioning"/>
    <w:p>
      <w:pPr>
        <w:pStyle w:val="Heading2"/>
      </w:pPr>
      <w:r>
        <w:t xml:space="preserve">Stock and positioning</w:t>
      </w:r>
    </w:p>
    <w:p>
      <w:pPr>
        <w:pStyle w:val="FirstParagraph"/>
      </w:pPr>
      <w:r>
        <w:t xml:space="preserve">AJG closed at</w:t>
      </w:r>
      <w:r>
        <w:t xml:space="preserve"> </w:t>
      </w:r>
      <w:r>
        <w:rPr>
          <w:b/>
          <w:bCs/>
        </w:rPr>
        <w:t xml:space="preserve">$268.14 on July 29</w:t>
      </w:r>
      <w:r>
        <w:t xml:space="preserve">, up approximately</w:t>
      </w:r>
      <w:r>
        <w:t xml:space="preserve"> </w:t>
      </w:r>
      <w:r>
        <w:rPr>
          <w:b/>
          <w:bCs/>
        </w:rPr>
        <w:t xml:space="preserve">16.8% since June 30</w:t>
      </w:r>
      <w:r>
        <w:t xml:space="preserve"> </w:t>
      </w:r>
      <w:r>
        <w:t xml:space="preserve">and</w:t>
      </w:r>
      <w:r>
        <w:t xml:space="preserve"> </w:t>
      </w:r>
      <w:r>
        <w:rPr>
          <w:b/>
          <w:bCs/>
        </w:rPr>
        <w:t xml:space="preserve">4.7% year to date</w:t>
      </w:r>
      <w:r>
        <w:t xml:space="preserve">. The strong July move suggests expectations are likely higher going into the print, particularly around the company’s ability to grow through softening property markets and extract value from AssuredPartners.</w:t>
      </w:r>
    </w:p>
    <w:bookmarkEnd w:id="20"/>
    <w:bookmarkStart w:id="21" w:name="bottom-line"/>
    <w:p>
      <w:pPr>
        <w:pStyle w:val="Heading2"/>
      </w:pPr>
      <w:r>
        <w:t xml:space="preserve">Bottom line</w:t>
      </w:r>
    </w:p>
    <w:p>
      <w:pPr>
        <w:pStyle w:val="FirstParagraph"/>
      </w:pPr>
      <w:r>
        <w:t xml:space="preserve">AJG’s 2Q report is primarily a</w:t>
      </w:r>
      <w:r>
        <w:t xml:space="preserve"> </w:t>
      </w:r>
      <w:r>
        <w:rPr>
          <w:b/>
          <w:bCs/>
        </w:rPr>
        <w:t xml:space="preserve">proof-of-durability</w:t>
      </w:r>
      <w:r>
        <w:t xml:space="preserve"> </w:t>
      </w:r>
      <w:r>
        <w:t xml:space="preserve">quarter. Management has already provided a confident operating update, so merely meeting the 5% Brokerage and 11% Risk Management organic-growth outlooks may be viewed as expected. The more differentiated upside would be evidence that:</w:t>
      </w:r>
    </w:p>
    <w:p>
      <w:pPr>
        <w:pStyle w:val="Compact"/>
        <w:numPr>
          <w:ilvl w:val="0"/>
          <w:numId w:val="1009"/>
        </w:numPr>
      </w:pPr>
      <w:r>
        <w:t xml:space="preserve">property-rate pressure is increasingly decoupled from AJG revenue,</w:t>
      </w:r>
    </w:p>
    <w:p>
      <w:pPr>
        <w:pStyle w:val="Compact"/>
        <w:numPr>
          <w:ilvl w:val="0"/>
          <w:numId w:val="1009"/>
        </w:numPr>
      </w:pPr>
      <w:r>
        <w:t xml:space="preserve">market-share gains and productivity tools are improving growth quality,</w:t>
      </w:r>
    </w:p>
    <w:p>
      <w:pPr>
        <w:pStyle w:val="Compact"/>
        <w:numPr>
          <w:ilvl w:val="0"/>
          <w:numId w:val="1009"/>
        </w:numPr>
      </w:pPr>
      <w:r>
        <w:t xml:space="preserve">Gallagher Bassett is becoming a larger, higher-growth countercyclical asset, and</w:t>
      </w:r>
    </w:p>
    <w:p>
      <w:pPr>
        <w:pStyle w:val="Compact"/>
        <w:numPr>
          <w:ilvl w:val="0"/>
          <w:numId w:val="1009"/>
        </w:numPr>
      </w:pPr>
      <w:r>
        <w:t xml:space="preserve">AssuredPartners synergies are arriving faster and at a larger scale than originally promised.</w:t>
      </w:r>
    </w:p>
    <w:p>
      <w:pPr>
        <w:pStyle w:val="FirstParagraph"/>
      </w:pPr>
      <w:r>
        <w:t xml:space="preserve">The main issue for investors is not the near-term reported growth rate—which will remain affected by acquisition and prior-year interest-income comparability—but whether the company can preserve its mid-single-digit organic-growth algorithm and underlying margin expansion while completing the largest integration in its history.</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2026-07-29T19:36:53Z</dcterms:created>
  <dcterms:modified xsi:type="dcterms:W3CDTF">2026-07-29T19:36:53Z</dcterms:modified>
</cp:coreProperties>
</file>

<file path=docProps/custom.xml><?xml version="1.0" encoding="utf-8"?>
<Properties xmlns="http://schemas.openxmlformats.org/officeDocument/2006/custom-properties" xmlns:vt="http://schemas.openxmlformats.org/officeDocument/2006/docPropsVTypes"/>
</file>