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Arthur J. Gallagher &amp; Co. (AJG) — Q2 2026 Earnings Preview</w:t>
      </w:r>
    </w:p>
    <w:p>
      <w:r>
        <w:rPr>
          <w:rFonts w:ascii="Calibri" w:hAnsi="Calibri"/>
          <w:b/>
          <w:color w:val="525866"/>
          <w:sz w:val="22"/>
        </w:rPr>
        <w:t xml:space="preserve">Ticker: </w:t>
      </w:r>
      <w:r>
        <w:rPr>
          <w:rFonts w:ascii="Calibri" w:hAnsi="Calibri"/>
          <w:color w:val="525866"/>
          <w:sz w:val="22"/>
        </w:rPr>
        <w:t xml:space="preserve">AJG  </w:t>
      </w:r>
      <w:r>
        <w:rPr>
          <w:rFonts w:ascii="Calibri" w:hAnsi="Calibri"/>
          <w:b/>
          <w:color w:val="525866"/>
          <w:sz w:val="22"/>
        </w:rPr>
        <w:t xml:space="preserve">Upcoming Earnings: </w:t>
      </w:r>
      <w:r>
        <w:rPr>
          <w:rFonts w:ascii="Calibri" w:hAnsi="Calibri"/>
          <w:color w:val="525866"/>
          <w:sz w:val="22"/>
        </w:rPr>
        <w:t xml:space="preserve">Q2 2026 (expected late July / early August 2026)  </w:t>
      </w:r>
      <w:r>
        <w:rPr>
          <w:rFonts w:ascii="Calibri" w:hAnsi="Calibri"/>
          <w:b/>
          <w:color w:val="525866"/>
          <w:sz w:val="22"/>
        </w:rPr>
        <w:t xml:space="preserve">Last Earnings: </w:t>
      </w:r>
      <w:r>
        <w:rPr>
          <w:rFonts w:ascii="Calibri" w:hAnsi="Calibri"/>
          <w:color w:val="525866"/>
          <w:sz w:val="22"/>
        </w:rPr>
        <w:t xml:space="preserve">Q1 2026, reported April 30, 2026  </w:t>
      </w:r>
      <w:r>
        <w:rPr>
          <w:rFonts w:ascii="Calibri" w:hAnsi="Calibri"/>
          <w:b/>
          <w:color w:val="525866"/>
          <w:sz w:val="22"/>
        </w:rPr>
        <w:t xml:space="preserve">Prepared: </w:t>
      </w:r>
      <w:r>
        <w:rPr>
          <w:rFonts w:ascii="Calibri" w:hAnsi="Calibri"/>
          <w:color w:val="525866"/>
          <w:sz w:val="22"/>
        </w:rPr>
        <w:t>July 29,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Setup is constructive but the bar is elevated — consensus expects ~5% brokerage organic growth and ~$2.81 adj. EPS, both essentially at management’s own Q2 guide; the real swing factor is whether </w:t>
      </w:r>
      <w:r>
        <w:rPr>
          <w:rFonts w:ascii="Calibri" w:hAnsi="Calibri"/>
          <w:b/>
          <w:color w:val="30A46C"/>
          <w:sz w:val="22"/>
        </w:rPr>
        <w:t>AssuredPartners synergy momentum</w:t>
      </w:r>
      <w:r>
        <w:rPr>
          <w:rFonts w:ascii="Calibri" w:hAnsi="Calibri"/>
          <w:b/>
          <w:color w:val="525866"/>
          <w:sz w:val="22"/>
        </w:rPr>
        <w:t xml:space="preserve"> and Risk Management upside (guided 11% organic) can drive a positive surprise on EBITDAC margins.</w:t>
      </w:r>
    </w:p>
    <w:p>
      <w:r>
        <w:rPr>
          <w:rFonts w:ascii="Calibri" w:hAnsi="Calibri"/>
          <w:color w:val="525866"/>
          <w:sz w:val="22"/>
        </w:rPr>
        <w:t xml:space="preserve">Heading into Q2 2026, the bar for AJG is fair but not forgiving: consensus brokerage organic growth of ~4.9% and adj. EPS of ~$2.81 sit squarely at management’s own guide, leaving little room for a “beat-and-raise” on the top line alone. Management tone has grown increasingly confident since the Q1 print — most notably at the June 17 pre-Q2 investor meeting, where the CFO raised the AssuredPartners annualized run-rate synergy target to </w:t>
      </w:r>
      <w:r>
        <w:rPr>
          <w:rFonts w:ascii="Calibri" w:hAnsi="Calibri"/>
          <w:b/>
          <w:color w:val="525866"/>
          <w:sz w:val="22"/>
        </w:rPr>
        <w:t>up to $325M by early 2028</w:t>
      </w:r>
      <w:r>
        <w:rPr>
          <w:rFonts w:ascii="Calibri" w:hAnsi="Calibri"/>
          <w:color w:val="525866"/>
          <w:sz w:val="22"/>
        </w:rPr>
        <w:t xml:space="preserve"> (from $300M in April and $160M at deal announcement), with nearly all back-office systems integrated and vendor/real estate consolidations running ahead of plan. Estimate revisions have been broadly stable-to-slightly-up since Q1 earnings, with Risk Management FY organic raised to ~8% (from ~7%), though EPS estimates have drifted modestly lower (-1.7% for Q2), likely reflecting property headwinds and lower investment income. The stock has already priced in a great deal of this good news, rallying </w:t>
      </w:r>
      <w:r>
        <w:rPr>
          <w:rFonts w:ascii="Calibri" w:hAnsi="Calibri"/>
          <w:b/>
          <w:color w:val="525866"/>
          <w:sz w:val="22"/>
        </w:rPr>
        <w:t>+30.3% since Q1 earnings</w:t>
      </w:r>
      <w:r>
        <w:rPr>
          <w:rFonts w:ascii="Calibri" w:hAnsi="Calibri"/>
          <w:color w:val="525866"/>
          <w:sz w:val="22"/>
        </w:rPr>
        <w:t xml:space="preserve"> (vs. SPY +1.5%), driven almost entirely by multiple re-rating and synergy upgrade rather than earnings revisions — raising the execution bar for the print. The key wildcard is </w:t>
      </w:r>
      <w:r>
        <w:rPr>
          <w:rFonts w:ascii="Calibri" w:hAnsi="Calibri"/>
          <w:b/>
          <w:color w:val="525866"/>
          <w:sz w:val="22"/>
        </w:rPr>
        <w:t>property cat pricing</w:t>
      </w:r>
      <w:r>
        <w:rPr>
          <w:rFonts w:ascii="Calibri" w:hAnsi="Calibri"/>
          <w:color w:val="525866"/>
          <w:sz w:val="22"/>
        </w:rPr>
        <w:t>: peers MMC and BRO confirmed Q2 property rates down 12–35%, the steepest declines in years, but AJG’s diversified book (casualty, specialty, benefits, and Risk Management all firm) and management’s pre-baked property assumptions mean the real surprise potential lies in whether AssuredPartners delivers any incremental synergy upside commentary on the call.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essentially at management’s own guide — not a high bar, but not a low one either. </w:t>
      </w:r>
      <w:r>
        <w:rPr>
          <w:rFonts w:ascii="Calibri" w:hAnsi="Calibri"/>
          <w:b/>
          <w:color w:val="525866"/>
          <w:sz w:val="22"/>
        </w:rPr>
        <w:t>Risk Management organic growth (guided 11% for Q2) is the bigger upside swing factor vs. Brokerage (guided 5%).</w:t>
      </w:r>
    </w:p>
    <w:p>
      <w:r>
        <w:rPr>
          <w:rFonts w:ascii="Calibri" w:hAnsi="Calibri"/>
          <w:b/>
          <w:color w:val="525866"/>
          <w:sz w:val="22"/>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Guidance</w:t>
            </w:r>
          </w:p>
        </w:tc>
        <w:tc>
          <w:tcPr>
            <w:tcW w:type="dxa" w:w="1234"/>
            <w:shd w:val="clear" w:color="auto" w:fill="3B4259"/>
          </w:tcPr>
          <w:p>
            <w:r>
              <w:rPr>
                <w:rFonts w:ascii="Calibri" w:hAnsi="Calibri"/>
                <w:b/>
                <w:color w:val="FFFFFF"/>
                <w:sz w:val="22"/>
              </w:rPr>
              <w:t>Cons. vs. Guide</w:t>
            </w:r>
          </w:p>
        </w:tc>
      </w:tr>
      <w:tr>
        <w:tc>
          <w:tcPr>
            <w:tcW w:type="dxa" w:w="1234"/>
          </w:tcPr>
          <w:p>
            <w:r>
              <w:rPr>
                <w:rFonts w:ascii="Calibri" w:hAnsi="Calibri"/>
                <w:sz w:val="22"/>
              </w:rPr>
              <w:t>Brokerage Revenue (Operating)</w:t>
            </w:r>
          </w:p>
        </w:tc>
        <w:tc>
          <w:tcPr>
            <w:tcW w:type="dxa" w:w="1234"/>
          </w:tcPr>
          <w:p>
            <w:r>
              <w:rPr>
                <w:rFonts w:ascii="Calibri" w:hAnsi="Calibri"/>
                <w:sz w:val="22"/>
              </w:rPr>
              <w:t>$4,286M</w:t>
            </w:r>
          </w:p>
        </w:tc>
        <w:tc>
          <w:tcPr>
            <w:tcW w:type="dxa" w:w="1234"/>
          </w:tcPr>
          <w:p>
            <w:r>
              <w:rPr>
                <w:rFonts w:ascii="Calibri" w:hAnsi="Calibri"/>
                <w:sz w:val="22"/>
              </w:rPr>
              <w:t>$2,780M</w:t>
            </w:r>
          </w:p>
        </w:tc>
        <w:tc>
          <w:tcPr>
            <w:tcW w:type="dxa" w:w="1234"/>
          </w:tcPr>
          <w:p>
            <w:r>
              <w:rPr>
                <w:rFonts w:ascii="Calibri" w:hAnsi="Calibri"/>
                <w:sz w:val="22"/>
              </w:rPr>
              <w:t>$3,536M</w:t>
            </w:r>
          </w:p>
        </w:tc>
        <w:tc>
          <w:tcPr>
            <w:tcW w:type="dxa" w:w="1234"/>
          </w:tcPr>
          <w:p>
            <w:r>
              <w:rPr>
                <w:rFonts w:ascii="Calibri" w:hAnsi="Calibri"/>
                <w:sz w:val="22"/>
              </w:rPr>
              <w:t>+27.2% YoY</w:t>
            </w:r>
          </w:p>
        </w:tc>
        <w:tc>
          <w:tcPr>
            <w:tcW w:type="dxa" w:w="1234"/>
          </w:tcPr>
          <w:p>
            <w:r>
              <w:rPr>
                <w:rFonts w:ascii="Calibri" w:hAnsi="Calibri"/>
                <w:sz w:val="22"/>
              </w:rPr>
              <w:t>~5% organic</w:t>
            </w:r>
          </w:p>
        </w:tc>
        <w:tc>
          <w:tcPr>
            <w:tcW w:type="dxa" w:w="1234"/>
          </w:tcPr>
          <w:p>
            <w:r>
              <w:rPr>
                <w:rFonts w:ascii="Calibri" w:hAnsi="Calibri"/>
                <w:sz w:val="22"/>
              </w:rPr>
              <w:t>In line</w:t>
            </w:r>
          </w:p>
        </w:tc>
      </w:tr>
      <w:tr>
        <w:tc>
          <w:tcPr>
            <w:tcW w:type="dxa" w:w="1234"/>
          </w:tcPr>
          <w:p>
            <w:r>
              <w:rPr>
                <w:rFonts w:ascii="Calibri" w:hAnsi="Calibri"/>
                <w:sz w:val="22"/>
              </w:rPr>
              <w:t>Risk Mgmt Revenue (Operating)</w:t>
            </w:r>
          </w:p>
        </w:tc>
        <w:tc>
          <w:tcPr>
            <w:tcW w:type="dxa" w:w="1234"/>
          </w:tcPr>
          <w:p>
            <w:r>
              <w:rPr>
                <w:rFonts w:ascii="Calibri" w:hAnsi="Calibri"/>
                <w:sz w:val="22"/>
              </w:rPr>
              <w:t>$470M</w:t>
            </w:r>
          </w:p>
        </w:tc>
        <w:tc>
          <w:tcPr>
            <w:tcW w:type="dxa" w:w="1234"/>
          </w:tcPr>
          <w:p>
            <w:r>
              <w:rPr>
                <w:rFonts w:ascii="Calibri" w:hAnsi="Calibri"/>
                <w:sz w:val="22"/>
              </w:rPr>
              <w:t>$435M</w:t>
            </w:r>
          </w:p>
        </w:tc>
        <w:tc>
          <w:tcPr>
            <w:tcW w:type="dxa" w:w="1234"/>
          </w:tcPr>
          <w:p>
            <w:r>
              <w:rPr>
                <w:rFonts w:ascii="Calibri" w:hAnsi="Calibri"/>
                <w:sz w:val="22"/>
              </w:rPr>
              <w:t>$490M</w:t>
            </w:r>
          </w:p>
        </w:tc>
        <w:tc>
          <w:tcPr>
            <w:tcW w:type="dxa" w:w="1234"/>
          </w:tcPr>
          <w:p>
            <w:r>
              <w:rPr>
                <w:rFonts w:ascii="Calibri" w:hAnsi="Calibri"/>
                <w:sz w:val="22"/>
              </w:rPr>
              <w:t>+12.7% YoY</w:t>
            </w:r>
          </w:p>
        </w:tc>
        <w:tc>
          <w:tcPr>
            <w:tcW w:type="dxa" w:w="1234"/>
          </w:tcPr>
          <w:p>
            <w:r>
              <w:rPr>
                <w:rFonts w:ascii="Calibri" w:hAnsi="Calibri"/>
                <w:sz w:val="22"/>
              </w:rPr>
              <w:t>~11% organic</w:t>
            </w:r>
          </w:p>
        </w:tc>
        <w:tc>
          <w:tcPr>
            <w:tcW w:type="dxa" w:w="1234"/>
          </w:tcPr>
          <w:p>
            <w:r>
              <w:rPr>
                <w:rFonts w:ascii="Calibri" w:hAnsi="Calibri"/>
                <w:sz w:val="22"/>
              </w:rPr>
              <w:t>In line</w:t>
            </w:r>
          </w:p>
        </w:tc>
      </w:tr>
      <w:tr>
        <w:tc>
          <w:tcPr>
            <w:tcW w:type="dxa" w:w="1234"/>
          </w:tcPr>
          <w:p>
            <w:r>
              <w:rPr>
                <w:rFonts w:ascii="Calibri" w:hAnsi="Calibri"/>
                <w:sz w:val="22"/>
              </w:rPr>
              <w:t>Brokerage Organic Growth (%)</w:t>
            </w:r>
          </w:p>
        </w:tc>
        <w:tc>
          <w:tcPr>
            <w:tcW w:type="dxa" w:w="1234"/>
          </w:tcPr>
          <w:p>
            <w:r>
              <w:rPr>
                <w:rFonts w:ascii="Calibri" w:hAnsi="Calibri"/>
                <w:sz w:val="22"/>
              </w:rPr>
              <w:t>4.6%</w:t>
            </w:r>
          </w:p>
        </w:tc>
        <w:tc>
          <w:tcPr>
            <w:tcW w:type="dxa" w:w="1234"/>
          </w:tcPr>
          <w:p>
            <w:r>
              <w:rPr>
                <w:rFonts w:ascii="Calibri" w:hAnsi="Calibri"/>
                <w:sz w:val="22"/>
              </w:rPr>
              <w:t>5.3%</w:t>
            </w:r>
          </w:p>
        </w:tc>
        <w:tc>
          <w:tcPr>
            <w:tcW w:type="dxa" w:w="1234"/>
          </w:tcPr>
          <w:p>
            <w:r>
              <w:rPr>
                <w:rFonts w:ascii="Calibri" w:hAnsi="Calibri"/>
                <w:sz w:val="22"/>
              </w:rPr>
              <w:t>4.9%</w:t>
            </w:r>
          </w:p>
        </w:tc>
        <w:tc>
          <w:tcPr>
            <w:tcW w:type="dxa" w:w="1234"/>
          </w:tcPr>
          <w:p>
            <w:r>
              <w:rPr>
                <w:rFonts w:ascii="Calibri" w:hAnsi="Calibri"/>
                <w:sz w:val="22"/>
              </w:rPr>
              <w:t>-40bps YoY</w:t>
            </w:r>
          </w:p>
        </w:tc>
        <w:tc>
          <w:tcPr>
            <w:tcW w:type="dxa" w:w="1234"/>
          </w:tcPr>
          <w:p>
            <w:r>
              <w:rPr>
                <w:rFonts w:ascii="Calibri" w:hAnsi="Calibri"/>
                <w:sz w:val="22"/>
              </w:rPr>
              <w:t>~5%</w:t>
            </w:r>
          </w:p>
        </w:tc>
        <w:tc>
          <w:tcPr>
            <w:tcW w:type="dxa" w:w="1234"/>
          </w:tcPr>
          <w:p>
            <w:r>
              <w:rPr>
                <w:rFonts w:ascii="Calibri" w:hAnsi="Calibri"/>
                <w:sz w:val="22"/>
              </w:rPr>
              <w:t>In line</w:t>
            </w:r>
          </w:p>
        </w:tc>
      </w:tr>
      <w:tr>
        <w:tc>
          <w:tcPr>
            <w:tcW w:type="dxa" w:w="1234"/>
          </w:tcPr>
          <w:p>
            <w:r>
              <w:rPr>
                <w:rFonts w:ascii="Calibri" w:hAnsi="Calibri"/>
                <w:sz w:val="22"/>
              </w:rPr>
              <w:t>Risk Mgmt Organic Growth (%)</w:t>
            </w:r>
          </w:p>
        </w:tc>
        <w:tc>
          <w:tcPr>
            <w:tcW w:type="dxa" w:w="1234"/>
          </w:tcPr>
          <w:p>
            <w:r>
              <w:rPr>
                <w:rFonts w:ascii="Calibri" w:hAnsi="Calibri"/>
                <w:sz w:val="22"/>
              </w:rPr>
              <w:t>10.0%</w:t>
            </w:r>
          </w:p>
        </w:tc>
        <w:tc>
          <w:tcPr>
            <w:tcW w:type="dxa" w:w="1234"/>
          </w:tcPr>
          <w:p>
            <w:r>
              <w:rPr>
                <w:rFonts w:ascii="Calibri" w:hAnsi="Calibri"/>
                <w:sz w:val="22"/>
              </w:rPr>
              <w:t>6.2%</w:t>
            </w:r>
          </w:p>
        </w:tc>
        <w:tc>
          <w:tcPr>
            <w:tcW w:type="dxa" w:w="1234"/>
          </w:tcPr>
          <w:p>
            <w:r>
              <w:rPr>
                <w:rFonts w:ascii="Calibri" w:hAnsi="Calibri"/>
                <w:sz w:val="22"/>
              </w:rPr>
              <w:t>10.7%</w:t>
            </w:r>
          </w:p>
        </w:tc>
        <w:tc>
          <w:tcPr>
            <w:tcW w:type="dxa" w:w="1234"/>
          </w:tcPr>
          <w:p>
            <w:r>
              <w:rPr>
                <w:rFonts w:ascii="Calibri" w:hAnsi="Calibri"/>
                <w:sz w:val="22"/>
              </w:rPr>
              <w:t>+450bps YoY</w:t>
            </w:r>
          </w:p>
        </w:tc>
        <w:tc>
          <w:tcPr>
            <w:tcW w:type="dxa" w:w="1234"/>
          </w:tcPr>
          <w:p>
            <w:r>
              <w:rPr>
                <w:rFonts w:ascii="Calibri" w:hAnsi="Calibri"/>
                <w:sz w:val="22"/>
              </w:rPr>
              <w:t>~11%</w:t>
            </w:r>
          </w:p>
        </w:tc>
        <w:tc>
          <w:tcPr>
            <w:tcW w:type="dxa" w:w="1234"/>
          </w:tcPr>
          <w:p>
            <w:r>
              <w:rPr>
                <w:rFonts w:ascii="Calibri" w:hAnsi="Calibri"/>
                <w:sz w:val="22"/>
              </w:rPr>
              <w:t>In line</w:t>
            </w:r>
          </w:p>
        </w:tc>
      </w:tr>
      <w:tr>
        <w:tc>
          <w:tcPr>
            <w:tcW w:type="dxa" w:w="1234"/>
          </w:tcPr>
          <w:p>
            <w:r>
              <w:rPr>
                <w:rFonts w:ascii="Calibri" w:hAnsi="Calibri"/>
                <w:sz w:val="22"/>
              </w:rPr>
              <w:t>Adj. EBITDAC Margin — Brokerage</w:t>
            </w:r>
          </w:p>
        </w:tc>
        <w:tc>
          <w:tcPr>
            <w:tcW w:type="dxa" w:w="1234"/>
          </w:tcPr>
          <w:p>
            <w:r>
              <w:rPr>
                <w:rFonts w:ascii="Calibri" w:hAnsi="Calibri"/>
                <w:sz w:val="22"/>
              </w:rPr>
              <w:t>40.1%</w:t>
            </w:r>
          </w:p>
        </w:tc>
        <w:tc>
          <w:tcPr>
            <w:tcW w:type="dxa" w:w="1234"/>
          </w:tcPr>
          <w:p>
            <w:r>
              <w:rPr>
                <w:rFonts w:ascii="Calibri" w:hAnsi="Calibri"/>
                <w:sz w:val="22"/>
              </w:rPr>
              <w:t>36.4%</w:t>
            </w:r>
          </w:p>
        </w:tc>
        <w:tc>
          <w:tcPr>
            <w:tcW w:type="dxa" w:w="1234"/>
          </w:tcPr>
          <w:p>
            <w:r>
              <w:rPr>
                <w:rFonts w:ascii="Calibri" w:hAnsi="Calibri"/>
                <w:sz w:val="22"/>
              </w:rPr>
              <w:t>33.1%</w:t>
            </w:r>
          </w:p>
        </w:tc>
        <w:tc>
          <w:tcPr>
            <w:tcW w:type="dxa" w:w="1234"/>
          </w:tcPr>
          <w:p>
            <w:r>
              <w:rPr>
                <w:rFonts w:ascii="Calibri" w:hAnsi="Calibri"/>
                <w:sz w:val="22"/>
              </w:rPr>
              <w:t>-330bps YoY</w:t>
            </w:r>
          </w:p>
        </w:tc>
        <w:tc>
          <w:tcPr>
            <w:tcW w:type="dxa" w:w="1234"/>
          </w:tcPr>
          <w:p>
            <w:r>
              <w:rPr>
                <w:rFonts w:ascii="Calibri" w:hAnsi="Calibri"/>
                <w:sz w:val="22"/>
              </w:rPr>
              <w:t>40-60bps underlying expansion</w:t>
            </w:r>
          </w:p>
        </w:tc>
        <w:tc>
          <w:tcPr>
            <w:tcW w:type="dxa" w:w="1234"/>
          </w:tcPr>
          <w:p>
            <w:r>
              <w:rPr>
                <w:rFonts w:ascii="Calibri" w:hAnsi="Calibri"/>
                <w:sz w:val="22"/>
              </w:rPr>
              <w:t>Seasonal (Q1 is highest)</w:t>
            </w:r>
          </w:p>
        </w:tc>
      </w:tr>
      <w:tr>
        <w:tc>
          <w:tcPr>
            <w:tcW w:type="dxa" w:w="1234"/>
          </w:tcPr>
          <w:p>
            <w:r>
              <w:rPr>
                <w:rFonts w:ascii="Calibri" w:hAnsi="Calibri"/>
                <w:sz w:val="22"/>
              </w:rPr>
              <w:t>Adj. EBITDAC Margin — Risk Mgmt</w:t>
            </w:r>
          </w:p>
        </w:tc>
        <w:tc>
          <w:tcPr>
            <w:tcW w:type="dxa" w:w="1234"/>
          </w:tcPr>
          <w:p>
            <w:r>
              <w:rPr>
                <w:rFonts w:ascii="Calibri" w:hAnsi="Calibri"/>
                <w:sz w:val="22"/>
              </w:rPr>
              <w:t>21.96%</w:t>
            </w:r>
          </w:p>
        </w:tc>
        <w:tc>
          <w:tcPr>
            <w:tcW w:type="dxa" w:w="1234"/>
          </w:tcPr>
          <w:p>
            <w:r>
              <w:rPr>
                <w:rFonts w:ascii="Calibri" w:hAnsi="Calibri"/>
                <w:sz w:val="22"/>
              </w:rPr>
              <w:t>20.95%</w:t>
            </w:r>
          </w:p>
        </w:tc>
        <w:tc>
          <w:tcPr>
            <w:tcW w:type="dxa" w:w="1234"/>
          </w:tcPr>
          <w:p>
            <w:r>
              <w:rPr>
                <w:rFonts w:ascii="Calibri" w:hAnsi="Calibri"/>
                <w:sz w:val="22"/>
              </w:rPr>
              <w:t>21.3%</w:t>
            </w:r>
          </w:p>
        </w:tc>
        <w:tc>
          <w:tcPr>
            <w:tcW w:type="dxa" w:w="1234"/>
          </w:tcPr>
          <w:p>
            <w:r>
              <w:rPr>
                <w:rFonts w:ascii="Calibri" w:hAnsi="Calibri"/>
                <w:sz w:val="22"/>
              </w:rPr>
              <w:t>+35bps YoY</w:t>
            </w:r>
          </w:p>
        </w:tc>
        <w:tc>
          <w:tcPr>
            <w:tcW w:type="dxa" w:w="1234"/>
          </w:tcPr>
          <w:p>
            <w:r>
              <w:rPr>
                <w:rFonts w:ascii="Calibri" w:hAnsi="Calibri"/>
                <w:sz w:val="22"/>
              </w:rPr>
              <w:t>21–22%</w:t>
            </w:r>
          </w:p>
        </w:tc>
        <w:tc>
          <w:tcPr>
            <w:tcW w:type="dxa" w:w="1234"/>
          </w:tcPr>
          <w:p>
            <w:r>
              <w:rPr>
                <w:rFonts w:ascii="Calibri" w:hAnsi="Calibri"/>
                <w:sz w:val="22"/>
              </w:rPr>
              <w:t>In line</w:t>
            </w:r>
          </w:p>
        </w:tc>
      </w:tr>
      <w:tr>
        <w:tc>
          <w:tcPr>
            <w:tcW w:type="dxa" w:w="1234"/>
          </w:tcPr>
          <w:p>
            <w:r>
              <w:rPr>
                <w:rFonts w:ascii="Calibri" w:hAnsi="Calibri"/>
                <w:sz w:val="22"/>
              </w:rPr>
              <w:t>Adj. EPS (Diluted, Operating)</w:t>
            </w:r>
          </w:p>
        </w:tc>
        <w:tc>
          <w:tcPr>
            <w:tcW w:type="dxa" w:w="1234"/>
          </w:tcPr>
          <w:p>
            <w:r>
              <w:rPr>
                <w:rFonts w:ascii="Calibri" w:hAnsi="Calibri"/>
                <w:sz w:val="22"/>
              </w:rPr>
              <w:t>$4.47</w:t>
            </w:r>
          </w:p>
        </w:tc>
        <w:tc>
          <w:tcPr>
            <w:tcW w:type="dxa" w:w="1234"/>
          </w:tcPr>
          <w:p>
            <w:r>
              <w:rPr>
                <w:rFonts w:ascii="Calibri" w:hAnsi="Calibri"/>
                <w:sz w:val="22"/>
              </w:rPr>
              <w:t>$2.33</w:t>
            </w:r>
          </w:p>
        </w:tc>
        <w:tc>
          <w:tcPr>
            <w:tcW w:type="dxa" w:w="1234"/>
          </w:tcPr>
          <w:p>
            <w:r>
              <w:rPr>
                <w:rFonts w:ascii="Calibri" w:hAnsi="Calibri"/>
                <w:sz w:val="22"/>
              </w:rPr>
              <w:t>$2.81</w:t>
            </w:r>
          </w:p>
        </w:tc>
        <w:tc>
          <w:tcPr>
            <w:tcW w:type="dxa" w:w="1234"/>
          </w:tcPr>
          <w:p>
            <w:r>
              <w:rPr>
                <w:rFonts w:ascii="Calibri" w:hAnsi="Calibri"/>
                <w:sz w:val="22"/>
              </w:rPr>
              <w:t>+20.6%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Brokerage EBITDAC (Operating)</w:t>
            </w:r>
          </w:p>
        </w:tc>
        <w:tc>
          <w:tcPr>
            <w:tcW w:type="dxa" w:w="1234"/>
          </w:tcPr>
          <w:p>
            <w:r>
              <w:rPr>
                <w:rFonts w:ascii="Calibri" w:hAnsi="Calibri"/>
                <w:sz w:val="22"/>
              </w:rPr>
              <w:t>$1,719M</w:t>
            </w:r>
          </w:p>
        </w:tc>
        <w:tc>
          <w:tcPr>
            <w:tcW w:type="dxa" w:w="1234"/>
          </w:tcPr>
          <w:p>
            <w:r>
              <w:rPr>
                <w:rFonts w:ascii="Calibri" w:hAnsi="Calibri"/>
                <w:sz w:val="22"/>
              </w:rPr>
              <w:t>$1,013M</w:t>
            </w:r>
          </w:p>
        </w:tc>
        <w:tc>
          <w:tcPr>
            <w:tcW w:type="dxa" w:w="1234"/>
          </w:tcPr>
          <w:p>
            <w:r>
              <w:rPr>
                <w:rFonts w:ascii="Calibri" w:hAnsi="Calibri"/>
                <w:sz w:val="22"/>
              </w:rPr>
              <w:t>$1,173M</w:t>
            </w:r>
          </w:p>
        </w:tc>
        <w:tc>
          <w:tcPr>
            <w:tcW w:type="dxa" w:w="1234"/>
          </w:tcPr>
          <w:p>
            <w:r>
              <w:rPr>
                <w:rFonts w:ascii="Calibri" w:hAnsi="Calibri"/>
                <w:sz w:val="22"/>
              </w:rPr>
              <w:t>+15.8%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Q1 2026 is seasonally the strongest quarter for AJG due to January 1 reinsurance renewals. The large YoY revenue jump in Q2 reflects AssuredPartners consolidation (closed ~July 2025). Consensus data sourced from Visible Alpha.</w:t>
      </w:r>
    </w:p>
    <w:p>
      <w:r>
        <w:rPr>
          <w:rFonts w:ascii="Calibri" w:hAnsi="Calibri"/>
          <w:b/>
          <w:color w:val="525866"/>
          <w:sz w:val="22"/>
        </w:rPr>
        <w:t>Table 2 — Beat/Miss History: Last 8 Quarters (Brokerage Organic Growth % and Adj. EPS)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Quarter</w:t>
            </w:r>
          </w:p>
        </w:tc>
        <w:tc>
          <w:tcPr>
            <w:tcW w:type="dxa" w:w="960"/>
            <w:shd w:val="clear" w:color="auto" w:fill="3B4259"/>
          </w:tcPr>
          <w:p>
            <w:r>
              <w:rPr>
                <w:rFonts w:ascii="Calibri" w:hAnsi="Calibri"/>
                <w:b/>
                <w:color w:val="FFFFFF"/>
                <w:sz w:val="22"/>
              </w:rPr>
              <w:t>Brokerage Organic Reported</w:t>
            </w:r>
          </w:p>
        </w:tc>
        <w:tc>
          <w:tcPr>
            <w:tcW w:type="dxa" w:w="960"/>
            <w:shd w:val="clear" w:color="auto" w:fill="3B4259"/>
          </w:tcPr>
          <w:p>
            <w:r>
              <w:rPr>
                <w:rFonts w:ascii="Calibri" w:hAnsi="Calibri"/>
                <w:b/>
                <w:color w:val="FFFFFF"/>
                <w:sz w:val="22"/>
              </w:rPr>
              <w:t>Brokerage Organic Consensus</w:t>
            </w:r>
          </w:p>
        </w:tc>
        <w:tc>
          <w:tcPr>
            <w:tcW w:type="dxa" w:w="960"/>
            <w:shd w:val="clear" w:color="auto" w:fill="3B4259"/>
          </w:tcPr>
          <w:p>
            <w:r>
              <w:rPr>
                <w:rFonts w:ascii="Calibri" w:hAnsi="Calibri"/>
                <w:b/>
                <w:color w:val="FFFFFF"/>
                <w:sz w:val="22"/>
              </w:rPr>
              <w:t>Surprise</w:t>
            </w:r>
          </w:p>
        </w:tc>
        <w:tc>
          <w:tcPr>
            <w:tcW w:type="dxa" w:w="960"/>
            <w:shd w:val="clear" w:color="auto" w:fill="3B4259"/>
          </w:tcPr>
          <w:p>
            <w:r>
              <w:rPr>
                <w:rFonts w:ascii="Calibri" w:hAnsi="Calibri"/>
                <w:b/>
                <w:color w:val="FFFFFF"/>
                <w:sz w:val="22"/>
              </w:rPr>
              <w:t>Result</w:t>
            </w:r>
          </w:p>
        </w:tc>
        <w:tc>
          <w:tcPr>
            <w:tcW w:type="dxa" w:w="960"/>
            <w:shd w:val="clear" w:color="auto" w:fill="3B4259"/>
          </w:tcPr>
          <w:p>
            <w:r>
              <w:rPr>
                <w:rFonts w:ascii="Calibri" w:hAnsi="Calibri"/>
                <w:b/>
                <w:color w:val="FFFFFF"/>
                <w:sz w:val="22"/>
              </w:rPr>
              <w:t>Adj. EPS Reported</w:t>
            </w:r>
          </w:p>
        </w:tc>
        <w:tc>
          <w:tcPr>
            <w:tcW w:type="dxa" w:w="960"/>
            <w:shd w:val="clear" w:color="auto" w:fill="3B4259"/>
          </w:tcPr>
          <w:p>
            <w:r>
              <w:rPr>
                <w:rFonts w:ascii="Calibri" w:hAnsi="Calibri"/>
                <w:b/>
                <w:color w:val="FFFFFF"/>
                <w:sz w:val="22"/>
              </w:rPr>
              <w:t>Adj. EPS Consensus</w:t>
            </w:r>
          </w:p>
        </w:tc>
        <w:tc>
          <w:tcPr>
            <w:tcW w:type="dxa" w:w="960"/>
            <w:shd w:val="clear" w:color="auto" w:fill="3B4259"/>
          </w:tcPr>
          <w:p>
            <w:r>
              <w:rPr>
                <w:rFonts w:ascii="Calibri" w:hAnsi="Calibri"/>
                <w:b/>
                <w:color w:val="FFFFFF"/>
                <w:sz w:val="22"/>
              </w:rPr>
              <w:t>Surprise</w:t>
            </w:r>
          </w:p>
        </w:tc>
        <w:tc>
          <w:tcPr>
            <w:tcW w:type="dxa" w:w="960"/>
            <w:shd w:val="clear" w:color="auto" w:fill="3B4259"/>
          </w:tcPr>
          <w:p>
            <w:r>
              <w:rPr>
                <w:rFonts w:ascii="Calibri" w:hAnsi="Calibri"/>
                <w:b/>
                <w:color w:val="FFFFFF"/>
                <w:sz w:val="22"/>
              </w:rPr>
              <w:t>Result</w:t>
            </w:r>
          </w:p>
        </w:tc>
      </w:tr>
      <w:tr>
        <w:tc>
          <w:tcPr>
            <w:tcW w:type="dxa" w:w="960"/>
          </w:tcPr>
          <w:p>
            <w:r>
              <w:rPr>
                <w:rFonts w:ascii="Calibri" w:hAnsi="Calibri"/>
                <w:sz w:val="22"/>
              </w:rPr>
              <w:t>Q1 2026</w:t>
            </w:r>
          </w:p>
        </w:tc>
        <w:tc>
          <w:tcPr>
            <w:tcW w:type="dxa" w:w="960"/>
          </w:tcPr>
          <w:p>
            <w:r>
              <w:rPr>
                <w:rFonts w:ascii="Calibri" w:hAnsi="Calibri"/>
                <w:sz w:val="22"/>
              </w:rPr>
              <w:t>4.6%</w:t>
            </w:r>
          </w:p>
        </w:tc>
        <w:tc>
          <w:tcPr>
            <w:tcW w:type="dxa" w:w="960"/>
          </w:tcPr>
          <w:p>
            <w:r>
              <w:rPr>
                <w:rFonts w:ascii="Calibri" w:hAnsi="Calibri"/>
                <w:sz w:val="22"/>
              </w:rPr>
              <w:t>4.6%</w:t>
            </w:r>
          </w:p>
        </w:tc>
        <w:tc>
          <w:tcPr>
            <w:tcW w:type="dxa" w:w="960"/>
          </w:tcPr>
          <w:p>
            <w:r>
              <w:rPr>
                <w:rFonts w:ascii="Calibri" w:hAnsi="Calibri"/>
                <w:sz w:val="22"/>
              </w:rPr>
              <w:t>0bps</w:t>
            </w:r>
          </w:p>
        </w:tc>
        <w:tc>
          <w:tcPr>
            <w:tcW w:type="dxa" w:w="960"/>
          </w:tcPr>
          <w:p>
            <w:r>
              <w:rPr>
                <w:rFonts w:ascii="Calibri" w:hAnsi="Calibri"/>
                <w:sz w:val="22"/>
              </w:rPr>
              <w:t>In Line</w:t>
            </w:r>
          </w:p>
        </w:tc>
        <w:tc>
          <w:tcPr>
            <w:tcW w:type="dxa" w:w="960"/>
          </w:tcPr>
          <w:p>
            <w:r>
              <w:rPr>
                <w:rFonts w:ascii="Calibri" w:hAnsi="Calibri"/>
                <w:sz w:val="22"/>
              </w:rPr>
              <w:t>$4.47</w:t>
            </w:r>
          </w:p>
        </w:tc>
        <w:tc>
          <w:tcPr>
            <w:tcW w:type="dxa" w:w="960"/>
          </w:tcPr>
          <w:p>
            <w:r>
              <w:rPr>
                <w:rFonts w:ascii="Calibri" w:hAnsi="Calibri"/>
                <w:sz w:val="22"/>
              </w:rPr>
              <w:t>$4.43</w:t>
            </w:r>
          </w:p>
        </w:tc>
        <w:tc>
          <w:tcPr>
            <w:tcW w:type="dxa" w:w="960"/>
          </w:tcPr>
          <w:p>
            <w:r>
              <w:rPr>
                <w:rFonts w:ascii="Calibri" w:hAnsi="Calibri"/>
                <w:sz w:val="22"/>
              </w:rPr>
              <w:t>+$0.04</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5.0%</w:t>
            </w:r>
          </w:p>
        </w:tc>
        <w:tc>
          <w:tcPr>
            <w:tcW w:type="dxa" w:w="960"/>
          </w:tcPr>
          <w:p>
            <w:r>
              <w:rPr>
                <w:rFonts w:ascii="Calibri" w:hAnsi="Calibri"/>
                <w:sz w:val="22"/>
              </w:rPr>
              <w:t>3.9%</w:t>
            </w:r>
          </w:p>
        </w:tc>
        <w:tc>
          <w:tcPr>
            <w:tcW w:type="dxa" w:w="960"/>
          </w:tcPr>
          <w:p>
            <w:r>
              <w:rPr>
                <w:rFonts w:ascii="Calibri" w:hAnsi="Calibri"/>
                <w:sz w:val="22"/>
              </w:rPr>
              <w:t>+110bps</w:t>
            </w:r>
          </w:p>
        </w:tc>
        <w:tc>
          <w:tcPr>
            <w:tcW w:type="dxa" w:w="960"/>
          </w:tcPr>
          <w:p>
            <w:r>
              <w:rPr>
                <w:rFonts w:ascii="Calibri" w:hAnsi="Calibri"/>
                <w:b/>
                <w:color w:val="30A46C"/>
                <w:sz w:val="22"/>
              </w:rPr>
              <w:t>Beat</w:t>
            </w:r>
          </w:p>
        </w:tc>
        <w:tc>
          <w:tcPr>
            <w:tcW w:type="dxa" w:w="960"/>
          </w:tcPr>
          <w:p>
            <w:r>
              <w:rPr>
                <w:rFonts w:ascii="Calibri" w:hAnsi="Calibri"/>
                <w:sz w:val="22"/>
              </w:rPr>
              <w:t>$2.38</w:t>
            </w:r>
          </w:p>
        </w:tc>
        <w:tc>
          <w:tcPr>
            <w:tcW w:type="dxa" w:w="960"/>
          </w:tcPr>
          <w:p>
            <w:r>
              <w:rPr>
                <w:rFonts w:ascii="Calibri" w:hAnsi="Calibri"/>
                <w:sz w:val="22"/>
              </w:rPr>
              <w:t>$2.32</w:t>
            </w:r>
          </w:p>
        </w:tc>
        <w:tc>
          <w:tcPr>
            <w:tcW w:type="dxa" w:w="960"/>
          </w:tcPr>
          <w:p>
            <w:r>
              <w:rPr>
                <w:rFonts w:ascii="Calibri" w:hAnsi="Calibri"/>
                <w:sz w:val="22"/>
              </w:rPr>
              <w:t>+$0.06</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4.5%</w:t>
            </w:r>
          </w:p>
        </w:tc>
        <w:tc>
          <w:tcPr>
            <w:tcW w:type="dxa" w:w="960"/>
          </w:tcPr>
          <w:p>
            <w:r>
              <w:rPr>
                <w:rFonts w:ascii="Calibri" w:hAnsi="Calibri"/>
                <w:sz w:val="22"/>
              </w:rPr>
              <w:t>5.1%</w:t>
            </w:r>
          </w:p>
        </w:tc>
        <w:tc>
          <w:tcPr>
            <w:tcW w:type="dxa" w:w="960"/>
          </w:tcPr>
          <w:p>
            <w:r>
              <w:rPr>
                <w:rFonts w:ascii="Calibri" w:hAnsi="Calibri"/>
                <w:sz w:val="22"/>
              </w:rPr>
              <w:t>-60bps</w:t>
            </w:r>
          </w:p>
        </w:tc>
        <w:tc>
          <w:tcPr>
            <w:tcW w:type="dxa" w:w="960"/>
          </w:tcPr>
          <w:p>
            <w:r>
              <w:rPr>
                <w:rFonts w:ascii="Calibri" w:hAnsi="Calibri"/>
                <w:b/>
                <w:color w:val="E5484D"/>
                <w:sz w:val="22"/>
              </w:rPr>
              <w:t>Miss</w:t>
            </w:r>
          </w:p>
        </w:tc>
        <w:tc>
          <w:tcPr>
            <w:tcW w:type="dxa" w:w="960"/>
          </w:tcPr>
          <w:p>
            <w:r>
              <w:rPr>
                <w:rFonts w:ascii="Calibri" w:hAnsi="Calibri"/>
                <w:sz w:val="22"/>
              </w:rPr>
              <w:t>$2.32</w:t>
            </w:r>
          </w:p>
        </w:tc>
        <w:tc>
          <w:tcPr>
            <w:tcW w:type="dxa" w:w="960"/>
          </w:tcPr>
          <w:p>
            <w:r>
              <w:rPr>
                <w:rFonts w:ascii="Calibri" w:hAnsi="Calibri"/>
                <w:sz w:val="22"/>
              </w:rPr>
              <w:t>$2.47</w:t>
            </w:r>
          </w:p>
        </w:tc>
        <w:tc>
          <w:tcPr>
            <w:tcW w:type="dxa" w:w="960"/>
          </w:tcPr>
          <w:p>
            <w:r>
              <w:rPr>
                <w:rFonts w:ascii="Calibri" w:hAnsi="Calibri"/>
                <w:sz w:val="22"/>
              </w:rPr>
              <w:t>-$0.15</w:t>
            </w:r>
          </w:p>
        </w:tc>
        <w:tc>
          <w:tcPr>
            <w:tcW w:type="dxa" w:w="960"/>
          </w:tcPr>
          <w:p>
            <w:r>
              <w:rPr>
                <w:rFonts w:ascii="Calibri" w:hAnsi="Calibri"/>
                <w:b/>
                <w:color w:val="E5484D"/>
                <w:sz w:val="22"/>
              </w:rPr>
              <w:t>Miss</w:t>
            </w:r>
          </w:p>
        </w:tc>
      </w:tr>
      <w:tr>
        <w:tc>
          <w:tcPr>
            <w:tcW w:type="dxa" w:w="960"/>
          </w:tcPr>
          <w:p>
            <w:r>
              <w:rPr>
                <w:rFonts w:ascii="Calibri" w:hAnsi="Calibri"/>
                <w:sz w:val="22"/>
              </w:rPr>
              <w:t>Q2 2025</w:t>
            </w:r>
          </w:p>
        </w:tc>
        <w:tc>
          <w:tcPr>
            <w:tcW w:type="dxa" w:w="960"/>
          </w:tcPr>
          <w:p>
            <w:r>
              <w:rPr>
                <w:rFonts w:ascii="Calibri" w:hAnsi="Calibri"/>
                <w:sz w:val="22"/>
              </w:rPr>
              <w:t>5.3%</w:t>
            </w:r>
          </w:p>
        </w:tc>
        <w:tc>
          <w:tcPr>
            <w:tcW w:type="dxa" w:w="960"/>
          </w:tcPr>
          <w:p>
            <w:r>
              <w:rPr>
                <w:rFonts w:ascii="Calibri" w:hAnsi="Calibri"/>
                <w:sz w:val="22"/>
              </w:rPr>
              <w:t>5.6%</w:t>
            </w:r>
          </w:p>
        </w:tc>
        <w:tc>
          <w:tcPr>
            <w:tcW w:type="dxa" w:w="960"/>
          </w:tcPr>
          <w:p>
            <w:r>
              <w:rPr>
                <w:rFonts w:ascii="Calibri" w:hAnsi="Calibri"/>
                <w:sz w:val="22"/>
              </w:rPr>
              <w:t>-30bps</w:t>
            </w:r>
          </w:p>
        </w:tc>
        <w:tc>
          <w:tcPr>
            <w:tcW w:type="dxa" w:w="960"/>
          </w:tcPr>
          <w:p>
            <w:r>
              <w:rPr>
                <w:rFonts w:ascii="Calibri" w:hAnsi="Calibri"/>
                <w:sz w:val="22"/>
              </w:rPr>
              <w:t>Slight Miss</w:t>
            </w:r>
          </w:p>
        </w:tc>
        <w:tc>
          <w:tcPr>
            <w:tcW w:type="dxa" w:w="960"/>
          </w:tcPr>
          <w:p>
            <w:r>
              <w:rPr>
                <w:rFonts w:ascii="Calibri" w:hAnsi="Calibri"/>
                <w:sz w:val="22"/>
              </w:rPr>
              <w:t>$2.33</w:t>
            </w:r>
          </w:p>
        </w:tc>
        <w:tc>
          <w:tcPr>
            <w:tcW w:type="dxa" w:w="960"/>
          </w:tcPr>
          <w:p>
            <w:r>
              <w:rPr>
                <w:rFonts w:ascii="Calibri" w:hAnsi="Calibri"/>
                <w:sz w:val="22"/>
              </w:rPr>
              <w:t>$2.32</w:t>
            </w:r>
          </w:p>
        </w:tc>
        <w:tc>
          <w:tcPr>
            <w:tcW w:type="dxa" w:w="960"/>
          </w:tcPr>
          <w:p>
            <w:r>
              <w:rPr>
                <w:rFonts w:ascii="Calibri" w:hAnsi="Calibri"/>
                <w:sz w:val="22"/>
              </w:rPr>
              <w:t>+$0.01</w:t>
            </w:r>
          </w:p>
        </w:tc>
        <w:tc>
          <w:tcPr>
            <w:tcW w:type="dxa" w:w="960"/>
          </w:tcPr>
          <w:p>
            <w:r>
              <w:rPr>
                <w:rFonts w:ascii="Calibri" w:hAnsi="Calibri"/>
                <w:sz w:val="22"/>
              </w:rPr>
              <w:t>In Line</w:t>
            </w:r>
          </w:p>
        </w:tc>
      </w:tr>
      <w:tr>
        <w:tc>
          <w:tcPr>
            <w:tcW w:type="dxa" w:w="960"/>
          </w:tcPr>
          <w:p>
            <w:r>
              <w:rPr>
                <w:rFonts w:ascii="Calibri" w:hAnsi="Calibri"/>
                <w:sz w:val="22"/>
              </w:rPr>
              <w:t>Q1 2025</w:t>
            </w:r>
          </w:p>
        </w:tc>
        <w:tc>
          <w:tcPr>
            <w:tcW w:type="dxa" w:w="960"/>
          </w:tcPr>
          <w:p>
            <w:r>
              <w:rPr>
                <w:rFonts w:ascii="Calibri" w:hAnsi="Calibri"/>
                <w:sz w:val="22"/>
              </w:rPr>
              <w:t>9.5%</w:t>
            </w:r>
          </w:p>
        </w:tc>
        <w:tc>
          <w:tcPr>
            <w:tcW w:type="dxa" w:w="960"/>
          </w:tcPr>
          <w:p>
            <w:r>
              <w:rPr>
                <w:rFonts w:ascii="Calibri" w:hAnsi="Calibri"/>
                <w:sz w:val="22"/>
              </w:rPr>
              <w:t>8.2%</w:t>
            </w:r>
          </w:p>
        </w:tc>
        <w:tc>
          <w:tcPr>
            <w:tcW w:type="dxa" w:w="960"/>
          </w:tcPr>
          <w:p>
            <w:r>
              <w:rPr>
                <w:rFonts w:ascii="Calibri" w:hAnsi="Calibri"/>
                <w:sz w:val="22"/>
              </w:rPr>
              <w:t>+130bps</w:t>
            </w:r>
          </w:p>
        </w:tc>
        <w:tc>
          <w:tcPr>
            <w:tcW w:type="dxa" w:w="960"/>
          </w:tcPr>
          <w:p>
            <w:r>
              <w:rPr>
                <w:rFonts w:ascii="Calibri" w:hAnsi="Calibri"/>
                <w:b/>
                <w:color w:val="30A46C"/>
                <w:sz w:val="22"/>
              </w:rPr>
              <w:t>Beat</w:t>
            </w:r>
          </w:p>
        </w:tc>
        <w:tc>
          <w:tcPr>
            <w:tcW w:type="dxa" w:w="960"/>
          </w:tcPr>
          <w:p>
            <w:r>
              <w:rPr>
                <w:rFonts w:ascii="Calibri" w:hAnsi="Calibri"/>
                <w:sz w:val="22"/>
              </w:rPr>
              <w:t>$3.68</w:t>
            </w:r>
          </w:p>
        </w:tc>
        <w:tc>
          <w:tcPr>
            <w:tcW w:type="dxa" w:w="960"/>
          </w:tcPr>
          <w:p>
            <w:r>
              <w:rPr>
                <w:rFonts w:ascii="Calibri" w:hAnsi="Calibri"/>
                <w:sz w:val="22"/>
              </w:rPr>
              <w:t>$3.52</w:t>
            </w:r>
          </w:p>
        </w:tc>
        <w:tc>
          <w:tcPr>
            <w:tcW w:type="dxa" w:w="960"/>
          </w:tcPr>
          <w:p>
            <w:r>
              <w:rPr>
                <w:rFonts w:ascii="Calibri" w:hAnsi="Calibri"/>
                <w:sz w:val="22"/>
              </w:rPr>
              <w:t>+$0.16</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sz w:val="22"/>
              </w:rPr>
              <w:t>7.1%</w:t>
            </w:r>
          </w:p>
        </w:tc>
        <w:tc>
          <w:tcPr>
            <w:tcW w:type="dxa" w:w="960"/>
          </w:tcPr>
          <w:p>
            <w:r>
              <w:rPr>
                <w:rFonts w:ascii="Calibri" w:hAnsi="Calibri"/>
                <w:sz w:val="22"/>
              </w:rPr>
              <w:t>7.8%</w:t>
            </w:r>
          </w:p>
        </w:tc>
        <w:tc>
          <w:tcPr>
            <w:tcW w:type="dxa" w:w="960"/>
          </w:tcPr>
          <w:p>
            <w:r>
              <w:rPr>
                <w:rFonts w:ascii="Calibri" w:hAnsi="Calibri"/>
                <w:sz w:val="22"/>
              </w:rPr>
              <w:t>-70bps</w:t>
            </w:r>
          </w:p>
        </w:tc>
        <w:tc>
          <w:tcPr>
            <w:tcW w:type="dxa" w:w="960"/>
          </w:tcPr>
          <w:p>
            <w:r>
              <w:rPr>
                <w:rFonts w:ascii="Calibri" w:hAnsi="Calibri"/>
                <w:b/>
                <w:color w:val="E5484D"/>
                <w:sz w:val="22"/>
              </w:rPr>
              <w:t>Miss</w:t>
            </w:r>
          </w:p>
        </w:tc>
        <w:tc>
          <w:tcPr>
            <w:tcW w:type="dxa" w:w="960"/>
          </w:tcPr>
          <w:p>
            <w:r>
              <w:rPr>
                <w:rFonts w:ascii="Calibri" w:hAnsi="Calibri"/>
                <w:sz w:val="22"/>
              </w:rPr>
              <w:t>$2.13</w:t>
            </w:r>
          </w:p>
        </w:tc>
        <w:tc>
          <w:tcPr>
            <w:tcW w:type="dxa" w:w="960"/>
          </w:tcPr>
          <w:p>
            <w:r>
              <w:rPr>
                <w:rFonts w:ascii="Calibri" w:hAnsi="Calibri"/>
                <w:sz w:val="22"/>
              </w:rPr>
              <w:t>$1.99</w:t>
            </w:r>
          </w:p>
        </w:tc>
        <w:tc>
          <w:tcPr>
            <w:tcW w:type="dxa" w:w="960"/>
          </w:tcPr>
          <w:p>
            <w:r>
              <w:rPr>
                <w:rFonts w:ascii="Calibri" w:hAnsi="Calibri"/>
                <w:sz w:val="22"/>
              </w:rPr>
              <w:t>+$0.14</w:t>
            </w:r>
          </w:p>
        </w:tc>
        <w:tc>
          <w:tcPr>
            <w:tcW w:type="dxa" w:w="960"/>
          </w:tcPr>
          <w:p>
            <w:r>
              <w:rPr>
                <w:rFonts w:ascii="Calibri" w:hAnsi="Calibri"/>
                <w:b/>
                <w:color w:val="30A46C"/>
                <w:sz w:val="22"/>
              </w:rPr>
              <w:t>Beat</w:t>
            </w:r>
          </w:p>
        </w:tc>
      </w:tr>
      <w:tr>
        <w:tc>
          <w:tcPr>
            <w:tcW w:type="dxa" w:w="960"/>
          </w:tcPr>
          <w:p>
            <w:r>
              <w:rPr>
                <w:rFonts w:ascii="Calibri" w:hAnsi="Calibri"/>
                <w:sz w:val="22"/>
              </w:rPr>
              <w:t>Q3 2024</w:t>
            </w:r>
          </w:p>
        </w:tc>
        <w:tc>
          <w:tcPr>
            <w:tcW w:type="dxa" w:w="960"/>
          </w:tcPr>
          <w:p>
            <w:r>
              <w:rPr>
                <w:rFonts w:ascii="Calibri" w:hAnsi="Calibri"/>
                <w:sz w:val="22"/>
              </w:rPr>
              <w:t>6.0%</w:t>
            </w:r>
          </w:p>
        </w:tc>
        <w:tc>
          <w:tcPr>
            <w:tcW w:type="dxa" w:w="960"/>
          </w:tcPr>
          <w:p>
            <w:r>
              <w:rPr>
                <w:rFonts w:ascii="Calibri" w:hAnsi="Calibri"/>
                <w:sz w:val="22"/>
              </w:rPr>
              <w:t>6.4%</w:t>
            </w:r>
          </w:p>
        </w:tc>
        <w:tc>
          <w:tcPr>
            <w:tcW w:type="dxa" w:w="960"/>
          </w:tcPr>
          <w:p>
            <w:r>
              <w:rPr>
                <w:rFonts w:ascii="Calibri" w:hAnsi="Calibri"/>
                <w:sz w:val="22"/>
              </w:rPr>
              <w:t>-40bps</w:t>
            </w:r>
          </w:p>
        </w:tc>
        <w:tc>
          <w:tcPr>
            <w:tcW w:type="dxa" w:w="960"/>
          </w:tcPr>
          <w:p>
            <w:r>
              <w:rPr>
                <w:rFonts w:ascii="Calibri" w:hAnsi="Calibri"/>
                <w:sz w:val="22"/>
              </w:rPr>
              <w:t>Slight Miss</w:t>
            </w:r>
          </w:p>
        </w:tc>
        <w:tc>
          <w:tcPr>
            <w:tcW w:type="dxa" w:w="960"/>
          </w:tcPr>
          <w:p>
            <w:r>
              <w:rPr>
                <w:rFonts w:ascii="Calibri" w:hAnsi="Calibri"/>
                <w:sz w:val="22"/>
              </w:rPr>
              <w:t>$2.25</w:t>
            </w:r>
          </w:p>
        </w:tc>
        <w:tc>
          <w:tcPr>
            <w:tcW w:type="dxa" w:w="960"/>
          </w:tcPr>
          <w:p>
            <w:r>
              <w:rPr>
                <w:rFonts w:ascii="Calibri" w:hAnsi="Calibri"/>
                <w:sz w:val="22"/>
              </w:rPr>
              <w:t>$2.24</w:t>
            </w:r>
          </w:p>
        </w:tc>
        <w:tc>
          <w:tcPr>
            <w:tcW w:type="dxa" w:w="960"/>
          </w:tcPr>
          <w:p>
            <w:r>
              <w:rPr>
                <w:rFonts w:ascii="Calibri" w:hAnsi="Calibri"/>
                <w:sz w:val="22"/>
              </w:rPr>
              <w:t>+$0.01</w:t>
            </w:r>
          </w:p>
        </w:tc>
        <w:tc>
          <w:tcPr>
            <w:tcW w:type="dxa" w:w="960"/>
          </w:tcPr>
          <w:p>
            <w:r>
              <w:rPr>
                <w:rFonts w:ascii="Calibri" w:hAnsi="Calibri"/>
                <w:sz w:val="22"/>
              </w:rPr>
              <w:t>In Line</w:t>
            </w:r>
          </w:p>
        </w:tc>
      </w:tr>
      <w:tr>
        <w:tc>
          <w:tcPr>
            <w:tcW w:type="dxa" w:w="960"/>
          </w:tcPr>
          <w:p>
            <w:r>
              <w:rPr>
                <w:rFonts w:ascii="Calibri" w:hAnsi="Calibri"/>
                <w:sz w:val="22"/>
              </w:rPr>
              <w:t>Q2 2024</w:t>
            </w:r>
          </w:p>
        </w:tc>
        <w:tc>
          <w:tcPr>
            <w:tcW w:type="dxa" w:w="960"/>
          </w:tcPr>
          <w:p>
            <w:r>
              <w:rPr>
                <w:rFonts w:ascii="Calibri" w:hAnsi="Calibri"/>
                <w:sz w:val="22"/>
              </w:rPr>
              <w:t>7.7%</w:t>
            </w:r>
          </w:p>
        </w:tc>
        <w:tc>
          <w:tcPr>
            <w:tcW w:type="dxa" w:w="960"/>
          </w:tcPr>
          <w:p>
            <w:r>
              <w:rPr>
                <w:rFonts w:ascii="Calibri" w:hAnsi="Calibri"/>
                <w:sz w:val="22"/>
              </w:rPr>
              <w:t>7.9%</w:t>
            </w:r>
          </w:p>
        </w:tc>
        <w:tc>
          <w:tcPr>
            <w:tcW w:type="dxa" w:w="960"/>
          </w:tcPr>
          <w:p>
            <w:r>
              <w:rPr>
                <w:rFonts w:ascii="Calibri" w:hAnsi="Calibri"/>
                <w:sz w:val="22"/>
              </w:rPr>
              <w:t>-20bps</w:t>
            </w:r>
          </w:p>
        </w:tc>
        <w:tc>
          <w:tcPr>
            <w:tcW w:type="dxa" w:w="960"/>
          </w:tcPr>
          <w:p>
            <w:r>
              <w:rPr>
                <w:rFonts w:ascii="Calibri" w:hAnsi="Calibri"/>
                <w:sz w:val="22"/>
              </w:rPr>
              <w:t>Slight Miss</w:t>
            </w:r>
          </w:p>
        </w:tc>
        <w:tc>
          <w:tcPr>
            <w:tcW w:type="dxa" w:w="960"/>
          </w:tcPr>
          <w:p>
            <w:r>
              <w:rPr>
                <w:rFonts w:ascii="Calibri" w:hAnsi="Calibri"/>
                <w:sz w:val="22"/>
              </w:rPr>
              <w:t>$2.26</w:t>
            </w:r>
          </w:p>
        </w:tc>
        <w:tc>
          <w:tcPr>
            <w:tcW w:type="dxa" w:w="960"/>
          </w:tcPr>
          <w:p>
            <w:r>
              <w:rPr>
                <w:rFonts w:ascii="Calibri" w:hAnsi="Calibri"/>
                <w:sz w:val="22"/>
              </w:rPr>
              <w:t>$2.21</w:t>
            </w:r>
          </w:p>
        </w:tc>
        <w:tc>
          <w:tcPr>
            <w:tcW w:type="dxa" w:w="960"/>
          </w:tcPr>
          <w:p>
            <w:r>
              <w:rPr>
                <w:rFonts w:ascii="Calibri" w:hAnsi="Calibri"/>
                <w:sz w:val="22"/>
              </w:rPr>
              <w:t>+$0.05</w:t>
            </w:r>
          </w:p>
        </w:tc>
        <w:tc>
          <w:tcPr>
            <w:tcW w:type="dxa" w:w="96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 xml:space="preserve">AJG has a mixed track record on brokerage organic — tending to miss slightly in Q2/Q3 when property headwinds are most acute — but </w:t>
      </w:r>
      <w:r>
        <w:rPr>
          <w:rFonts w:ascii="Calibri" w:hAnsi="Calibri"/>
          <w:b/>
          <w:color w:val="525866"/>
          <w:sz w:val="22"/>
        </w:rPr>
        <w:t>consistently beats on EPS</w:t>
      </w:r>
      <w:r>
        <w:rPr>
          <w:rFonts w:ascii="Calibri" w:hAnsi="Calibri"/>
          <w:color w:val="525866"/>
          <w:sz w:val="22"/>
        </w:rPr>
        <w:t>. The Q3 2025 miss was the most notable, driven by property softening. With property already baked into guidance, the Q2 2026 bar looks more achievable. Consensus data sourced from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Management raised the AssuredPartners synergy target to </w:t>
      </w:r>
      <w:r>
        <w:rPr>
          <w:rFonts w:ascii="Calibri" w:hAnsi="Calibri"/>
          <w:b/>
          <w:color w:val="30A46C"/>
          <w:sz w:val="22"/>
        </w:rPr>
        <w:t>up to $325M by early 2028</w:t>
      </w:r>
      <w:r>
        <w:rPr>
          <w:rFonts w:ascii="Calibri" w:hAnsi="Calibri"/>
          <w:b/>
          <w:color w:val="525866"/>
          <w:sz w:val="22"/>
        </w:rPr>
        <w:t xml:space="preserve"> at the June 17 investor meeting — the most significant guidance change since Q1 earnings. All other guidance is unchanged and reaffirmed.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Brokerage Organic Growth — Q2 2026</w:t>
            </w:r>
          </w:p>
        </w:tc>
        <w:tc>
          <w:tcPr>
            <w:tcW w:type="dxa" w:w="1728"/>
          </w:tcPr>
          <w:p>
            <w:r>
              <w:rPr>
                <w:rFonts w:ascii="Calibri" w:hAnsi="Calibri"/>
                <w:sz w:val="22"/>
              </w:rPr>
              <w:t>~5%</w:t>
            </w:r>
          </w:p>
        </w:tc>
        <w:tc>
          <w:tcPr>
            <w:tcW w:type="dxa" w:w="1728"/>
          </w:tcPr>
          <w:p>
            <w:r>
              <w:rPr>
                <w:rFonts w:ascii="Calibri" w:hAnsi="Calibri"/>
                <w:sz w:val="22"/>
              </w:rPr>
              <w:t>Unchanged</w:t>
            </w:r>
          </w:p>
        </w:tc>
        <w:tc>
          <w:tcPr>
            <w:tcW w:type="dxa" w:w="1728"/>
          </w:tcPr>
          <w:p>
            <w:r>
              <w:rPr>
                <w:rFonts w:ascii="Calibri" w:hAnsi="Calibri"/>
                <w:sz w:val="22"/>
              </w:rPr>
              <w:t>4.9%</w:t>
            </w:r>
          </w:p>
        </w:tc>
        <w:tc>
          <w:tcPr>
            <w:tcW w:type="dxa" w:w="1728"/>
          </w:tcPr>
          <w:p>
            <w:r>
              <w:rPr>
                <w:rFonts w:ascii="Calibri" w:hAnsi="Calibri"/>
                <w:sz w:val="22"/>
              </w:rPr>
              <w:t>Reaffirmed at June 17 investor meeting</w:t>
            </w:r>
          </w:p>
        </w:tc>
      </w:tr>
      <w:tr>
        <w:tc>
          <w:tcPr>
            <w:tcW w:type="dxa" w:w="1728"/>
          </w:tcPr>
          <w:p>
            <w:r>
              <w:rPr>
                <w:rFonts w:ascii="Calibri" w:hAnsi="Calibri"/>
                <w:sz w:val="22"/>
              </w:rPr>
              <w:t>Brokerage Organic Growth — FY 2026</w:t>
            </w:r>
          </w:p>
        </w:tc>
        <w:tc>
          <w:tcPr>
            <w:tcW w:type="dxa" w:w="1728"/>
          </w:tcPr>
          <w:p>
            <w:r>
              <w:rPr>
                <w:rFonts w:ascii="Calibri" w:hAnsi="Calibri"/>
                <w:sz w:val="22"/>
              </w:rPr>
              <w:t>~5.5%</w:t>
            </w:r>
          </w:p>
        </w:tc>
        <w:tc>
          <w:tcPr>
            <w:tcW w:type="dxa" w:w="1728"/>
          </w:tcPr>
          <w:p>
            <w:r>
              <w:rPr>
                <w:rFonts w:ascii="Calibri" w:hAnsi="Calibri"/>
                <w:sz w:val="22"/>
              </w:rPr>
              <w:t>Unchanged</w:t>
            </w:r>
          </w:p>
        </w:tc>
        <w:tc>
          <w:tcPr>
            <w:tcW w:type="dxa" w:w="1728"/>
          </w:tcPr>
          <w:p>
            <w:r>
              <w:rPr>
                <w:rFonts w:ascii="Calibri" w:hAnsi="Calibri"/>
                <w:sz w:val="22"/>
              </w:rPr>
              <w:t>5.2%</w:t>
            </w:r>
          </w:p>
        </w:tc>
        <w:tc>
          <w:tcPr>
            <w:tcW w:type="dxa" w:w="1728"/>
          </w:tcPr>
          <w:p>
            <w:r>
              <w:rPr>
                <w:rFonts w:ascii="Calibri" w:hAnsi="Calibri"/>
                <w:sz w:val="22"/>
              </w:rPr>
              <w:t>Reaffirmed at June 17 investor meeting</w:t>
            </w:r>
          </w:p>
        </w:tc>
      </w:tr>
      <w:tr>
        <w:tc>
          <w:tcPr>
            <w:tcW w:type="dxa" w:w="1728"/>
          </w:tcPr>
          <w:p>
            <w:r>
              <w:rPr>
                <w:rFonts w:ascii="Calibri" w:hAnsi="Calibri"/>
                <w:sz w:val="22"/>
              </w:rPr>
              <w:t>Risk Mgmt Organic Growth — Q2 2026</w:t>
            </w:r>
          </w:p>
        </w:tc>
        <w:tc>
          <w:tcPr>
            <w:tcW w:type="dxa" w:w="1728"/>
          </w:tcPr>
          <w:p>
            <w:r>
              <w:rPr>
                <w:rFonts w:ascii="Calibri" w:hAnsi="Calibri"/>
                <w:sz w:val="22"/>
              </w:rPr>
              <w:t>~11%</w:t>
            </w:r>
          </w:p>
        </w:tc>
        <w:tc>
          <w:tcPr>
            <w:tcW w:type="dxa" w:w="1728"/>
          </w:tcPr>
          <w:p>
            <w:r>
              <w:rPr>
                <w:rFonts w:ascii="Calibri" w:hAnsi="Calibri"/>
                <w:sz w:val="22"/>
              </w:rPr>
              <w:t>Unchanged</w:t>
            </w:r>
          </w:p>
        </w:tc>
        <w:tc>
          <w:tcPr>
            <w:tcW w:type="dxa" w:w="1728"/>
          </w:tcPr>
          <w:p>
            <w:r>
              <w:rPr>
                <w:rFonts w:ascii="Calibri" w:hAnsi="Calibri"/>
                <w:sz w:val="22"/>
              </w:rPr>
              <w:t>10.7%</w:t>
            </w:r>
          </w:p>
        </w:tc>
        <w:tc>
          <w:tcPr>
            <w:tcW w:type="dxa" w:w="1728"/>
          </w:tcPr>
          <w:p>
            <w:r>
              <w:rPr>
                <w:rFonts w:ascii="Calibri" w:hAnsi="Calibri"/>
                <w:sz w:val="22"/>
              </w:rPr>
              <w:t>Driven by large new business wins from late 2025</w:t>
            </w:r>
          </w:p>
        </w:tc>
      </w:tr>
      <w:tr>
        <w:tc>
          <w:tcPr>
            <w:tcW w:type="dxa" w:w="1728"/>
          </w:tcPr>
          <w:p>
            <w:r>
              <w:rPr>
                <w:rFonts w:ascii="Calibri" w:hAnsi="Calibri"/>
                <w:sz w:val="22"/>
              </w:rPr>
              <w:t>Risk Mgmt Organic Growth — FY 2026</w:t>
            </w:r>
          </w:p>
        </w:tc>
        <w:tc>
          <w:tcPr>
            <w:tcW w:type="dxa" w:w="1728"/>
          </w:tcPr>
          <w:p>
            <w:r>
              <w:rPr>
                <w:rFonts w:ascii="Calibri" w:hAnsi="Calibri"/>
                <w:sz w:val="22"/>
              </w:rPr>
              <w:t>~7%</w:t>
            </w:r>
          </w:p>
        </w:tc>
        <w:tc>
          <w:tcPr>
            <w:tcW w:type="dxa" w:w="1728"/>
          </w:tcPr>
          <w:p>
            <w:r>
              <w:rPr>
                <w:rFonts w:ascii="Calibri" w:hAnsi="Calibri"/>
                <w:b/>
                <w:color w:val="30A46C"/>
                <w:sz w:val="22"/>
              </w:rPr>
              <w:t>Raised to ~8%</w:t>
            </w:r>
          </w:p>
        </w:tc>
        <w:tc>
          <w:tcPr>
            <w:tcW w:type="dxa" w:w="1728"/>
          </w:tcPr>
          <w:p>
            <w:r>
              <w:rPr>
                <w:rFonts w:ascii="Calibri" w:hAnsi="Calibri"/>
                <w:sz w:val="22"/>
              </w:rPr>
              <w:t>8.1%</w:t>
            </w:r>
          </w:p>
        </w:tc>
        <w:tc>
          <w:tcPr>
            <w:tcW w:type="dxa" w:w="1728"/>
          </w:tcPr>
          <w:p>
            <w:r>
              <w:rPr>
                <w:rFonts w:ascii="Calibri" w:hAnsi="Calibri"/>
                <w:sz w:val="22"/>
              </w:rPr>
              <w:t>↑ Raised at June 17 investor meeting; large new business wins</w:t>
            </w:r>
          </w:p>
        </w:tc>
      </w:tr>
      <w:tr>
        <w:tc>
          <w:tcPr>
            <w:tcW w:type="dxa" w:w="1728"/>
          </w:tcPr>
          <w:p>
            <w:r>
              <w:rPr>
                <w:rFonts w:ascii="Calibri" w:hAnsi="Calibri"/>
                <w:sz w:val="22"/>
              </w:rPr>
              <w:t>Combined Brokerage + Risk Mgmt FY Organic</w:t>
            </w:r>
          </w:p>
        </w:tc>
        <w:tc>
          <w:tcPr>
            <w:tcW w:type="dxa" w:w="1728"/>
          </w:tcPr>
          <w:p>
            <w:r>
              <w:rPr>
                <w:rFonts w:ascii="Calibri" w:hAnsi="Calibri"/>
                <w:sz w:val="22"/>
              </w:rPr>
              <w:t>~6%</w:t>
            </w:r>
          </w:p>
        </w:tc>
        <w:tc>
          <w:tcPr>
            <w:tcW w:type="dxa" w:w="1728"/>
          </w:tcPr>
          <w:p>
            <w:r>
              <w:rPr>
                <w:rFonts w:ascii="Calibri" w:hAnsi="Calibri"/>
                <w:sz w:val="22"/>
              </w:rPr>
              <w:t>Unchanged</w:t>
            </w:r>
          </w:p>
        </w:tc>
        <w:tc>
          <w:tcPr>
            <w:tcW w:type="dxa" w:w="1728"/>
          </w:tcPr>
          <w:p>
            <w:r>
              <w:rPr>
                <w:rFonts w:ascii="Calibri" w:hAnsi="Calibri"/>
                <w:sz w:val="22"/>
              </w:rPr>
              <w:t>~6%</w:t>
            </w:r>
          </w:p>
        </w:tc>
        <w:tc>
          <w:tcPr>
            <w:tcW w:type="dxa" w:w="1728"/>
          </w:tcPr>
          <w:p>
            <w:r>
              <w:rPr>
                <w:rFonts w:ascii="Calibri" w:hAnsi="Calibri"/>
                <w:sz w:val="22"/>
              </w:rPr>
              <w:t>Reaffirmed</w:t>
            </w:r>
          </w:p>
        </w:tc>
      </w:tr>
      <w:tr>
        <w:tc>
          <w:tcPr>
            <w:tcW w:type="dxa" w:w="1728"/>
          </w:tcPr>
          <w:p>
            <w:r>
              <w:rPr>
                <w:rFonts w:ascii="Calibri" w:hAnsi="Calibri"/>
                <w:sz w:val="22"/>
              </w:rPr>
              <w:t>Brokerage Adj. EBITDAC Margin (Underlying)</w:t>
            </w:r>
          </w:p>
        </w:tc>
        <w:tc>
          <w:tcPr>
            <w:tcW w:type="dxa" w:w="1728"/>
          </w:tcPr>
          <w:p>
            <w:r>
              <w:rPr>
                <w:rFonts w:ascii="Calibri" w:hAnsi="Calibri"/>
                <w:sz w:val="22"/>
              </w:rPr>
              <w:t>40–60bps expansion</w:t>
            </w:r>
          </w:p>
        </w:tc>
        <w:tc>
          <w:tcPr>
            <w:tcW w:type="dxa" w:w="1728"/>
          </w:tcPr>
          <w:p>
            <w:r>
              <w:rPr>
                <w:rFonts w:ascii="Calibri" w:hAnsi="Calibri"/>
                <w:sz w:val="22"/>
              </w:rPr>
              <w:t>Unchanged</w:t>
            </w:r>
          </w:p>
        </w:tc>
        <w:tc>
          <w:tcPr>
            <w:tcW w:type="dxa" w:w="1728"/>
          </w:tcPr>
          <w:p>
            <w:r>
              <w:rPr>
                <w:rFonts w:ascii="Calibri" w:hAnsi="Calibri"/>
                <w:sz w:val="22"/>
              </w:rPr>
              <w:t>35.8% FY</w:t>
            </w:r>
          </w:p>
        </w:tc>
        <w:tc>
          <w:tcPr>
            <w:tcW w:type="dxa" w:w="1728"/>
          </w:tcPr>
          <w:p>
            <w:r>
              <w:rPr>
                <w:rFonts w:ascii="Calibri" w:hAnsi="Calibri"/>
                <w:sz w:val="22"/>
              </w:rPr>
              <w:t>Unchanged from April</w:t>
            </w:r>
          </w:p>
        </w:tc>
      </w:tr>
      <w:tr>
        <w:tc>
          <w:tcPr>
            <w:tcW w:type="dxa" w:w="1728"/>
          </w:tcPr>
          <w:p>
            <w:r>
              <w:rPr>
                <w:rFonts w:ascii="Calibri" w:hAnsi="Calibri"/>
                <w:sz w:val="22"/>
              </w:rPr>
              <w:t>Risk Mgmt EBITDAC Margin</w:t>
            </w:r>
          </w:p>
        </w:tc>
        <w:tc>
          <w:tcPr>
            <w:tcW w:type="dxa" w:w="1728"/>
          </w:tcPr>
          <w:p>
            <w:r>
              <w:rPr>
                <w:rFonts w:ascii="Calibri" w:hAnsi="Calibri"/>
                <w:sz w:val="22"/>
              </w:rPr>
              <w:t>21–22%</w:t>
            </w:r>
          </w:p>
        </w:tc>
        <w:tc>
          <w:tcPr>
            <w:tcW w:type="dxa" w:w="1728"/>
          </w:tcPr>
          <w:p>
            <w:r>
              <w:rPr>
                <w:rFonts w:ascii="Calibri" w:hAnsi="Calibri"/>
                <w:sz w:val="22"/>
              </w:rPr>
              <w:t>Unchanged</w:t>
            </w:r>
          </w:p>
        </w:tc>
        <w:tc>
          <w:tcPr>
            <w:tcW w:type="dxa" w:w="1728"/>
          </w:tcPr>
          <w:p>
            <w:r>
              <w:rPr>
                <w:rFonts w:ascii="Calibri" w:hAnsi="Calibri"/>
                <w:sz w:val="22"/>
              </w:rPr>
              <w:t>21.7% FY</w:t>
            </w:r>
          </w:p>
        </w:tc>
        <w:tc>
          <w:tcPr>
            <w:tcW w:type="dxa" w:w="1728"/>
          </w:tcPr>
          <w:p>
            <w:r>
              <w:rPr>
                <w:rFonts w:ascii="Calibri" w:hAnsi="Calibri"/>
                <w:sz w:val="22"/>
              </w:rPr>
              <w:t>Unchanged</w:t>
            </w:r>
          </w:p>
        </w:tc>
      </w:tr>
      <w:tr>
        <w:tc>
          <w:tcPr>
            <w:tcW w:type="dxa" w:w="1728"/>
          </w:tcPr>
          <w:p>
            <w:r>
              <w:rPr>
                <w:rFonts w:ascii="Calibri" w:hAnsi="Calibri"/>
                <w:sz w:val="22"/>
              </w:rPr>
              <w:t>AssuredPartners Synergies (Run-Rate by Early 2028)</w:t>
            </w:r>
          </w:p>
        </w:tc>
        <w:tc>
          <w:tcPr>
            <w:tcW w:type="dxa" w:w="1728"/>
          </w:tcPr>
          <w:p>
            <w:r>
              <w:rPr>
                <w:rFonts w:ascii="Calibri" w:hAnsi="Calibri"/>
                <w:sz w:val="22"/>
              </w:rPr>
              <w:t>$300M</w:t>
            </w:r>
          </w:p>
        </w:tc>
        <w:tc>
          <w:tcPr>
            <w:tcW w:type="dxa" w:w="1728"/>
          </w:tcPr>
          <w:p>
            <w:r>
              <w:rPr>
                <w:rFonts w:ascii="Calibri" w:hAnsi="Calibri"/>
                <w:b/>
                <w:color w:val="30A46C"/>
                <w:sz w:val="22"/>
              </w:rPr>
              <w:t>Raised to up to $325M</w:t>
            </w:r>
          </w:p>
        </w:tc>
        <w:tc>
          <w:tcPr>
            <w:tcW w:type="dxa" w:w="1728"/>
          </w:tcPr>
          <w:p>
            <w:r>
              <w:rPr>
                <w:rFonts w:ascii="Calibri" w:hAnsi="Calibri"/>
                <w:sz w:val="22"/>
              </w:rPr>
              <w:t>N/A</w:t>
            </w:r>
          </w:p>
        </w:tc>
        <w:tc>
          <w:tcPr>
            <w:tcW w:type="dxa" w:w="1728"/>
          </w:tcPr>
          <w:p>
            <w:r>
              <w:rPr>
                <w:rFonts w:ascii="Calibri" w:hAnsi="Calibri"/>
                <w:sz w:val="22"/>
              </w:rPr>
              <w:t>↑ Raised at June 17 investor meeting; up from $160M original at deal announcement (Dec 2024)</w:t>
            </w:r>
          </w:p>
        </w:tc>
      </w:tr>
      <w:tr>
        <w:tc>
          <w:tcPr>
            <w:tcW w:type="dxa" w:w="1728"/>
          </w:tcPr>
          <w:p>
            <w:r>
              <w:rPr>
                <w:rFonts w:ascii="Calibri" w:hAnsi="Calibri"/>
                <w:sz w:val="22"/>
              </w:rPr>
              <w:t>Share Repurchases (Q2 YTD as of June 17)</w:t>
            </w:r>
          </w:p>
        </w:tc>
        <w:tc>
          <w:tcPr>
            <w:tcW w:type="dxa" w:w="1728"/>
          </w:tcPr>
          <w:p>
            <w:r>
              <w:rPr>
                <w:rFonts w:ascii="Calibri" w:hAnsi="Calibri"/>
                <w:sz w:val="22"/>
              </w:rPr>
              <w:t>N/A</w:t>
            </w:r>
          </w:p>
        </w:tc>
        <w:tc>
          <w:tcPr>
            <w:tcW w:type="dxa" w:w="1728"/>
          </w:tcPr>
          <w:p>
            <w:r>
              <w:rPr>
                <w:rFonts w:ascii="Calibri" w:hAnsi="Calibri"/>
                <w:sz w:val="22"/>
              </w:rPr>
              <w:t>~$170M in Q2</w:t>
            </w:r>
          </w:p>
        </w:tc>
        <w:tc>
          <w:tcPr>
            <w:tcW w:type="dxa" w:w="1728"/>
          </w:tcPr>
          <w:p>
            <w:r>
              <w:rPr>
                <w:rFonts w:ascii="Calibri" w:hAnsi="Calibri"/>
                <w:sz w:val="22"/>
              </w:rPr>
              <w:t>N/A</w:t>
            </w:r>
          </w:p>
        </w:tc>
        <w:tc>
          <w:tcPr>
            <w:tcW w:type="dxa" w:w="1728"/>
          </w:tcPr>
          <w:p>
            <w:r>
              <w:rPr>
                <w:rFonts w:ascii="Calibri" w:hAnsi="Calibri"/>
                <w:sz w:val="22"/>
              </w:rPr>
              <w:t>Additional $170M repurchased in Q2 through June 17; management views equity as undervalued</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Estimates have been broadly stable since Q1 earnings, with a meaningful upward revision to Risk Management organic growth (from 7.4% to 10.7% for Q2). </w:t>
      </w:r>
      <w:r>
        <w:rPr>
          <w:rFonts w:ascii="Calibri" w:hAnsi="Calibri"/>
          <w:b/>
          <w:color w:val="525866"/>
          <w:sz w:val="22"/>
        </w:rPr>
        <w:t>The synergy upgrade at the June investor meeting has not yet flowed through to consensus EPS estimates, suggesting potential upside if management provides further synergy color on the Q2 call.</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(May 7, 2026 — ~5 days post Q1 earnings)</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 vs. Guidance</w:t>
            </w:r>
          </w:p>
        </w:tc>
      </w:tr>
      <w:tr>
        <w:tc>
          <w:tcPr>
            <w:tcW w:type="dxa" w:w="960"/>
          </w:tcPr>
          <w:p>
            <w:r>
              <w:rPr>
                <w:rFonts w:ascii="Calibri" w:hAnsi="Calibri"/>
                <w:sz w:val="22"/>
              </w:rPr>
              <w:t>Brokerage Organic Growth (%)</w:t>
            </w:r>
          </w:p>
        </w:tc>
        <w:tc>
          <w:tcPr>
            <w:tcW w:type="dxa" w:w="960"/>
          </w:tcPr>
          <w:p>
            <w:r>
              <w:rPr>
                <w:rFonts w:ascii="Calibri" w:hAnsi="Calibri"/>
                <w:sz w:val="22"/>
              </w:rPr>
              <w:t>Q2 2026</w:t>
            </w:r>
          </w:p>
        </w:tc>
        <w:tc>
          <w:tcPr>
            <w:tcW w:type="dxa" w:w="960"/>
          </w:tcPr>
          <w:p>
            <w:r>
              <w:rPr>
                <w:rFonts w:ascii="Calibri" w:hAnsi="Calibri"/>
                <w:sz w:val="22"/>
              </w:rPr>
              <w:t>5.0%</w:t>
            </w:r>
          </w:p>
        </w:tc>
        <w:tc>
          <w:tcPr>
            <w:tcW w:type="dxa" w:w="960"/>
          </w:tcPr>
          <w:p>
            <w:r>
              <w:rPr>
                <w:rFonts w:ascii="Calibri" w:hAnsi="Calibri"/>
                <w:sz w:val="22"/>
              </w:rPr>
              <w:t>4.9%</w:t>
            </w:r>
          </w:p>
        </w:tc>
        <w:tc>
          <w:tcPr>
            <w:tcW w:type="dxa" w:w="960"/>
          </w:tcPr>
          <w:p>
            <w:r>
              <w:rPr>
                <w:rFonts w:ascii="Calibri" w:hAnsi="Calibri"/>
                <w:sz w:val="22"/>
              </w:rPr>
              <w:t>-0.1pp</w:t>
            </w:r>
          </w:p>
        </w:tc>
        <w:tc>
          <w:tcPr>
            <w:tcW w:type="dxa" w:w="960"/>
          </w:tcPr>
          <w:p>
            <w:r>
              <w:rPr>
                <w:rFonts w:ascii="Calibri" w:hAnsi="Calibri"/>
                <w:sz w:val="22"/>
              </w:rPr>
              <w:t>~5%</w:t>
            </w:r>
          </w:p>
        </w:tc>
        <w:tc>
          <w:tcPr>
            <w:tcW w:type="dxa" w:w="960"/>
          </w:tcPr>
          <w:p>
            <w:r>
              <w:rPr>
                <w:rFonts w:ascii="Calibri" w:hAnsi="Calibri"/>
                <w:sz w:val="22"/>
              </w:rPr>
              <w:t>~5%</w:t>
            </w:r>
          </w:p>
        </w:tc>
        <w:tc>
          <w:tcPr>
            <w:tcW w:type="dxa" w:w="960"/>
          </w:tcPr>
          <w:p>
            <w:r>
              <w:rPr>
                <w:rFonts w:ascii="Calibri" w:hAnsi="Calibri"/>
                <w:sz w:val="22"/>
              </w:rPr>
              <w:t>Unchanged</w:t>
            </w:r>
          </w:p>
        </w:tc>
        <w:tc>
          <w:tcPr>
            <w:tcW w:type="dxa" w:w="960"/>
          </w:tcPr>
          <w:p>
            <w:r>
              <w:rPr>
                <w:rFonts w:ascii="Calibri" w:hAnsi="Calibri"/>
                <w:sz w:val="22"/>
              </w:rPr>
              <w:t>In line</w:t>
            </w:r>
          </w:p>
        </w:tc>
      </w:tr>
      <w:tr>
        <w:tc>
          <w:tcPr>
            <w:tcW w:type="dxa" w:w="960"/>
          </w:tcPr>
          <w:p>
            <w:r>
              <w:rPr>
                <w:rFonts w:ascii="Calibri" w:hAnsi="Calibri"/>
                <w:sz w:val="22"/>
              </w:rPr>
              <w:t>Brokerage Organic Growth (%)</w:t>
            </w:r>
          </w:p>
        </w:tc>
        <w:tc>
          <w:tcPr>
            <w:tcW w:type="dxa" w:w="960"/>
          </w:tcPr>
          <w:p>
            <w:r>
              <w:rPr>
                <w:rFonts w:ascii="Calibri" w:hAnsi="Calibri"/>
                <w:sz w:val="22"/>
              </w:rPr>
              <w:t>FY 2026</w:t>
            </w:r>
          </w:p>
        </w:tc>
        <w:tc>
          <w:tcPr>
            <w:tcW w:type="dxa" w:w="960"/>
          </w:tcPr>
          <w:p>
            <w:r>
              <w:rPr>
                <w:rFonts w:ascii="Calibri" w:hAnsi="Calibri"/>
                <w:sz w:val="22"/>
              </w:rPr>
              <w:t>5.2%</w:t>
            </w:r>
          </w:p>
        </w:tc>
        <w:tc>
          <w:tcPr>
            <w:tcW w:type="dxa" w:w="960"/>
          </w:tcPr>
          <w:p>
            <w:r>
              <w:rPr>
                <w:rFonts w:ascii="Calibri" w:hAnsi="Calibri"/>
                <w:sz w:val="22"/>
              </w:rPr>
              <w:t>5.2%</w:t>
            </w:r>
          </w:p>
        </w:tc>
        <w:tc>
          <w:tcPr>
            <w:tcW w:type="dxa" w:w="960"/>
          </w:tcPr>
          <w:p>
            <w:r>
              <w:rPr>
                <w:rFonts w:ascii="Calibri" w:hAnsi="Calibri"/>
                <w:sz w:val="22"/>
              </w:rPr>
              <w:t>Flat</w:t>
            </w:r>
          </w:p>
        </w:tc>
        <w:tc>
          <w:tcPr>
            <w:tcW w:type="dxa" w:w="960"/>
          </w:tcPr>
          <w:p>
            <w:r>
              <w:rPr>
                <w:rFonts w:ascii="Calibri" w:hAnsi="Calibri"/>
                <w:sz w:val="22"/>
              </w:rPr>
              <w:t>~5.5%</w:t>
            </w:r>
          </w:p>
        </w:tc>
        <w:tc>
          <w:tcPr>
            <w:tcW w:type="dxa" w:w="960"/>
          </w:tcPr>
          <w:p>
            <w:r>
              <w:rPr>
                <w:rFonts w:ascii="Calibri" w:hAnsi="Calibri"/>
                <w:sz w:val="22"/>
              </w:rPr>
              <w:t>~5.5%</w:t>
            </w:r>
          </w:p>
        </w:tc>
        <w:tc>
          <w:tcPr>
            <w:tcW w:type="dxa" w:w="960"/>
          </w:tcPr>
          <w:p>
            <w:r>
              <w:rPr>
                <w:rFonts w:ascii="Calibri" w:hAnsi="Calibri"/>
                <w:sz w:val="22"/>
              </w:rPr>
              <w:t>Unchanged</w:t>
            </w:r>
          </w:p>
        </w:tc>
        <w:tc>
          <w:tcPr>
            <w:tcW w:type="dxa" w:w="960"/>
          </w:tcPr>
          <w:p>
            <w:r>
              <w:rPr>
                <w:rFonts w:ascii="Calibri" w:hAnsi="Calibri"/>
                <w:sz w:val="22"/>
              </w:rPr>
              <w:t>-30bps below guide</w:t>
            </w:r>
          </w:p>
        </w:tc>
      </w:tr>
      <w:tr>
        <w:tc>
          <w:tcPr>
            <w:tcW w:type="dxa" w:w="960"/>
          </w:tcPr>
          <w:p>
            <w:r>
              <w:rPr>
                <w:rFonts w:ascii="Calibri" w:hAnsi="Calibri"/>
                <w:sz w:val="22"/>
              </w:rPr>
              <w:t>Risk Mgmt Organic Growth (%)</w:t>
            </w:r>
          </w:p>
        </w:tc>
        <w:tc>
          <w:tcPr>
            <w:tcW w:type="dxa" w:w="960"/>
          </w:tcPr>
          <w:p>
            <w:r>
              <w:rPr>
                <w:rFonts w:ascii="Calibri" w:hAnsi="Calibri"/>
                <w:sz w:val="22"/>
              </w:rPr>
              <w:t>Q2 2026</w:t>
            </w:r>
          </w:p>
        </w:tc>
        <w:tc>
          <w:tcPr>
            <w:tcW w:type="dxa" w:w="960"/>
          </w:tcPr>
          <w:p>
            <w:r>
              <w:rPr>
                <w:rFonts w:ascii="Calibri" w:hAnsi="Calibri"/>
                <w:sz w:val="22"/>
              </w:rPr>
              <w:t>7.4%</w:t>
            </w:r>
          </w:p>
        </w:tc>
        <w:tc>
          <w:tcPr>
            <w:tcW w:type="dxa" w:w="960"/>
          </w:tcPr>
          <w:p>
            <w:r>
              <w:rPr>
                <w:rFonts w:ascii="Calibri" w:hAnsi="Calibri"/>
                <w:b/>
                <w:color w:val="30A46C"/>
                <w:sz w:val="22"/>
              </w:rPr>
              <w:t>10.7%</w:t>
            </w:r>
          </w:p>
        </w:tc>
        <w:tc>
          <w:tcPr>
            <w:tcW w:type="dxa" w:w="960"/>
          </w:tcPr>
          <w:p>
            <w:r>
              <w:rPr>
                <w:rFonts w:ascii="Calibri" w:hAnsi="Calibri"/>
                <w:b/>
                <w:color w:val="30A46C"/>
                <w:sz w:val="22"/>
              </w:rPr>
              <w:t>+330bps</w:t>
            </w:r>
          </w:p>
        </w:tc>
        <w:tc>
          <w:tcPr>
            <w:tcW w:type="dxa" w:w="960"/>
          </w:tcPr>
          <w:p>
            <w:r>
              <w:rPr>
                <w:rFonts w:ascii="Calibri" w:hAnsi="Calibri"/>
                <w:sz w:val="22"/>
              </w:rPr>
              <w:t>~11%</w:t>
            </w:r>
          </w:p>
        </w:tc>
        <w:tc>
          <w:tcPr>
            <w:tcW w:type="dxa" w:w="960"/>
          </w:tcPr>
          <w:p>
            <w:r>
              <w:rPr>
                <w:rFonts w:ascii="Calibri" w:hAnsi="Calibri"/>
                <w:sz w:val="22"/>
              </w:rPr>
              <w:t>~11%</w:t>
            </w:r>
          </w:p>
        </w:tc>
        <w:tc>
          <w:tcPr>
            <w:tcW w:type="dxa" w:w="960"/>
          </w:tcPr>
          <w:p>
            <w:r>
              <w:rPr>
                <w:rFonts w:ascii="Calibri" w:hAnsi="Calibri"/>
                <w:sz w:val="22"/>
              </w:rPr>
              <w:t>Unchanged</w:t>
            </w:r>
          </w:p>
        </w:tc>
        <w:tc>
          <w:tcPr>
            <w:tcW w:type="dxa" w:w="960"/>
          </w:tcPr>
          <w:p>
            <w:r>
              <w:rPr>
                <w:rFonts w:ascii="Calibri" w:hAnsi="Calibri"/>
                <w:sz w:val="22"/>
              </w:rPr>
              <w:t>In line</w:t>
            </w:r>
          </w:p>
        </w:tc>
      </w:tr>
      <w:tr>
        <w:tc>
          <w:tcPr>
            <w:tcW w:type="dxa" w:w="960"/>
          </w:tcPr>
          <w:p>
            <w:r>
              <w:rPr>
                <w:rFonts w:ascii="Calibri" w:hAnsi="Calibri"/>
                <w:sz w:val="22"/>
              </w:rPr>
              <w:t>Risk Mgmt Organic Growth (%)</w:t>
            </w:r>
          </w:p>
        </w:tc>
        <w:tc>
          <w:tcPr>
            <w:tcW w:type="dxa" w:w="960"/>
          </w:tcPr>
          <w:p>
            <w:r>
              <w:rPr>
                <w:rFonts w:ascii="Calibri" w:hAnsi="Calibri"/>
                <w:sz w:val="22"/>
              </w:rPr>
              <w:t>FY 2026</w:t>
            </w:r>
          </w:p>
        </w:tc>
        <w:tc>
          <w:tcPr>
            <w:tcW w:type="dxa" w:w="960"/>
          </w:tcPr>
          <w:p>
            <w:r>
              <w:rPr>
                <w:rFonts w:ascii="Calibri" w:hAnsi="Calibri"/>
                <w:sz w:val="22"/>
              </w:rPr>
              <w:t>7.2%</w:t>
            </w:r>
          </w:p>
        </w:tc>
        <w:tc>
          <w:tcPr>
            <w:tcW w:type="dxa" w:w="960"/>
          </w:tcPr>
          <w:p>
            <w:r>
              <w:rPr>
                <w:rFonts w:ascii="Calibri" w:hAnsi="Calibri"/>
                <w:sz w:val="22"/>
              </w:rPr>
              <w:t>8.1%</w:t>
            </w:r>
          </w:p>
        </w:tc>
        <w:tc>
          <w:tcPr>
            <w:tcW w:type="dxa" w:w="960"/>
          </w:tcPr>
          <w:p>
            <w:r>
              <w:rPr>
                <w:rFonts w:ascii="Calibri" w:hAnsi="Calibri"/>
                <w:sz w:val="22"/>
              </w:rPr>
              <w:t>+90bps</w:t>
            </w:r>
          </w:p>
        </w:tc>
        <w:tc>
          <w:tcPr>
            <w:tcW w:type="dxa" w:w="960"/>
          </w:tcPr>
          <w:p>
            <w:r>
              <w:rPr>
                <w:rFonts w:ascii="Calibri" w:hAnsi="Calibri"/>
                <w:sz w:val="22"/>
              </w:rPr>
              <w:t>~7%</w:t>
            </w:r>
          </w:p>
        </w:tc>
        <w:tc>
          <w:tcPr>
            <w:tcW w:type="dxa" w:w="960"/>
          </w:tcPr>
          <w:p>
            <w:r>
              <w:rPr>
                <w:rFonts w:ascii="Calibri" w:hAnsi="Calibri"/>
                <w:b/>
                <w:color w:val="30A46C"/>
                <w:sz w:val="22"/>
              </w:rPr>
              <w:t>Raised to ~8%</w:t>
            </w:r>
          </w:p>
        </w:tc>
        <w:tc>
          <w:tcPr>
            <w:tcW w:type="dxa" w:w="960"/>
          </w:tcPr>
          <w:p>
            <w:r>
              <w:rPr>
                <w:rFonts w:ascii="Calibri" w:hAnsi="Calibri"/>
                <w:sz w:val="22"/>
              </w:rPr>
              <w:t>↑ +100bps</w:t>
            </w:r>
          </w:p>
        </w:tc>
        <w:tc>
          <w:tcPr>
            <w:tcW w:type="dxa" w:w="960"/>
          </w:tcPr>
          <w:p>
            <w:r>
              <w:rPr>
                <w:rFonts w:ascii="Calibri" w:hAnsi="Calibri"/>
                <w:sz w:val="22"/>
              </w:rPr>
              <w:t>In line</w:t>
            </w:r>
          </w:p>
        </w:tc>
      </w:tr>
      <w:tr>
        <w:tc>
          <w:tcPr>
            <w:tcW w:type="dxa" w:w="960"/>
          </w:tcPr>
          <w:p>
            <w:r>
              <w:rPr>
                <w:rFonts w:ascii="Calibri" w:hAnsi="Calibri"/>
                <w:sz w:val="22"/>
              </w:rPr>
              <w:t>Adj. EPS (Diluted, Operating)</w:t>
            </w:r>
          </w:p>
        </w:tc>
        <w:tc>
          <w:tcPr>
            <w:tcW w:type="dxa" w:w="960"/>
          </w:tcPr>
          <w:p>
            <w:r>
              <w:rPr>
                <w:rFonts w:ascii="Calibri" w:hAnsi="Calibri"/>
                <w:sz w:val="22"/>
              </w:rPr>
              <w:t>Q2 2026</w:t>
            </w:r>
          </w:p>
        </w:tc>
        <w:tc>
          <w:tcPr>
            <w:tcW w:type="dxa" w:w="960"/>
          </w:tcPr>
          <w:p>
            <w:r>
              <w:rPr>
                <w:rFonts w:ascii="Calibri" w:hAnsi="Calibri"/>
                <w:sz w:val="22"/>
              </w:rPr>
              <w:t>$2.86</w:t>
            </w:r>
          </w:p>
        </w:tc>
        <w:tc>
          <w:tcPr>
            <w:tcW w:type="dxa" w:w="960"/>
          </w:tcPr>
          <w:p>
            <w:r>
              <w:rPr>
                <w:rFonts w:ascii="Calibri" w:hAnsi="Calibri"/>
                <w:sz w:val="22"/>
              </w:rPr>
              <w:t>$2.81</w:t>
            </w:r>
          </w:p>
        </w:tc>
        <w:tc>
          <w:tcPr>
            <w:tcW w:type="dxa" w:w="960"/>
          </w:tcPr>
          <w:p>
            <w:r>
              <w:rPr>
                <w:rFonts w:ascii="Calibri" w:hAnsi="Calibri"/>
                <w:sz w:val="22"/>
              </w:rPr>
              <w:t>-1.7%</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Adj. EPS (Diluted, Operating)</w:t>
            </w:r>
          </w:p>
        </w:tc>
        <w:tc>
          <w:tcPr>
            <w:tcW w:type="dxa" w:w="960"/>
          </w:tcPr>
          <w:p>
            <w:r>
              <w:rPr>
                <w:rFonts w:ascii="Calibri" w:hAnsi="Calibri"/>
                <w:sz w:val="22"/>
              </w:rPr>
              <w:t>FY 2026</w:t>
            </w:r>
          </w:p>
        </w:tc>
        <w:tc>
          <w:tcPr>
            <w:tcW w:type="dxa" w:w="960"/>
          </w:tcPr>
          <w:p>
            <w:r>
              <w:rPr>
                <w:rFonts w:ascii="Calibri" w:hAnsi="Calibri"/>
                <w:sz w:val="22"/>
              </w:rPr>
              <w:t>$13.21</w:t>
            </w:r>
          </w:p>
        </w:tc>
        <w:tc>
          <w:tcPr>
            <w:tcW w:type="dxa" w:w="960"/>
          </w:tcPr>
          <w:p>
            <w:r>
              <w:rPr>
                <w:rFonts w:ascii="Calibri" w:hAnsi="Calibri"/>
                <w:sz w:val="22"/>
              </w:rPr>
              <w:t>$13.14</w:t>
            </w:r>
          </w:p>
        </w:tc>
        <w:tc>
          <w:tcPr>
            <w:tcW w:type="dxa" w:w="960"/>
          </w:tcPr>
          <w:p>
            <w:r>
              <w:rPr>
                <w:rFonts w:ascii="Calibri" w:hAnsi="Calibri"/>
                <w:sz w:val="22"/>
              </w:rPr>
              <w:t>-0.5%</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Brokerage EBITDAC (Operating)</w:t>
            </w:r>
          </w:p>
        </w:tc>
        <w:tc>
          <w:tcPr>
            <w:tcW w:type="dxa" w:w="960"/>
          </w:tcPr>
          <w:p>
            <w:r>
              <w:rPr>
                <w:rFonts w:ascii="Calibri" w:hAnsi="Calibri"/>
                <w:sz w:val="22"/>
              </w:rPr>
              <w:t>Q2 2026</w:t>
            </w:r>
          </w:p>
        </w:tc>
        <w:tc>
          <w:tcPr>
            <w:tcW w:type="dxa" w:w="960"/>
          </w:tcPr>
          <w:p>
            <w:r>
              <w:rPr>
                <w:rFonts w:ascii="Calibri" w:hAnsi="Calibri"/>
                <w:sz w:val="22"/>
              </w:rPr>
              <w:t>$1,177M</w:t>
            </w:r>
          </w:p>
        </w:tc>
        <w:tc>
          <w:tcPr>
            <w:tcW w:type="dxa" w:w="960"/>
          </w:tcPr>
          <w:p>
            <w:r>
              <w:rPr>
                <w:rFonts w:ascii="Calibri" w:hAnsi="Calibri"/>
                <w:sz w:val="22"/>
              </w:rPr>
              <w:t>$1,173M</w:t>
            </w:r>
          </w:p>
        </w:tc>
        <w:tc>
          <w:tcPr>
            <w:tcW w:type="dxa" w:w="960"/>
          </w:tcPr>
          <w:p>
            <w:r>
              <w:rPr>
                <w:rFonts w:ascii="Calibri" w:hAnsi="Calibri"/>
                <w:sz w:val="22"/>
              </w:rPr>
              <w:t>-0.4%</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Brokerage EBITDAC (Operating)</w:t>
            </w:r>
          </w:p>
        </w:tc>
        <w:tc>
          <w:tcPr>
            <w:tcW w:type="dxa" w:w="960"/>
          </w:tcPr>
          <w:p>
            <w:r>
              <w:rPr>
                <w:rFonts w:ascii="Calibri" w:hAnsi="Calibri"/>
                <w:sz w:val="22"/>
              </w:rPr>
              <w:t>FY 2026</w:t>
            </w:r>
          </w:p>
        </w:tc>
        <w:tc>
          <w:tcPr>
            <w:tcW w:type="dxa" w:w="960"/>
          </w:tcPr>
          <w:p>
            <w:r>
              <w:rPr>
                <w:rFonts w:ascii="Calibri" w:hAnsi="Calibri"/>
                <w:sz w:val="22"/>
              </w:rPr>
              <w:t>$5,303M</w:t>
            </w:r>
          </w:p>
        </w:tc>
        <w:tc>
          <w:tcPr>
            <w:tcW w:type="dxa" w:w="960"/>
          </w:tcPr>
          <w:p>
            <w:r>
              <w:rPr>
                <w:rFonts w:ascii="Calibri" w:hAnsi="Calibri"/>
                <w:sz w:val="22"/>
              </w:rPr>
              <w:t>$5,296M</w:t>
            </w:r>
          </w:p>
        </w:tc>
        <w:tc>
          <w:tcPr>
            <w:tcW w:type="dxa" w:w="960"/>
          </w:tcPr>
          <w:p>
            <w:r>
              <w:rPr>
                <w:rFonts w:ascii="Calibri" w:hAnsi="Calibri"/>
                <w:sz w:val="22"/>
              </w:rPr>
              <w:t>-0.1%</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c>
          <w:tcPr>
            <w:tcW w:type="dxa" w:w="96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most notable revision is Risk Management organic growth for Q2 — the post-Q1 baseline was only 7.4% (well below management’s 11% guide), and consensus has since converged to 10.7%, closer to guidance. This suggests the Street was initially skeptical of the 11% guide but has since come around. EPS estimates have drifted slightly lower (-1.7% for Q2), likely reflecting property headwinds and lower investment income, but the magnitude is small. Consensus data sourced from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AJG has massively outperformed since Q1 earnings (</w:t>
      </w:r>
      <w:r>
        <w:rPr>
          <w:rFonts w:ascii="Calibri" w:hAnsi="Calibri"/>
          <w:b/>
          <w:color w:val="30A46C"/>
          <w:sz w:val="22"/>
        </w:rPr>
        <w:t>+30.3% vs. SPY +1.5%</w:t>
      </w:r>
      <w:r>
        <w:rPr>
          <w:rFonts w:ascii="Calibri" w:hAnsi="Calibri"/>
          <w:b/>
          <w:color w:val="525866"/>
          <w:sz w:val="22"/>
        </w:rPr>
        <w:t>), driven by the synergy upgrade at the June 17 investor meeting and multiple re-rating as the AssuredPartners integration de-risks. The stock’s strong run raises the execution bar for the Q2 print.</w:t>
      </w:r>
    </w:p>
    <w:p>
      <w:r>
        <w:drawing>
          <wp:inline xmlns:a="http://schemas.openxmlformats.org/drawingml/2006/main" xmlns:pic="http://schemas.openxmlformats.org/drawingml/2006/picture">
            <wp:extent cx="5943600" cy="292373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2923739"/>
                    </a:xfrm>
                    <a:prstGeom prst="rect"/>
                  </pic:spPr>
                </pic:pic>
              </a:graphicData>
            </a:graphic>
          </wp:inline>
        </w:drawing>
      </w:r>
    </w:p>
    <w:p>
      <w:pPr>
        <w:jc w:val="center"/>
      </w:pPr>
      <w:r>
        <w:rPr>
          <w:i/>
          <w:color w:val="666666"/>
          <w:sz w:val="18"/>
        </w:rPr>
        <w:t>AJG vs. S&amp;P 500 (SPY) — Indexed to 100 at Q1 2026 Earnings (April 30, 2026). Source: Yahoo Finance.</w:t>
      </w:r>
    </w:p>
    <w:p>
      <w:r>
        <w:rPr>
          <w:rFonts w:ascii="Calibri" w:hAnsi="Calibri"/>
          <w:b/>
          <w:color w:val="525866"/>
          <w:sz w:val="22"/>
        </w:rPr>
        <w:t xml:space="preserve">Performance Narrative: </w:t>
      </w:r>
      <w:r>
        <w:rPr>
          <w:rFonts w:ascii="Calibri" w:hAnsi="Calibri"/>
          <w:color w:val="525866"/>
          <w:sz w:val="22"/>
        </w:rPr>
        <w:t xml:space="preserve">AJG closed at $206.40 on April 30, 2026 (Q1 earnings date) and has risen to $265.31 as of July 28, 2026 (+30.3%), while SPY gained only +1.5% over the same period. The +30% move is almost entirely </w:t>
      </w:r>
      <w:r>
        <w:rPr>
          <w:rFonts w:ascii="Calibri" w:hAnsi="Calibri"/>
          <w:b/>
          <w:color w:val="525866"/>
          <w:sz w:val="22"/>
        </w:rPr>
        <w:t>multiple expansion and synergy re-rating</w:t>
      </w:r>
      <w:r>
        <w:rPr>
          <w:rFonts w:ascii="Calibri" w:hAnsi="Calibri"/>
          <w:color w:val="525866"/>
          <w:sz w:val="22"/>
        </w:rPr>
        <w:t xml:space="preserve">, not earnings revision (EPS estimates are essentially flat, down only ~0.5% for FY 2026). Key events: (1) </w:t>
      </w:r>
      <w:r>
        <w:rPr>
          <w:rFonts w:ascii="Calibri" w:hAnsi="Calibri"/>
          <w:b/>
          <w:color w:val="525866"/>
          <w:sz w:val="22"/>
        </w:rPr>
        <w:t>May 13</w:t>
      </w:r>
      <w:r>
        <w:rPr>
          <w:rFonts w:ascii="Calibri" w:hAnsi="Calibri"/>
          <w:color w:val="525866"/>
          <w:sz w:val="22"/>
        </w:rPr>
        <w:t xml:space="preserve"> — AJG dipped ~7.5% in a broad market selloff, with no company-specific news; stock recovered within two weeks. (2) </w:t>
      </w:r>
      <w:r>
        <w:rPr>
          <w:rFonts w:ascii="Calibri" w:hAnsi="Calibri"/>
          <w:b/>
          <w:color w:val="525866"/>
          <w:sz w:val="22"/>
        </w:rPr>
        <w:t>June 17</w:t>
      </w:r>
      <w:r>
        <w:rPr>
          <w:rFonts w:ascii="Calibri" w:hAnsi="Calibri"/>
          <w:color w:val="525866"/>
          <w:sz w:val="22"/>
        </w:rPr>
        <w:t xml:space="preserve"> — Pre-Q2 Investor Meeting catalyzed a sustained re-rating as management raised synergy target to $325M and disclosed $170M of Q2 buybacks. (3) </w:t>
      </w:r>
      <w:r>
        <w:rPr>
          <w:rFonts w:ascii="Calibri" w:hAnsi="Calibri"/>
          <w:b/>
          <w:color w:val="525866"/>
          <w:sz w:val="22"/>
        </w:rPr>
        <w:t>July 1</w:t>
      </w:r>
      <w:r>
        <w:rPr>
          <w:rFonts w:ascii="Calibri" w:hAnsi="Calibri"/>
          <w:color w:val="525866"/>
          <w:sz w:val="22"/>
        </w:rPr>
        <w:t xml:space="preserve"> — Stock broke out above $239 on continued momentum. The stock is now trading at a premium to its historical range, meaning any stumble on synergy delivery or organic growth would be punished. Sector ETF: SPY (S&amp;P 500) used as benchmark given AJG’s large-cap diversified financial services profile; no dedicated insurance broker ETF with sufficient liquidity.</w:t>
      </w:r>
    </w:p>
    <w:p>
      <w:pPr>
        <w:pStyle w:val="Heading2"/>
      </w:pPr>
      <w:r>
        <w:rPr>
          <w:rFonts w:ascii="Calibri" w:hAnsi="Calibri"/>
          <w:b/>
          <w:color w:val="3B4259"/>
          <w:sz w:val="28"/>
        </w:rPr>
        <w:t>6. Material News &amp; Developments (Since April 30, 2026)</w:t>
      </w:r>
    </w:p>
    <w:p>
      <w:r>
        <w:rPr>
          <w:rFonts w:ascii="Calibri" w:hAnsi="Calibri"/>
          <w:b/>
          <w:color w:val="525866"/>
          <w:sz w:val="22"/>
        </w:rPr>
        <w:t xml:space="preserve">Key Takeaway: </w:t>
      </w:r>
      <w:r>
        <w:rPr>
          <w:rFonts w:ascii="Calibri" w:hAnsi="Calibri"/>
          <w:b/>
          <w:color w:val="525866"/>
          <w:sz w:val="22"/>
        </w:rPr>
        <w:t>The June 17 investor meeting synergy upgrade to $325M is the most material development — it meaningfully de-risks the AssuredPartners thesis and has been the primary driver of the stock’s re-rating. Three analyst upgrades in five weeks signal broad sell-side re-rating.</w:t>
      </w:r>
    </w:p>
    <w:p>
      <w:pPr>
        <w:pStyle w:val="ListBullet"/>
        <w:ind w:left="360" w:hanging="360"/>
      </w:pPr>
      <w:r>
        <w:rPr>
          <w:rFonts w:ascii="Calibri" w:hAnsi="Calibri"/>
          <w:b/>
          <w:color w:val="525866"/>
          <w:sz w:val="22"/>
        </w:rPr>
        <w:t xml:space="preserve">June 17, 2026 — Pre-Q2 Investor Meeting (Most Important): </w:t>
      </w:r>
      <w:r>
        <w:rPr>
          <w:rFonts w:ascii="Calibri" w:hAnsi="Calibri"/>
          <w:color w:val="525866"/>
          <w:sz w:val="22"/>
        </w:rPr>
        <w:t xml:space="preserve">Management raised AssuredPartners annualized run-rate synergy target to </w:t>
      </w:r>
      <w:r>
        <w:rPr>
          <w:rFonts w:ascii="Calibri" w:hAnsi="Calibri"/>
          <w:b/>
          <w:color w:val="525866"/>
          <w:sz w:val="22"/>
        </w:rPr>
        <w:t>up to $325M by early 2028</w:t>
      </w:r>
      <w:r>
        <w:rPr>
          <w:rFonts w:ascii="Calibri" w:hAnsi="Calibri"/>
          <w:color w:val="525866"/>
          <w:sz w:val="22"/>
        </w:rPr>
        <w:t xml:space="preserve"> (from $300M in April, vs. $160M original at deal announcement Dec 2024). Nearly all back-office systems integrated; vendor/real estate consolidations ahead of plan. CFO also disclosed ~$170M of Q2 share repurchases through mid-June. </w:t>
      </w:r>
      <w:r>
        <w:rPr>
          <w:rFonts w:ascii="Calibri" w:hAnsi="Calibri"/>
          <w:i/>
          <w:color w:val="525866"/>
          <w:sz w:val="22"/>
        </w:rPr>
        <w:t xml:space="preserve">Implication: </w:t>
      </w:r>
      <w:r>
        <w:rPr>
          <w:rFonts w:ascii="Calibri" w:hAnsi="Calibri"/>
          <w:i/>
          <w:color w:val="525866"/>
          <w:sz w:val="22"/>
        </w:rPr>
        <w:t>Synergy upgrade is the single most important positive development since Q1 earnings — validates the deal thesis and suggests further upside potential.</w:t>
      </w:r>
    </w:p>
    <w:p>
      <w:pPr>
        <w:pStyle w:val="ListBullet"/>
        <w:ind w:left="360" w:hanging="360"/>
      </w:pPr>
      <w:r>
        <w:rPr>
          <w:rFonts w:ascii="Calibri" w:hAnsi="Calibri"/>
          <w:b/>
          <w:color w:val="525866"/>
          <w:sz w:val="22"/>
        </w:rPr>
        <w:t xml:space="preserve">June 17, 2026 — CFO AI Commentary: </w:t>
      </w:r>
      <w:r>
        <w:rPr>
          <w:rFonts w:ascii="Calibri" w:hAnsi="Calibri"/>
          <w:color w:val="525866"/>
          <w:sz w:val="22"/>
        </w:rPr>
        <w:t xml:space="preserve">CFO Doug Hall quantified AI cost savings potential: ~5% in producer/field sales layer, 10–15% in service layer, 20–30% in back-office layer over the next few years. </w:t>
      </w:r>
      <w:r>
        <w:rPr>
          <w:rFonts w:ascii="Calibri" w:hAnsi="Calibri"/>
          <w:i/>
          <w:color w:val="525866"/>
          <w:sz w:val="22"/>
        </w:rPr>
        <w:t xml:space="preserve">Implication: </w:t>
      </w:r>
      <w:r>
        <w:rPr>
          <w:rFonts w:ascii="Calibri" w:hAnsi="Calibri"/>
          <w:i/>
          <w:color w:val="525866"/>
          <w:sz w:val="22"/>
        </w:rPr>
        <w:t>Provides a credible long-term margin expansion roadmap beyond AssuredPartners synergies.</w:t>
      </w:r>
    </w:p>
    <w:p>
      <w:pPr>
        <w:pStyle w:val="ListBullet"/>
        <w:ind w:left="360" w:hanging="360"/>
      </w:pPr>
      <w:r>
        <w:rPr>
          <w:rFonts w:ascii="Calibri" w:hAnsi="Calibri"/>
          <w:b/>
          <w:color w:val="525866"/>
          <w:sz w:val="22"/>
        </w:rPr>
        <w:t xml:space="preserve">June 9–11, 2026 — Analyst Upgrades (UBS &amp; Jefferies): </w:t>
      </w:r>
      <w:r>
        <w:rPr>
          <w:rFonts w:ascii="Calibri" w:hAnsi="Calibri"/>
          <w:color w:val="525866"/>
          <w:sz w:val="22"/>
        </w:rPr>
        <w:t xml:space="preserve">UBS upgraded AJG to Buy from Neutral (June 9) and Jefferies upgraded to Buy from Hold (June 11), both citing AssuredPartners integration progress and synergy upside. </w:t>
      </w:r>
      <w:r>
        <w:rPr>
          <w:rFonts w:ascii="Calibri" w:hAnsi="Calibri"/>
          <w:i/>
          <w:color w:val="525866"/>
          <w:sz w:val="22"/>
        </w:rPr>
        <w:t xml:space="preserve">Implication: </w:t>
      </w:r>
      <w:r>
        <w:rPr>
          <w:rFonts w:ascii="Calibri" w:hAnsi="Calibri"/>
          <w:i/>
          <w:color w:val="525866"/>
          <w:sz w:val="22"/>
        </w:rPr>
        <w:t>Sell-side sentiment turning more constructive ahead of Q2 print.</w:t>
      </w:r>
    </w:p>
    <w:p>
      <w:pPr>
        <w:pStyle w:val="ListBullet"/>
        <w:ind w:left="360" w:hanging="360"/>
      </w:pPr>
      <w:r>
        <w:rPr>
          <w:rFonts w:ascii="Calibri" w:hAnsi="Calibri"/>
          <w:b/>
          <w:color w:val="525866"/>
          <w:sz w:val="22"/>
        </w:rPr>
        <w:t xml:space="preserve">July 15, 2026 — Piper Sandler Upgrade: </w:t>
      </w:r>
      <w:r>
        <w:rPr>
          <w:rFonts w:ascii="Calibri" w:hAnsi="Calibri"/>
          <w:color w:val="525866"/>
          <w:sz w:val="22"/>
        </w:rPr>
        <w:t xml:space="preserve">Piper Sandler upgraded AJG to Overweight from Neutral. Third upgrade in ~5 weeks. </w:t>
      </w:r>
      <w:r>
        <w:rPr>
          <w:rFonts w:ascii="Calibri" w:hAnsi="Calibri"/>
          <w:i/>
          <w:color w:val="525866"/>
          <w:sz w:val="22"/>
        </w:rPr>
        <w:t xml:space="preserve">Implication: </w:t>
      </w:r>
      <w:r>
        <w:rPr>
          <w:rFonts w:ascii="Calibri" w:hAnsi="Calibri"/>
          <w:i/>
          <w:color w:val="525866"/>
          <w:sz w:val="22"/>
        </w:rPr>
        <w:t>Broad sell-side re-rating underway; consensus view shifting more bullish.</w:t>
      </w:r>
    </w:p>
    <w:p>
      <w:pPr>
        <w:pStyle w:val="ListBullet"/>
        <w:ind w:left="360" w:hanging="360"/>
      </w:pPr>
      <w:r>
        <w:rPr>
          <w:rFonts w:ascii="Calibri" w:hAnsi="Calibri"/>
          <w:b/>
          <w:color w:val="525866"/>
          <w:sz w:val="22"/>
        </w:rPr>
        <w:t xml:space="preserve">July 22–29, 2026 — Board Change (Governance): </w:t>
      </w:r>
      <w:r>
        <w:rPr>
          <w:rFonts w:ascii="Calibri" w:hAnsi="Calibri"/>
          <w:color w:val="525866"/>
          <w:sz w:val="22"/>
        </w:rPr>
        <w:t xml:space="preserve">Lead Independent Director David Johnson passed away on July 22, 2026 (disclosed via 8-K filed July 29, 2026). Board reduced from 9 to 8 members; Ralph Nicoletti (Audit Committee Chair since 2019) elected as new Lead Independent Director effective immediately. John Coldman appointed to Compensation and Nominating/Governance Committees. </w:t>
      </w:r>
      <w:r>
        <w:rPr>
          <w:rFonts w:ascii="Calibri" w:hAnsi="Calibri"/>
          <w:i/>
          <w:color w:val="525866"/>
          <w:sz w:val="22"/>
        </w:rPr>
        <w:t xml:space="preserve">Implication: </w:t>
      </w:r>
      <w:r>
        <w:rPr>
          <w:rFonts w:ascii="Calibri" w:hAnsi="Calibri"/>
          <w:i/>
          <w:color w:val="525866"/>
          <w:sz w:val="22"/>
        </w:rPr>
        <w:t>Governance transition; no financial impact expected.</w:t>
      </w:r>
    </w:p>
    <w:p>
      <w:pPr>
        <w:pStyle w:val="ListBullet"/>
        <w:ind w:left="360" w:hanging="360"/>
      </w:pPr>
      <w:r>
        <w:rPr>
          <w:rFonts w:ascii="Calibri" w:hAnsi="Calibri"/>
          <w:b/>
          <w:color w:val="525866"/>
          <w:sz w:val="22"/>
        </w:rPr>
        <w:t xml:space="preserve">May 13, 2026 — Stock Dip: </w:t>
      </w:r>
      <w:r>
        <w:rPr>
          <w:rFonts w:ascii="Calibri" w:hAnsi="Calibri"/>
          <w:color w:val="525866"/>
          <w:sz w:val="22"/>
        </w:rPr>
        <w:t xml:space="preserve">AJG fell ~7.5% in a broad market selloff (SPY also declined). No company-specific news; stock recovered within two weeks. </w:t>
      </w:r>
      <w:r>
        <w:rPr>
          <w:rFonts w:ascii="Calibri" w:hAnsi="Calibri"/>
          <w:i/>
          <w:color w:val="525866"/>
          <w:sz w:val="22"/>
        </w:rPr>
        <w:t xml:space="preserve">Implication: </w:t>
      </w:r>
      <w:r>
        <w:rPr>
          <w:rFonts w:ascii="Calibri" w:hAnsi="Calibri"/>
          <w:i/>
          <w:color w:val="525866"/>
          <w:sz w:val="22"/>
        </w:rPr>
        <w:t>Confirmed the stock’s beta to broad market risk-off moves; no fundamental change.</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b/>
          <w:color w:val="525866"/>
          <w:sz w:val="22"/>
        </w:rPr>
        <w:t xml:space="preserve">Peers MMC, AON, and BRO all reported Q2 2026 results in the last 8 days, providing highly relevant read-throughs for AJG’s upcoming print. The consistent theme: </w:t>
      </w:r>
      <w:r>
        <w:rPr>
          <w:rFonts w:ascii="Calibri" w:hAnsi="Calibri"/>
          <w:b/>
          <w:color w:val="525866"/>
          <w:sz w:val="22"/>
        </w:rPr>
        <w:t>property cat pricing continues to soften (-12% to -35%), but new business wins and casualty/specialty strength are more than offsetting</w:t>
      </w:r>
      <w:r>
        <w:rPr>
          <w:rFonts w:ascii="Calibri" w:hAnsi="Calibri"/>
          <w:b/>
          <w:color w:val="525866"/>
          <w:sz w:val="22"/>
        </w:rPr>
        <w:t>, supporting mid-single-digit organic growth. This is broadly constructive for AJG’s 5% brokerage organic guide.</w:t>
      </w:r>
    </w:p>
    <w:p>
      <w:pPr>
        <w:pStyle w:val="Heading3"/>
      </w:pPr>
      <w:r>
        <w:rPr>
          <w:rFonts w:ascii="Calibri" w:hAnsi="Calibri"/>
          <w:b/>
          <w:color w:val="3B4259"/>
          <w:sz w:val="24"/>
        </w:rPr>
        <w:t>Marsh &amp; McLennan (MMC) — Reported July 21,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MMC Commentary</w:t>
            </w:r>
          </w:p>
        </w:tc>
        <w:tc>
          <w:tcPr>
            <w:tcW w:type="dxa" w:w="2880"/>
            <w:shd w:val="clear" w:color="auto" w:fill="3B4259"/>
          </w:tcPr>
          <w:p>
            <w:r>
              <w:rPr>
                <w:rFonts w:ascii="Calibri" w:hAnsi="Calibri"/>
                <w:b/>
                <w:color w:val="FFFFFF"/>
                <w:sz w:val="22"/>
              </w:rPr>
              <w:t>AJG Read-Through</w:t>
            </w:r>
          </w:p>
        </w:tc>
      </w:tr>
      <w:tr>
        <w:tc>
          <w:tcPr>
            <w:tcW w:type="dxa" w:w="2880"/>
          </w:tcPr>
          <w:p>
            <w:r>
              <w:rPr>
                <w:rFonts w:ascii="Calibri" w:hAnsi="Calibri"/>
                <w:sz w:val="22"/>
              </w:rPr>
              <w:t>Organic Growth</w:t>
            </w:r>
          </w:p>
        </w:tc>
        <w:tc>
          <w:tcPr>
            <w:tcW w:type="dxa" w:w="2880"/>
          </w:tcPr>
          <w:p>
            <w:r>
              <w:rPr>
                <w:rFonts w:ascii="Calibri" w:hAnsi="Calibri"/>
                <w:sz w:val="22"/>
              </w:rPr>
              <w:t>Marsh Risk underlying growth 4% in Q2 (up from 3% in Q1); strong new business in US/Canada with double-digit growth in marine, transactional risk, construction, aviation, energy/power. Overall consolidated underlying growth 5%.</w:t>
            </w:r>
          </w:p>
        </w:tc>
        <w:tc>
          <w:tcPr>
            <w:tcW w:type="dxa" w:w="2880"/>
          </w:tcPr>
          <w:p>
            <w:r>
              <w:rPr>
                <w:rFonts w:ascii="Calibri" w:hAnsi="Calibri"/>
                <w:b/>
                <w:color w:val="30A46C"/>
                <w:sz w:val="22"/>
              </w:rPr>
              <w:t>Positive</w:t>
            </w:r>
            <w:r>
              <w:rPr>
                <w:rFonts w:ascii="Calibri" w:hAnsi="Calibri"/>
                <w:sz w:val="22"/>
              </w:rPr>
              <w:t xml:space="preserve"> — Validates mid-single-digit organic is achievable; AJG’s Americas retail and specialty businesses should benefit from same new business tailwinds.</w:t>
            </w:r>
          </w:p>
        </w:tc>
      </w:tr>
      <w:tr>
        <w:tc>
          <w:tcPr>
            <w:tcW w:type="dxa" w:w="2880"/>
          </w:tcPr>
          <w:p>
            <w:r>
              <w:rPr>
                <w:rFonts w:ascii="Calibri" w:hAnsi="Calibri"/>
                <w:sz w:val="22"/>
              </w:rPr>
              <w:t>Property Pricing</w:t>
            </w:r>
          </w:p>
        </w:tc>
        <w:tc>
          <w:tcPr>
            <w:tcW w:type="dxa" w:w="2880"/>
          </w:tcPr>
          <w:p>
            <w:r>
              <w:rPr>
                <w:rFonts w:ascii="Calibri" w:hAnsi="Calibri"/>
                <w:sz w:val="22"/>
              </w:rPr>
              <w:t>Global property rates down 12% YoY in Q2 (accelerating from prior quarter); property cat rate online index down 16% at midyear — steepest decline in 25 years. US rates down 2%; international down mid-to-high single digits.</w:t>
            </w:r>
          </w:p>
        </w:tc>
        <w:tc>
          <w:tcPr>
            <w:tcW w:type="dxa" w:w="2880"/>
          </w:tcPr>
          <w:p>
            <w:r>
              <w:rPr>
                <w:rFonts w:ascii="Calibri" w:hAnsi="Calibri"/>
                <w:b/>
                <w:sz w:val="22"/>
              </w:rPr>
              <w:t>Neutral</w:t>
            </w:r>
            <w:r>
              <w:rPr>
                <w:rFonts w:ascii="Calibri" w:hAnsi="Calibri"/>
                <w:sz w:val="22"/>
              </w:rPr>
              <w:t xml:space="preserve"> — Confirms property headwind is real but manageable; AJG has already guided for continued property declines and diversified book limits exposure.</w:t>
            </w:r>
          </w:p>
        </w:tc>
      </w:tr>
      <w:tr>
        <w:tc>
          <w:tcPr>
            <w:tcW w:type="dxa" w:w="2880"/>
          </w:tcPr>
          <w:p>
            <w:r>
              <w:rPr>
                <w:rFonts w:ascii="Calibri" w:hAnsi="Calibri"/>
                <w:sz w:val="22"/>
              </w:rPr>
              <w:t>Reinsurance</w:t>
            </w:r>
          </w:p>
        </w:tc>
        <w:tc>
          <w:tcPr>
            <w:tcW w:type="dxa" w:w="2880"/>
          </w:tcPr>
          <w:p>
            <w:r>
              <w:rPr>
                <w:rFonts w:ascii="Calibri" w:hAnsi="Calibri"/>
                <w:sz w:val="22"/>
              </w:rPr>
              <w:t>Guy Carpenter revenue down 2% on underlying basis; property pricing headwind of ~6 percentage points. Record new business in H1; RFP win rate “never been stronger.”</w:t>
            </w:r>
          </w:p>
        </w:tc>
        <w:tc>
          <w:tcPr>
            <w:tcW w:type="dxa" w:w="2880"/>
          </w:tcPr>
          <w:p>
            <w:r>
              <w:rPr>
                <w:rFonts w:ascii="Calibri" w:hAnsi="Calibri"/>
                <w:b/>
                <w:sz w:val="22"/>
              </w:rPr>
              <w:t>Mixed</w:t>
            </w:r>
            <w:r>
              <w:rPr>
                <w:rFonts w:ascii="Calibri" w:hAnsi="Calibri"/>
                <w:sz w:val="22"/>
              </w:rPr>
              <w:t xml:space="preserve"> — Pricing headwind is real, but strong new business offsets. AJG’s reinsurance is a smaller share of total revenue.</w:t>
            </w:r>
          </w:p>
        </w:tc>
      </w:tr>
      <w:tr>
        <w:tc>
          <w:tcPr>
            <w:tcW w:type="dxa" w:w="2880"/>
          </w:tcPr>
          <w:p>
            <w:r>
              <w:rPr>
                <w:rFonts w:ascii="Calibri" w:hAnsi="Calibri"/>
                <w:sz w:val="22"/>
              </w:rPr>
              <w:t>Casualty Pricing</w:t>
            </w:r>
          </w:p>
        </w:tc>
        <w:tc>
          <w:tcPr>
            <w:tcW w:type="dxa" w:w="2880"/>
          </w:tcPr>
          <w:p>
            <w:r>
              <w:rPr>
                <w:rFonts w:ascii="Calibri" w:hAnsi="Calibri"/>
                <w:sz w:val="22"/>
              </w:rPr>
              <w:t>US excess casualty pricing up 15% (mid-teens), reflecting elevated litigation environment. Global casualty rates +2%.</w:t>
            </w:r>
          </w:p>
        </w:tc>
        <w:tc>
          <w:tcPr>
            <w:tcW w:type="dxa" w:w="2880"/>
          </w:tcPr>
          <w:p>
            <w:r>
              <w:rPr>
                <w:rFonts w:ascii="Calibri" w:hAnsi="Calibri"/>
                <w:b/>
                <w:color w:val="30A46C"/>
                <w:sz w:val="22"/>
              </w:rPr>
              <w:t>Positive</w:t>
            </w:r>
            <w:r>
              <w:rPr>
                <w:rFonts w:ascii="Calibri" w:hAnsi="Calibri"/>
                <w:sz w:val="22"/>
              </w:rPr>
              <w:t xml:space="preserve"> — Casualty firmness supports AJG’s casualty book and offsets property softness.</w:t>
            </w:r>
          </w:p>
        </w:tc>
      </w:tr>
      <w:tr>
        <w:tc>
          <w:tcPr>
            <w:tcW w:type="dxa" w:w="2880"/>
          </w:tcPr>
          <w:p>
            <w:r>
              <w:rPr>
                <w:rFonts w:ascii="Calibri" w:hAnsi="Calibri"/>
                <w:sz w:val="22"/>
              </w:rPr>
              <w:t>Full-Year Outlook</w:t>
            </w:r>
          </w:p>
        </w:tc>
        <w:tc>
          <w:tcPr>
            <w:tcW w:type="dxa" w:w="2880"/>
          </w:tcPr>
          <w:p>
            <w:r>
              <w:rPr>
                <w:rFonts w:ascii="Calibri" w:hAnsi="Calibri"/>
                <w:sz w:val="22"/>
              </w:rPr>
              <w:t>Reaffirmed full-year 2026 guidance: underlying revenue growth similar to 2025, another year of margin expansion, solid adj. EPS growth.</w:t>
            </w:r>
          </w:p>
        </w:tc>
        <w:tc>
          <w:tcPr>
            <w:tcW w:type="dxa" w:w="2880"/>
          </w:tcPr>
          <w:p>
            <w:r>
              <w:rPr>
                <w:rFonts w:ascii="Calibri" w:hAnsi="Calibri"/>
                <w:b/>
                <w:color w:val="30A46C"/>
                <w:sz w:val="22"/>
              </w:rPr>
              <w:t>Positive</w:t>
            </w:r>
            <w:r>
              <w:rPr>
                <w:rFonts w:ascii="Calibri" w:hAnsi="Calibri"/>
                <w:sz w:val="22"/>
              </w:rPr>
              <w:t xml:space="preserve"> — Sector-wide confidence in full-year outlook is constructive for AJG.</w:t>
            </w:r>
          </w:p>
        </w:tc>
      </w:tr>
      <w:tr>
        <w:tc>
          <w:tcPr>
            <w:tcW w:type="dxa" w:w="2880"/>
          </w:tcPr>
          <w:p>
            <w:r>
              <w:rPr>
                <w:rFonts w:ascii="Calibri" w:hAnsi="Calibri"/>
                <w:sz w:val="22"/>
              </w:rPr>
              <w:t>Digital Infrastructure / AI</w:t>
            </w:r>
          </w:p>
        </w:tc>
        <w:tc>
          <w:tcPr>
            <w:tcW w:type="dxa" w:w="2880"/>
          </w:tcPr>
          <w:p>
            <w:r>
              <w:rPr>
                <w:rFonts w:ascii="Calibri" w:hAnsi="Calibri"/>
                <w:sz w:val="22"/>
              </w:rPr>
              <w:t>Digital infrastructure (data centers) emerging as meaningful growth driver; double-digit growth in construction specialty. AI advisory (Quotient team) strongest growth by some distance in Oliver Wyman.</w:t>
            </w:r>
          </w:p>
        </w:tc>
        <w:tc>
          <w:tcPr>
            <w:tcW w:type="dxa" w:w="2880"/>
          </w:tcPr>
          <w:p>
            <w:r>
              <w:rPr>
                <w:rFonts w:ascii="Calibri" w:hAnsi="Calibri"/>
                <w:b/>
                <w:color w:val="30A46C"/>
                <w:sz w:val="22"/>
              </w:rPr>
              <w:t>Positive</w:t>
            </w:r>
            <w:r>
              <w:rPr>
                <w:rFonts w:ascii="Calibri" w:hAnsi="Calibri"/>
                <w:sz w:val="22"/>
              </w:rPr>
              <w:t xml:space="preserve"> — AJG’s E&amp;S specialty business (data centers, AI infrastructure) is the fastest-growing part of E&amp;S per management.</w:t>
            </w:r>
          </w:p>
        </w:tc>
      </w:tr>
    </w:tbl>
    <w:p>
      <w:pPr>
        <w:pStyle w:val="Heading3"/>
      </w:pPr>
      <w:r>
        <w:rPr>
          <w:rFonts w:ascii="Calibri" w:hAnsi="Calibri"/>
          <w:b/>
          <w:color w:val="3B4259"/>
          <w:sz w:val="24"/>
        </w:rPr>
        <w:t>Aon (AON) — Reported July 29,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AON Commentary</w:t>
            </w:r>
          </w:p>
        </w:tc>
        <w:tc>
          <w:tcPr>
            <w:tcW w:type="dxa" w:w="2880"/>
            <w:shd w:val="clear" w:color="auto" w:fill="3B4259"/>
          </w:tcPr>
          <w:p>
            <w:r>
              <w:rPr>
                <w:rFonts w:ascii="Calibri" w:hAnsi="Calibri"/>
                <w:b/>
                <w:color w:val="FFFFFF"/>
                <w:sz w:val="22"/>
              </w:rPr>
              <w:t>AJG Read-Through</w:t>
            </w:r>
          </w:p>
        </w:tc>
      </w:tr>
      <w:tr>
        <w:tc>
          <w:tcPr>
            <w:tcW w:type="dxa" w:w="2880"/>
          </w:tcPr>
          <w:p>
            <w:r>
              <w:rPr>
                <w:rFonts w:ascii="Calibri" w:hAnsi="Calibri"/>
                <w:sz w:val="22"/>
              </w:rPr>
              <w:t>Organic Growth</w:t>
            </w:r>
          </w:p>
        </w:tc>
        <w:tc>
          <w:tcPr>
            <w:tcW w:type="dxa" w:w="2880"/>
          </w:tcPr>
          <w:p>
            <w:r>
              <w:rPr>
                <w:rFonts w:ascii="Calibri" w:hAnsi="Calibri"/>
                <w:sz w:val="22"/>
              </w:rPr>
              <w:t>5% organic revenue growth in Q2, broad-based across all four solution lines. Commercial Risk 5% in Q2 (6% through H1). New business contributed 10 points to organic growth for 9 consecutive quarters.</w:t>
            </w:r>
          </w:p>
        </w:tc>
        <w:tc>
          <w:tcPr>
            <w:tcW w:type="dxa" w:w="2880"/>
          </w:tcPr>
          <w:p>
            <w:r>
              <w:rPr>
                <w:rFonts w:ascii="Calibri" w:hAnsi="Calibri"/>
                <w:b/>
                <w:color w:val="30A46C"/>
                <w:sz w:val="22"/>
              </w:rPr>
              <w:t>Positive</w:t>
            </w:r>
            <w:r>
              <w:rPr>
                <w:rFonts w:ascii="Calibri" w:hAnsi="Calibri"/>
                <w:sz w:val="22"/>
              </w:rPr>
              <w:t xml:space="preserve"> — Validates mid-single-digit organic is achievable; new business (not rate) is the primary driver, consistent with AJG’s own decomposition (~2.5pp from new business wins).</w:t>
            </w:r>
          </w:p>
        </w:tc>
      </w:tr>
      <w:tr>
        <w:tc>
          <w:tcPr>
            <w:tcW w:type="dxa" w:w="2880"/>
          </w:tcPr>
          <w:p>
            <w:r>
              <w:rPr>
                <w:rFonts w:ascii="Calibri" w:hAnsi="Calibri"/>
                <w:sz w:val="22"/>
              </w:rPr>
              <w:t>Net Market Impact (Rate + Exposure)</w:t>
            </w:r>
          </w:p>
        </w:tc>
        <w:tc>
          <w:tcPr>
            <w:tcW w:type="dxa" w:w="2880"/>
          </w:tcPr>
          <w:p>
            <w:r>
              <w:rPr>
                <w:rFonts w:ascii="Calibri" w:hAnsi="Calibri"/>
                <w:sz w:val="22"/>
              </w:rPr>
              <w:t>Net market impact modestly positive, within 0–2 point range, despite softer P&amp;C and reinsurance pricing. AON CFO: organic growth more correlated to nominal GDP than pricing cycles.</w:t>
            </w:r>
          </w:p>
        </w:tc>
        <w:tc>
          <w:tcPr>
            <w:tcW w:type="dxa" w:w="2880"/>
          </w:tcPr>
          <w:p>
            <w:r>
              <w:rPr>
                <w:rFonts w:ascii="Calibri" w:hAnsi="Calibri"/>
                <w:b/>
                <w:color w:val="30A46C"/>
                <w:sz w:val="22"/>
              </w:rPr>
              <w:t>Positive</w:t>
            </w:r>
            <w:r>
              <w:rPr>
                <w:rFonts w:ascii="Calibri" w:hAnsi="Calibri"/>
                <w:sz w:val="22"/>
              </w:rPr>
              <w:t xml:space="preserve"> — Exposure growth and new business are offsetting rate headwinds — consistent with AJG’s own organic growth decomposition (rate only ~1% of the ~5.5% guide).</w:t>
            </w:r>
          </w:p>
        </w:tc>
      </w:tr>
      <w:tr>
        <w:tc>
          <w:tcPr>
            <w:tcW w:type="dxa" w:w="2880"/>
          </w:tcPr>
          <w:p>
            <w:r>
              <w:rPr>
                <w:rFonts w:ascii="Calibri" w:hAnsi="Calibri"/>
                <w:sz w:val="22"/>
              </w:rPr>
              <w:t>Reinsurance</w:t>
            </w:r>
          </w:p>
        </w:tc>
        <w:tc>
          <w:tcPr>
            <w:tcW w:type="dxa" w:w="2880"/>
          </w:tcPr>
          <w:p>
            <w:r>
              <w:rPr>
                <w:rFonts w:ascii="Calibri" w:hAnsi="Calibri"/>
                <w:sz w:val="22"/>
              </w:rPr>
              <w:t>Reinsurance 5% organic despite 15–20% lower property cat rates — driven by strong new business and double-digit strategy/technology group growth. Treaty growth offset rate declines.</w:t>
            </w:r>
          </w:p>
        </w:tc>
        <w:tc>
          <w:tcPr>
            <w:tcW w:type="dxa" w:w="2880"/>
          </w:tcPr>
          <w:p>
            <w:r>
              <w:rPr>
                <w:rFonts w:ascii="Calibri" w:hAnsi="Calibri"/>
                <w:b/>
                <w:color w:val="30A46C"/>
                <w:sz w:val="22"/>
              </w:rPr>
              <w:t>Positive</w:t>
            </w:r>
            <w:r>
              <w:rPr>
                <w:rFonts w:ascii="Calibri" w:hAnsi="Calibri"/>
                <w:sz w:val="22"/>
              </w:rPr>
              <w:t xml:space="preserve"> — Demonstrates reinsurance can grow despite property pricing headwinds through new business wins; positive for AJG’s reinsurance business.</w:t>
            </w:r>
          </w:p>
        </w:tc>
      </w:tr>
      <w:tr>
        <w:tc>
          <w:tcPr>
            <w:tcW w:type="dxa" w:w="2880"/>
          </w:tcPr>
          <w:p>
            <w:r>
              <w:rPr>
                <w:rFonts w:ascii="Calibri" w:hAnsi="Calibri"/>
                <w:sz w:val="22"/>
              </w:rPr>
              <w:t>Pricing Cycle Duration</w:t>
            </w:r>
          </w:p>
        </w:tc>
        <w:tc>
          <w:tcPr>
            <w:tcW w:type="dxa" w:w="2880"/>
          </w:tcPr>
          <w:p>
            <w:r>
              <w:rPr>
                <w:rFonts w:ascii="Calibri" w:hAnsi="Calibri"/>
                <w:sz w:val="22"/>
              </w:rPr>
              <w:t>AON CFO: structural risk trends (loss severity) argue against extended prolonged pricing softness; duration of soft cycle “likely measured.” Underwriting focus beginning to limit aggressive price competition.</w:t>
            </w:r>
          </w:p>
        </w:tc>
        <w:tc>
          <w:tcPr>
            <w:tcW w:type="dxa" w:w="2880"/>
          </w:tcPr>
          <w:p>
            <w:r>
              <w:rPr>
                <w:rFonts w:ascii="Calibri" w:hAnsi="Calibri"/>
                <w:b/>
                <w:color w:val="30A46C"/>
                <w:sz w:val="22"/>
              </w:rPr>
              <w:t>Positive</w:t>
            </w:r>
            <w:r>
              <w:rPr>
                <w:rFonts w:ascii="Calibri" w:hAnsi="Calibri"/>
                <w:sz w:val="22"/>
              </w:rPr>
              <w:t xml:space="preserve"> — Supports AJG management’s view that property softening is contained and approaching a floor; limits downside risk to organic growth.</w:t>
            </w:r>
          </w:p>
        </w:tc>
      </w:tr>
      <w:tr>
        <w:tc>
          <w:tcPr>
            <w:tcW w:type="dxa" w:w="2880"/>
          </w:tcPr>
          <w:p>
            <w:r>
              <w:rPr>
                <w:rFonts w:ascii="Calibri" w:hAnsi="Calibri"/>
                <w:sz w:val="22"/>
              </w:rPr>
              <w:t>Margin Expansion</w:t>
            </w:r>
          </w:p>
        </w:tc>
        <w:tc>
          <w:tcPr>
            <w:tcW w:type="dxa" w:w="2880"/>
          </w:tcPr>
          <w:p>
            <w:r>
              <w:rPr>
                <w:rFonts w:ascii="Calibri" w:hAnsi="Calibri"/>
                <w:sz w:val="22"/>
              </w:rPr>
              <w:t>Adjusted operating margin expanded 70bps to 28.9% in Q2. Restructuring savings contributed ~60bps. On track to deliver $100M savings in 2026 toward $450M total by 2027.</w:t>
            </w:r>
          </w:p>
        </w:tc>
        <w:tc>
          <w:tcPr>
            <w:tcW w:type="dxa" w:w="2880"/>
          </w:tcPr>
          <w:p>
            <w:r>
              <w:rPr>
                <w:rFonts w:ascii="Calibri" w:hAnsi="Calibri"/>
                <w:b/>
                <w:color w:val="30A46C"/>
                <w:sz w:val="22"/>
              </w:rPr>
              <w:t>Positive</w:t>
            </w:r>
            <w:r>
              <w:rPr>
                <w:rFonts w:ascii="Calibri" w:hAnsi="Calibri"/>
                <w:sz w:val="22"/>
              </w:rPr>
              <w:t xml:space="preserve"> — Sector-wide margin expansion trend is constructive; AJG’s own 40–60bps underlying expansion target looks achievable.</w:t>
            </w:r>
          </w:p>
        </w:tc>
      </w:tr>
      <w:tr>
        <w:tc>
          <w:tcPr>
            <w:tcW w:type="dxa" w:w="2880"/>
          </w:tcPr>
          <w:p>
            <w:r>
              <w:rPr>
                <w:rFonts w:ascii="Calibri" w:hAnsi="Calibri"/>
                <w:sz w:val="22"/>
              </w:rPr>
              <w:t>M&amp;A Services</w:t>
            </w:r>
          </w:p>
        </w:tc>
        <w:tc>
          <w:tcPr>
            <w:tcW w:type="dxa" w:w="2880"/>
          </w:tcPr>
          <w:p>
            <w:r>
              <w:rPr>
                <w:rFonts w:ascii="Calibri" w:hAnsi="Calibri"/>
                <w:sz w:val="22"/>
              </w:rPr>
              <w:t>M&amp;A services tempered commercial risk growth in Q2 vs. elevated Q2 2025 comparison; announced transaction volumes up 60%, expected to be a tailwind in H2.</w:t>
            </w:r>
          </w:p>
        </w:tc>
        <w:tc>
          <w:tcPr>
            <w:tcW w:type="dxa" w:w="2880"/>
          </w:tcPr>
          <w:p>
            <w:r>
              <w:rPr>
                <w:rFonts w:ascii="Calibri" w:hAnsi="Calibri"/>
                <w:b/>
                <w:sz w:val="22"/>
              </w:rPr>
              <w:t>Neutral</w:t>
            </w:r>
            <w:r>
              <w:rPr>
                <w:rFonts w:ascii="Calibri" w:hAnsi="Calibri"/>
                <w:sz w:val="22"/>
              </w:rPr>
              <w:t xml:space="preserve"> — AJG is less exposed to M&amp;A advisory services; limited direct read-through.</w:t>
            </w:r>
          </w:p>
        </w:tc>
      </w:tr>
    </w:tbl>
    <w:p>
      <w:pPr>
        <w:pStyle w:val="Heading3"/>
      </w:pPr>
      <w:r>
        <w:rPr>
          <w:rFonts w:ascii="Calibri" w:hAnsi="Calibri"/>
          <w:b/>
          <w:color w:val="3B4259"/>
          <w:sz w:val="24"/>
        </w:rPr>
        <w:t>Brown &amp; Brown (BRO) — Reported July 28,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BRO Commentary</w:t>
            </w:r>
          </w:p>
        </w:tc>
        <w:tc>
          <w:tcPr>
            <w:tcW w:type="dxa" w:w="2880"/>
            <w:shd w:val="clear" w:color="auto" w:fill="3B4259"/>
          </w:tcPr>
          <w:p>
            <w:r>
              <w:rPr>
                <w:rFonts w:ascii="Calibri" w:hAnsi="Calibri"/>
                <w:b/>
                <w:color w:val="FFFFFF"/>
                <w:sz w:val="22"/>
              </w:rPr>
              <w:t>AJG Read-Through</w:t>
            </w:r>
          </w:p>
        </w:tc>
      </w:tr>
      <w:tr>
        <w:tc>
          <w:tcPr>
            <w:tcW w:type="dxa" w:w="2880"/>
          </w:tcPr>
          <w:p>
            <w:r>
              <w:rPr>
                <w:rFonts w:ascii="Calibri" w:hAnsi="Calibri"/>
                <w:sz w:val="22"/>
              </w:rPr>
              <w:t>Organic Growth</w:t>
            </w:r>
          </w:p>
        </w:tc>
        <w:tc>
          <w:tcPr>
            <w:tcW w:type="dxa" w:w="2880"/>
          </w:tcPr>
          <w:p>
            <w:r>
              <w:rPr>
                <w:rFonts w:ascii="Calibri" w:hAnsi="Calibri"/>
                <w:sz w:val="22"/>
              </w:rPr>
              <w:t>Total organic revenue -0.7% (including contingents +0.7%) in Q2. Retail organic (ex-contingents) +1.5% — below expectations; BRO noted “not where we want it to be yet.” Specialty Distribution organic -3.5% (ex-contingents).</w:t>
            </w:r>
          </w:p>
        </w:tc>
        <w:tc>
          <w:tcPr>
            <w:tcW w:type="dxa" w:w="2880"/>
          </w:tcPr>
          <w:p>
            <w:r>
              <w:rPr>
                <w:rFonts w:ascii="Calibri" w:hAnsi="Calibri"/>
                <w:b/>
                <w:color w:val="E5484D"/>
                <w:sz w:val="22"/>
              </w:rPr>
              <w:t>Neutral/Negative</w:t>
            </w:r>
            <w:r>
              <w:rPr>
                <w:rFonts w:ascii="Calibri" w:hAnsi="Calibri"/>
                <w:sz w:val="22"/>
              </w:rPr>
              <w:t xml:space="preserve"> — BRO’s weaker result reflects higher property/E&amp;S concentration and company-specific issues (litigation impact from departing producers, pharmacy consulting drag). AJG’s more diversified book should fare better.</w:t>
            </w:r>
          </w:p>
        </w:tc>
      </w:tr>
      <w:tr>
        <w:tc>
          <w:tcPr>
            <w:tcW w:type="dxa" w:w="2880"/>
          </w:tcPr>
          <w:p>
            <w:r>
              <w:rPr>
                <w:rFonts w:ascii="Calibri" w:hAnsi="Calibri"/>
                <w:sz w:val="22"/>
              </w:rPr>
              <w:t>Property Cat Pricing</w:t>
            </w:r>
          </w:p>
        </w:tc>
        <w:tc>
          <w:tcPr>
            <w:tcW w:type="dxa" w:w="2880"/>
          </w:tcPr>
          <w:p>
            <w:r>
              <w:rPr>
                <w:rFonts w:ascii="Calibri" w:hAnsi="Calibri"/>
                <w:sz w:val="22"/>
              </w:rPr>
              <w:t>Property cat rates down 15–35% in Q2 (similar to Q1); rates in southeast Florida at 2017 levels. BRO estimates it would take $100–150B of losses to stabilize cat property market.</w:t>
            </w:r>
          </w:p>
        </w:tc>
        <w:tc>
          <w:tcPr>
            <w:tcW w:type="dxa" w:w="2880"/>
          </w:tcPr>
          <w:p>
            <w:r>
              <w:rPr>
                <w:rFonts w:ascii="Calibri" w:hAnsi="Calibri"/>
                <w:b/>
                <w:sz w:val="22"/>
              </w:rPr>
              <w:t>Neutral</w:t>
            </w:r>
            <w:r>
              <w:rPr>
                <w:rFonts w:ascii="Calibri" w:hAnsi="Calibri"/>
                <w:sz w:val="22"/>
              </w:rPr>
              <w:t xml:space="preserve"> — Confirms property softening is deep and structural, but AJG has already guided for this. AJG’s property exposure is a smaller share of its diversified book.</w:t>
            </w:r>
          </w:p>
        </w:tc>
      </w:tr>
      <w:tr>
        <w:tc>
          <w:tcPr>
            <w:tcW w:type="dxa" w:w="2880"/>
          </w:tcPr>
          <w:p>
            <w:r>
              <w:rPr>
                <w:rFonts w:ascii="Calibri" w:hAnsi="Calibri"/>
                <w:sz w:val="22"/>
              </w:rPr>
              <w:t>Commercial Pricing (Non-Cat)</w:t>
            </w:r>
          </w:p>
        </w:tc>
        <w:tc>
          <w:tcPr>
            <w:tcW w:type="dxa" w:w="2880"/>
          </w:tcPr>
          <w:p>
            <w:r>
              <w:rPr>
                <w:rFonts w:ascii="Calibri" w:hAnsi="Calibri"/>
                <w:sz w:val="22"/>
              </w:rPr>
              <w:t>Worker’s comp/non-cat property flat to -5%; primary casualty/professional liability +5%; excess casualty more pressure; property cat -15% to -35%. Admitted market becoming more competitive in some E&amp;S accounts.</w:t>
            </w:r>
          </w:p>
        </w:tc>
        <w:tc>
          <w:tcPr>
            <w:tcW w:type="dxa" w:w="2880"/>
          </w:tcPr>
          <w:p>
            <w:r>
              <w:rPr>
                <w:rFonts w:ascii="Calibri" w:hAnsi="Calibri"/>
                <w:b/>
                <w:sz w:val="22"/>
              </w:rPr>
              <w:t>Neutral</w:t>
            </w:r>
            <w:r>
              <w:rPr>
                <w:rFonts w:ascii="Calibri" w:hAnsi="Calibri"/>
                <w:sz w:val="22"/>
              </w:rPr>
              <w:t xml:space="preserve"> — Pricing environment consistent with AJG’s Q1 commentary; no negative surprise. Casualty firmness is a positive offset.</w:t>
            </w:r>
          </w:p>
        </w:tc>
      </w:tr>
      <w:tr>
        <w:tc>
          <w:tcPr>
            <w:tcW w:type="dxa" w:w="2880"/>
          </w:tcPr>
          <w:p>
            <w:r>
              <w:rPr>
                <w:rFonts w:ascii="Calibri" w:hAnsi="Calibri"/>
                <w:sz w:val="22"/>
              </w:rPr>
              <w:t>Customer Spending / Exposure</w:t>
            </w:r>
          </w:p>
        </w:tc>
        <w:tc>
          <w:tcPr>
            <w:tcW w:type="dxa" w:w="2880"/>
          </w:tcPr>
          <w:p>
            <w:r>
              <w:rPr>
                <w:rFonts w:ascii="Calibri" w:hAnsi="Calibri"/>
                <w:sz w:val="22"/>
              </w:rPr>
              <w:t>Customer spending stable; customers taking “fairly neutral position towards hiring and investment.” Positive audit premium activity suggests continued business growth.</w:t>
            </w:r>
          </w:p>
        </w:tc>
        <w:tc>
          <w:tcPr>
            <w:tcW w:type="dxa" w:w="2880"/>
          </w:tcPr>
          <w:p>
            <w:r>
              <w:rPr>
                <w:rFonts w:ascii="Calibri" w:hAnsi="Calibri"/>
                <w:b/>
                <w:sz w:val="22"/>
              </w:rPr>
              <w:t>Neutral</w:t>
            </w:r>
            <w:r>
              <w:rPr>
                <w:rFonts w:ascii="Calibri" w:hAnsi="Calibri"/>
                <w:sz w:val="22"/>
              </w:rPr>
              <w:t xml:space="preserve"> — Exposure growth likely modest but positive — consistent with AJG’s ~1.5% exposure growth assumption in its organic growth decomposition.</w:t>
            </w:r>
          </w:p>
        </w:tc>
      </w:tr>
      <w:tr>
        <w:tc>
          <w:tcPr>
            <w:tcW w:type="dxa" w:w="2880"/>
          </w:tcPr>
          <w:p>
            <w:r>
              <w:rPr>
                <w:rFonts w:ascii="Calibri" w:hAnsi="Calibri"/>
                <w:sz w:val="22"/>
              </w:rPr>
              <w:t>Margins</w:t>
            </w:r>
          </w:p>
        </w:tc>
        <w:tc>
          <w:tcPr>
            <w:tcW w:type="dxa" w:w="2880"/>
          </w:tcPr>
          <w:p>
            <w:r>
              <w:rPr>
                <w:rFonts w:ascii="Calibri" w:hAnsi="Calibri"/>
                <w:sz w:val="22"/>
              </w:rPr>
              <w:t>Adjusted EBITDA margin decreased 100bps to 35.7% for Q2, driven substantially by lower interest income vs. Q2 2025 (when BRO was holding cash pre-Aon acquisition). Full-year 2026 margin guidance: flat (ex-lower investment income).</w:t>
            </w:r>
          </w:p>
        </w:tc>
        <w:tc>
          <w:tcPr>
            <w:tcW w:type="dxa" w:w="2880"/>
          </w:tcPr>
          <w:p>
            <w:r>
              <w:rPr>
                <w:rFonts w:ascii="Calibri" w:hAnsi="Calibri"/>
                <w:b/>
                <w:sz w:val="22"/>
              </w:rPr>
              <w:t>Neutral</w:t>
            </w:r>
            <w:r>
              <w:rPr>
                <w:rFonts w:ascii="Calibri" w:hAnsi="Calibri"/>
                <w:sz w:val="22"/>
              </w:rPr>
              <w:t xml:space="preserve"> — Lower investment income is a sector-wide theme; AJG faces the same headwind but has AssuredPartners synergies as an offsetting tailwind.</w:t>
            </w:r>
          </w:p>
        </w:tc>
      </w:tr>
      <w:tr>
        <w:tc>
          <w:tcPr>
            <w:tcW w:type="dxa" w:w="2880"/>
          </w:tcPr>
          <w:p>
            <w:r>
              <w:rPr>
                <w:rFonts w:ascii="Calibri" w:hAnsi="Calibri"/>
                <w:sz w:val="22"/>
              </w:rPr>
              <w:t>AI / Technology</w:t>
            </w:r>
          </w:p>
        </w:tc>
        <w:tc>
          <w:tcPr>
            <w:tcW w:type="dxa" w:w="2880"/>
          </w:tcPr>
          <w:p>
            <w:r>
              <w:rPr>
                <w:rFonts w:ascii="Calibri" w:hAnsi="Calibri"/>
                <w:sz w:val="22"/>
              </w:rPr>
              <w:t>BRO announced AI partnerships with McKinsey, Accenture, and Anthropic. Expects incremental organic growth and margin expansion from AI in years 3–5.</w:t>
            </w:r>
          </w:p>
        </w:tc>
        <w:tc>
          <w:tcPr>
            <w:tcW w:type="dxa" w:w="2880"/>
          </w:tcPr>
          <w:p>
            <w:r>
              <w:rPr>
                <w:rFonts w:ascii="Calibri" w:hAnsi="Calibri"/>
                <w:b/>
                <w:sz w:val="22"/>
              </w:rPr>
              <w:t>Neutral</w:t>
            </w:r>
            <w:r>
              <w:rPr>
                <w:rFonts w:ascii="Calibri" w:hAnsi="Calibri"/>
                <w:sz w:val="22"/>
              </w:rPr>
              <w:t xml:space="preserve"> — Competitive context for AJG’s own AI/technology investments; AJG’s CFO has quantified similar cost savings potential (5–30% by layer).</w:t>
            </w:r>
          </w:p>
        </w:tc>
      </w:tr>
    </w:tbl>
    <w:p>
      <w:r>
        <w:rPr>
          <w:rFonts w:ascii="Calibri" w:hAnsi="Calibri"/>
          <w:b/>
          <w:color w:val="525866"/>
          <w:sz w:val="22"/>
        </w:rPr>
        <w:t xml:space="preserve">Overall Peer Read-Through Summary: </w:t>
      </w:r>
      <w:r>
        <w:rPr>
          <w:rFonts w:ascii="Calibri" w:hAnsi="Calibri"/>
          <w:color w:val="525866"/>
          <w:sz w:val="22"/>
        </w:rPr>
        <w:t xml:space="preserve">The peer commentary is broadly constructive for AJG’s Q2 print. MMC and AON both delivered 5% organic growth despite property headwinds, validating that mid-single-digit organic is achievable in the current environment. BRO’s weaker result is largely company-specific (higher property/E&amp;S concentration, litigation-related producer departures) and should not be read across to AJG. The consistent message across all three peers is that </w:t>
      </w:r>
      <w:r>
        <w:rPr>
          <w:rFonts w:ascii="Calibri" w:hAnsi="Calibri"/>
          <w:b/>
          <w:color w:val="525866"/>
          <w:sz w:val="22"/>
        </w:rPr>
        <w:t>new business wins and casualty/specialty strength are more than offsetting property softness</w:t>
      </w:r>
      <w:r>
        <w:rPr>
          <w:rFonts w:ascii="Calibri" w:hAnsi="Calibri"/>
          <w:color w:val="525866"/>
          <w:sz w:val="22"/>
        </w:rPr>
        <w:t>, and that the pricing soft cycle is likely measured in duration — both supportive of AJG’s guidance.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Only one open-market transaction since Q1 earnings — a sale by the Controller/CAO on June 2, 2026. </w:t>
      </w:r>
      <w:r>
        <w:rPr>
          <w:rFonts w:ascii="Calibri" w:hAnsi="Calibri"/>
          <w:b/>
          <w:color w:val="525866"/>
          <w:sz w:val="22"/>
        </w:rPr>
        <w:t>No open-market buys from senior executives. The absence of insider buying is notable given management’s characterization of the stock as “woefully undervalued” on the Q1 call, though the Q2 quiet period and subsequent blackout windows limit the window for discretionary purchases. The company’s own $170M Q2 buyback program is the more meaningful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Richard C. Cary</w:t>
            </w:r>
          </w:p>
        </w:tc>
        <w:tc>
          <w:tcPr>
            <w:tcW w:type="dxa" w:w="1440"/>
          </w:tcPr>
          <w:p>
            <w:r>
              <w:rPr>
                <w:rFonts w:ascii="Calibri" w:hAnsi="Calibri"/>
                <w:sz w:val="22"/>
              </w:rPr>
              <w:t>Controller, CAO</w:t>
            </w:r>
          </w:p>
        </w:tc>
        <w:tc>
          <w:tcPr>
            <w:tcW w:type="dxa" w:w="1440"/>
          </w:tcPr>
          <w:p>
            <w:r>
              <w:rPr>
                <w:rFonts w:ascii="Calibri" w:hAnsi="Calibri"/>
                <w:sz w:val="22"/>
              </w:rPr>
              <w:t>Open Market Sale</w:t>
            </w:r>
          </w:p>
        </w:tc>
        <w:tc>
          <w:tcPr>
            <w:tcW w:type="dxa" w:w="1440"/>
          </w:tcPr>
          <w:p>
            <w:r>
              <w:rPr>
                <w:rFonts w:ascii="Calibri" w:hAnsi="Calibri"/>
                <w:sz w:val="22"/>
              </w:rPr>
              <w:t>3,000 shares</w:t>
            </w:r>
          </w:p>
        </w:tc>
        <w:tc>
          <w:tcPr>
            <w:tcW w:type="dxa" w:w="1440"/>
          </w:tcPr>
          <w:p>
            <w:r>
              <w:rPr>
                <w:rFonts w:ascii="Calibri" w:hAnsi="Calibri"/>
                <w:sz w:val="22"/>
              </w:rPr>
              <w:t>June 2, 2026</w:t>
            </w:r>
          </w:p>
        </w:tc>
        <w:tc>
          <w:tcPr>
            <w:tcW w:type="dxa" w:w="1440"/>
          </w:tcPr>
          <w:p>
            <w:r>
              <w:rPr>
                <w:rFonts w:ascii="Calibri" w:hAnsi="Calibri"/>
                <w:sz w:val="22"/>
              </w:rPr>
              <w:t>Discretionary sale; no 10b5-1 plan indicated. Relatively small position size (47,819 shares remaining post-sale). Not a senior executive.</w:t>
            </w:r>
          </w:p>
        </w:tc>
      </w:tr>
    </w:tbl>
    <w:p>
      <w:r>
        <w:rPr>
          <w:rFonts w:ascii="Calibri" w:hAnsi="Calibri"/>
          <w:b/>
          <w:color w:val="525866"/>
          <w:sz w:val="22"/>
        </w:rPr>
        <w:t xml:space="preserve">Context: </w:t>
      </w:r>
      <w:r>
        <w:rPr>
          <w:rFonts w:ascii="Calibri" w:hAnsi="Calibri"/>
          <w:color w:val="525866"/>
          <w:sz w:val="22"/>
        </w:rPr>
        <w:t>Management repurchased ~$310M of company stock in Q1 2026 and ~$170M in Q2 (through June 17), characterizing equity as “woefully undervalued.” The company’s own buyback program is the more meaningful insider signal. No senior executive open-market buys on record since Q1 earnings, but the quiet period (entered immediately after Q1 close) and subsequent blackout windows significantly limit the window for discretionary purchases.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