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9" w:name="ajg-earnings-predictions--2026-07-30"/>
    <w:p>
      <w:pPr>
        <w:pStyle w:val="Heading1"/>
      </w:pPr>
      <w:r>
        <w:t xml:space="preserve">AJG Earnings Predictions — 2026-07-30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1320"/>
        <w:gridCol w:w="1320"/>
        <w:gridCol w:w="1320"/>
        <w:gridCol w:w="1320"/>
        <w:gridCol w:w="1320"/>
        <w:gridCol w:w="132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Ticker</w:t>
            </w:r>
          </w:p>
        </w:tc>
        <w:tc>
          <w:tcPr/>
          <w:p>
            <w:pPr>
              <w:pStyle w:val="Compact"/>
            </w:pPr>
            <w:r>
              <w:t xml:space="preserve">Report or Guide</w:t>
            </w:r>
          </w:p>
        </w:tc>
        <w:tc>
          <w:tcPr/>
          <w:p>
            <w:pPr>
              <w:pStyle w:val="Compact"/>
            </w:pPr>
            <w:r>
              <w:t xml:space="preserve">KPI</w:t>
            </w:r>
          </w:p>
        </w:tc>
        <w:tc>
          <w:tcPr/>
          <w:p>
            <w:pPr>
              <w:pStyle w:val="Compact"/>
            </w:pPr>
            <w:r>
              <w:t xml:space="preserve">Prediction</w:t>
            </w:r>
          </w:p>
        </w:tc>
        <w:tc>
          <w:tcPr/>
          <w:p>
            <w:pPr>
              <w:pStyle w:val="Compact"/>
            </w:pPr>
            <w:r>
              <w:t xml:space="preserve">Answer</w:t>
            </w:r>
          </w:p>
        </w:tc>
        <w:tc>
          <w:tcPr/>
          <w:p>
            <w:pPr>
              <w:pStyle w:val="Compact"/>
            </w:pPr>
            <w:r>
              <w:t xml:space="preserve">Confidence</w:t>
            </w:r>
          </w:p>
        </w:tc>
      </w:tr>
      <w:tr>
        <w:tc>
          <w:tcPr/>
          <w:p>
            <w:pPr>
              <w:pStyle w:val="Compact"/>
            </w:pPr>
            <w:r>
              <w:t xml:space="preserve">AJG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Adjusted operating EPS</w:t>
            </w:r>
          </w:p>
        </w:tc>
        <w:tc>
          <w:tcPr/>
          <w:p>
            <w:pPr>
              <w:pStyle w:val="Compact"/>
            </w:pPr>
            <w:r>
              <w:t xml:space="preserve">BEAT</w:t>
            </w:r>
          </w:p>
        </w:tc>
        <w:tc>
          <w:tcPr/>
          <w:p>
            <w:pPr>
              <w:pStyle w:val="Compact"/>
            </w:pPr>
            <w:r>
              <w:t xml:space="preserve">pred ~$2.84 vs. cons $2.811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AJG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Brokerage organic growth</w:t>
            </w:r>
          </w:p>
        </w:tc>
        <w:tc>
          <w:tcPr/>
          <w:p>
            <w:pPr>
              <w:pStyle w:val="Compact"/>
            </w:pPr>
            <w:r>
              <w:t xml:space="preserve">BEAT</w:t>
            </w:r>
          </w:p>
        </w:tc>
        <w:tc>
          <w:tcPr/>
          <w:p>
            <w:pPr>
              <w:pStyle w:val="Compact"/>
            </w:pPr>
            <w:r>
              <w:t xml:space="preserve">pred ~5.0% vs. cons 4.89%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AJG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Operating EBITDAC</w:t>
            </w:r>
          </w:p>
        </w:tc>
        <w:tc>
          <w:tcPr/>
          <w:p>
            <w:pPr>
              <w:pStyle w:val="Compact"/>
            </w:pPr>
            <w:r>
              <w:t xml:space="preserve">BEAT</w:t>
            </w:r>
          </w:p>
        </w:tc>
        <w:tc>
          <w:tcPr/>
          <w:p>
            <w:pPr>
              <w:pStyle w:val="Compact"/>
            </w:pPr>
            <w:r>
              <w:t xml:space="preserve">pred ~$1.280B vs. cons $1.267B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AJG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Brokerage organic growth (Q3'26)</w:t>
            </w:r>
          </w:p>
        </w:tc>
        <w:tc>
          <w:tcPr/>
          <w:p>
            <w:pPr>
              <w:pStyle w:val="Compact"/>
            </w:pPr>
            <w:r>
              <w:t xml:space="preserve">LOWER</w:t>
            </w:r>
          </w:p>
        </w:tc>
        <w:tc>
          <w:tcPr/>
          <w:p>
            <w:pPr>
              <w:pStyle w:val="Compact"/>
            </w:pPr>
            <w:r>
              <w:t xml:space="preserve">guide ~5.5% vs. cons 5.66%</w:t>
            </w:r>
          </w:p>
        </w:tc>
        <w:tc>
          <w:tcPr/>
          <w:p>
            <w:pPr>
              <w:pStyle w:val="Compact"/>
            </w:pPr>
            <w:r>
              <w:t xml:space="preserve">LOW</w:t>
            </w:r>
          </w:p>
        </w:tc>
      </w:tr>
      <w:tr>
        <w:tc>
          <w:tcPr/>
          <w:p>
            <w:pPr>
              <w:pStyle w:val="Compact"/>
            </w:pPr>
            <w:r>
              <w:t xml:space="preserve">AJG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Brokerage organic growth (FY'26)</w:t>
            </w:r>
          </w:p>
        </w:tc>
        <w:tc>
          <w:tcPr/>
          <w:p>
            <w:pPr>
              <w:pStyle w:val="Compact"/>
            </w:pPr>
            <w:r>
              <w:t xml:space="preserve">BETTER</w:t>
            </w:r>
          </w:p>
        </w:tc>
        <w:tc>
          <w:tcPr/>
          <w:p>
            <w:pPr>
              <w:pStyle w:val="Compact"/>
            </w:pPr>
            <w:r>
              <w:t xml:space="preserve">guide ~5.5% vs. cons 4.99%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AJG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AssuredPartners synergies (early 2028)</w:t>
            </w:r>
          </w:p>
        </w:tc>
        <w:tc>
          <w:tcPr/>
          <w:p>
            <w:pPr>
              <w:pStyle w:val="Compact"/>
            </w:pPr>
            <w:r>
              <w:t xml:space="preserve">UNCHANGED</w:t>
            </w:r>
          </w:p>
        </w:tc>
        <w:tc>
          <w:tcPr/>
          <w:p>
            <w:pPr>
              <w:pStyle w:val="Compact"/>
            </w:pPr>
            <w:r>
              <w:t xml:space="preserve">guide up to ~$325M vs. cons UNVERIFIED</w:t>
            </w:r>
          </w:p>
        </w:tc>
        <w:tc>
          <w:tcPr/>
          <w:p>
            <w:pPr>
              <w:pStyle w:val="Compact"/>
            </w:pPr>
            <w:r>
              <w:t xml:space="preserve">LOW</w:t>
            </w:r>
          </w:p>
        </w:tc>
      </w:tr>
      <w:tr>
        <w:tc>
          <w:tcPr/>
          <w:p>
            <w:pPr>
              <w:pStyle w:val="Compact"/>
            </w:pPr>
            <w:r>
              <w:t xml:space="preserve">AJG</w:t>
            </w:r>
          </w:p>
        </w:tc>
        <w:tc>
          <w:tcPr/>
          <w:p>
            <w:pPr>
              <w:pStyle w:val="Compact"/>
            </w:pPr>
            <w:r>
              <w:t xml:space="preserve">Return</w:t>
            </w:r>
          </w:p>
        </w:tc>
        <w:tc>
          <w:tcPr/>
          <w:p>
            <w:pPr>
              <w:pStyle w:val="Compact"/>
            </w:pPr>
            <w:r>
              <w:t xml:space="preserve">Day-1 residual (stock − beta × S&amp;P 500)</w:t>
            </w:r>
          </w:p>
        </w:tc>
        <w:tc>
          <w:tcPr/>
          <w:p>
            <w:pPr>
              <w:pStyle w:val="Compact"/>
            </w:pPr>
            <w:r>
              <w:t xml:space="preserve">-1.5%</w:t>
            </w:r>
          </w:p>
        </w:tc>
        <w:tc>
          <w:tcPr/>
          <w:p>
            <w:pPr>
              <w:pStyle w:val="Compact"/>
            </w:pPr>
            <w:r>
              <w:t xml:space="preserve">—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AJG</w:t>
            </w:r>
          </w:p>
        </w:tc>
        <w:tc>
          <w:tcPr/>
          <w:p>
            <w:pPr>
              <w:pStyle w:val="Compact"/>
            </w:pPr>
            <w:r>
              <w:t xml:space="preserve">Return</w:t>
            </w:r>
          </w:p>
        </w:tc>
        <w:tc>
          <w:tcPr/>
          <w:p>
            <w:pPr>
              <w:pStyle w:val="Compact"/>
            </w:pPr>
            <w:r>
              <w:t xml:space="preserve">5-day cumulative residual</w:t>
            </w:r>
          </w:p>
        </w:tc>
        <w:tc>
          <w:tcPr/>
          <w:p>
            <w:pPr>
              <w:pStyle w:val="Compact"/>
            </w:pPr>
            <w:r>
              <w:t xml:space="preserve">-2.5% (FOLLOW-THROUGH)</w:t>
            </w:r>
          </w:p>
        </w:tc>
        <w:tc>
          <w:tcPr/>
          <w:p>
            <w:pPr>
              <w:pStyle w:val="Compact"/>
            </w:pPr>
            <w:r>
              <w:t xml:space="preserve">FOLLOW-THROUGH — high setup and near-term guide risk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</w:tbl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2026-08-02T02:02:32Z</dcterms:created>
  <dcterms:modified xsi:type="dcterms:W3CDTF">2026-08-02T02:02:32Z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