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sits at a manageable bar — brokerage organic growth of ~4.9% is right in line with management's 5% guide, and adjusted EPS of $1.77 is modestly below the implied run-rate. </w:t>
      </w:r>
      <w:r>
        <w:rPr>
          <w:rFonts w:ascii="Calibri" w:hAnsi="Calibri"/>
          <w:b/>
          <w:color w:val="525866"/>
          <w:sz w:val="22"/>
        </w:rPr>
        <w:t>Risk Management organic growth (guided to 11%) is the bigger swing factor</w:t>
      </w:r>
      <w:r>
        <w:rPr>
          <w:rFonts w:ascii="Calibri" w:hAnsi="Calibri"/>
          <w:color w:val="525866"/>
          <w:sz w:val="22"/>
        </w:rPr>
        <w:t xml:space="preserve"> given the upward revision at the June Investor Day.</w:t>
      </w:r>
    </w:p>
    <w:p>
      <w:r>
        <w:rPr>
          <w:rFonts w:ascii="Calibri" w:hAnsi="Calibri"/>
          <w:b/>
          <w:color w:val="525866"/>
          <w:sz w:val="22"/>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 Diluted - Operating ($)</w:t>
            </w:r>
          </w:p>
        </w:tc>
        <w:tc>
          <w:tcPr>
            <w:tcW w:type="dxa" w:w="1234"/>
          </w:tcPr>
          <w:p>
            <w:r>
              <w:rPr>
                <w:rFonts w:ascii="Calibri" w:hAnsi="Calibri"/>
                <w:sz w:val="22"/>
              </w:rPr>
              <w:t>$4.47</w:t>
            </w:r>
          </w:p>
        </w:tc>
        <w:tc>
          <w:tcPr>
            <w:tcW w:type="dxa" w:w="1234"/>
          </w:tcPr>
          <w:p>
            <w:r>
              <w:rPr>
                <w:rFonts w:ascii="Calibri" w:hAnsi="Calibri"/>
                <w:sz w:val="22"/>
              </w:rPr>
              <w:t>$2.33</w:t>
            </w:r>
          </w:p>
        </w:tc>
        <w:tc>
          <w:tcPr>
            <w:tcW w:type="dxa" w:w="1234"/>
          </w:tcPr>
          <w:p>
            <w:r>
              <w:rPr>
                <w:rFonts w:ascii="Calibri" w:hAnsi="Calibri"/>
                <w:sz w:val="22"/>
              </w:rPr>
              <w:t>$1.77</w:t>
            </w:r>
          </w:p>
        </w:tc>
        <w:tc>
          <w:tcPr>
            <w:tcW w:type="dxa" w:w="1234"/>
          </w:tcPr>
          <w:p>
            <w:r>
              <w:rPr>
                <w:rFonts w:ascii="Calibri" w:hAnsi="Calibri"/>
                <w:sz w:val="22"/>
              </w:rPr>
              <w:t>-24% (Q1 seasonally strongest)</w:t>
            </w:r>
          </w:p>
        </w:tc>
        <w:tc>
          <w:tcPr>
            <w:tcW w:type="dxa" w:w="1234"/>
          </w:tcPr>
          <w:p>
            <w:r>
              <w:rPr>
                <w:rFonts w:ascii="Calibri" w:hAnsi="Calibri"/>
                <w:sz w:val="22"/>
              </w:rPr>
              <w:t>~$1.80 implied (mgmt commentary)</w:t>
            </w:r>
          </w:p>
        </w:tc>
        <w:tc>
          <w:tcPr>
            <w:tcW w:type="dxa" w:w="1234"/>
          </w:tcPr>
          <w:p>
            <w:r>
              <w:rPr>
                <w:rFonts w:ascii="Calibri" w:hAnsi="Calibri"/>
                <w:sz w:val="22"/>
              </w:rPr>
              <w:t>~-2%</w:t>
            </w:r>
          </w:p>
        </w:tc>
      </w:tr>
      <w:tr>
        <w:tc>
          <w:tcPr>
            <w:tcW w:type="dxa" w:w="1234"/>
          </w:tcPr>
          <w:p>
            <w:r>
              <w:rPr>
                <w:rFonts w:ascii="Calibri" w:hAnsi="Calibri"/>
                <w:sz w:val="22"/>
              </w:rPr>
              <w:t>Brokerage Organic Revenue Growth (%)</w:t>
            </w:r>
          </w:p>
        </w:tc>
        <w:tc>
          <w:tcPr>
            <w:tcW w:type="dxa" w:w="1234"/>
          </w:tcPr>
          <w:p>
            <w:r>
              <w:rPr>
                <w:rFonts w:ascii="Calibri" w:hAnsi="Calibri"/>
                <w:sz w:val="22"/>
              </w:rPr>
              <w:t>4.2%</w:t>
            </w:r>
          </w:p>
        </w:tc>
        <w:tc>
          <w:tcPr>
            <w:tcW w:type="dxa" w:w="1234"/>
          </w:tcPr>
          <w:p>
            <w:r>
              <w:rPr>
                <w:rFonts w:ascii="Calibri" w:hAnsi="Calibri"/>
                <w:sz w:val="22"/>
              </w:rPr>
              <w:t>4.7%</w:t>
            </w:r>
          </w:p>
        </w:tc>
        <w:tc>
          <w:tcPr>
            <w:tcW w:type="dxa" w:w="1234"/>
          </w:tcPr>
          <w:p>
            <w:r>
              <w:rPr>
                <w:rFonts w:ascii="Calibri" w:hAnsi="Calibri"/>
                <w:sz w:val="22"/>
              </w:rPr>
              <w:t>~4.9%</w:t>
            </w:r>
          </w:p>
        </w:tc>
        <w:tc>
          <w:tcPr>
            <w:tcW w:type="dxa" w:w="1234"/>
          </w:tcPr>
          <w:p>
            <w:r>
              <w:rPr>
                <w:rFonts w:ascii="Calibri" w:hAnsi="Calibri"/>
                <w:sz w:val="22"/>
              </w:rPr>
              <w:t>+20 bps</w:t>
            </w:r>
          </w:p>
        </w:tc>
        <w:tc>
          <w:tcPr>
            <w:tcW w:type="dxa" w:w="1234"/>
          </w:tcPr>
          <w:p>
            <w:r>
              <w:rPr>
                <w:rFonts w:ascii="Calibri" w:hAnsi="Calibri"/>
                <w:sz w:val="22"/>
              </w:rPr>
              <w:t>~5%</w:t>
            </w:r>
          </w:p>
        </w:tc>
        <w:tc>
          <w:tcPr>
            <w:tcW w:type="dxa" w:w="1234"/>
          </w:tcPr>
          <w:p>
            <w:r>
              <w:rPr>
                <w:rFonts w:ascii="Calibri" w:hAnsi="Calibri"/>
                <w:sz w:val="22"/>
              </w:rPr>
              <w:t>~-10 bps (in-line)</w:t>
            </w:r>
          </w:p>
        </w:tc>
      </w:tr>
      <w:tr>
        <w:tc>
          <w:tcPr>
            <w:tcW w:type="dxa" w:w="1234"/>
          </w:tcPr>
          <w:p>
            <w:r>
              <w:rPr>
                <w:rFonts w:ascii="Calibri" w:hAnsi="Calibri"/>
                <w:sz w:val="22"/>
              </w:rPr>
              <w:t>Adjusted EBITDAC Margin - Brokerage (%)</w:t>
            </w:r>
          </w:p>
        </w:tc>
        <w:tc>
          <w:tcPr>
            <w:tcW w:type="dxa" w:w="1234"/>
          </w:tcPr>
          <w:p>
            <w:r>
              <w:rPr>
                <w:rFonts w:ascii="Calibri" w:hAnsi="Calibri"/>
                <w:sz w:val="22"/>
              </w:rPr>
              <w:t>40.1%</w:t>
            </w:r>
          </w:p>
        </w:tc>
        <w:tc>
          <w:tcPr>
            <w:tcW w:type="dxa" w:w="1234"/>
          </w:tcPr>
          <w:p>
            <w:r>
              <w:rPr>
                <w:rFonts w:ascii="Calibri" w:hAnsi="Calibri"/>
                <w:sz w:val="22"/>
              </w:rPr>
              <w:t>36.4%</w:t>
            </w:r>
          </w:p>
        </w:tc>
        <w:tc>
          <w:tcPr>
            <w:tcW w:type="dxa" w:w="1234"/>
          </w:tcPr>
          <w:p>
            <w:r>
              <w:rPr>
                <w:rFonts w:ascii="Calibri" w:hAnsi="Calibri"/>
                <w:sz w:val="22"/>
              </w:rPr>
              <w:t>~33.1%</w:t>
            </w:r>
          </w:p>
        </w:tc>
        <w:tc>
          <w:tcPr>
            <w:tcW w:type="dxa" w:w="1234"/>
          </w:tcPr>
          <w:p>
            <w:r>
              <w:rPr>
                <w:rFonts w:ascii="Calibri" w:hAnsi="Calibri"/>
                <w:sz w:val="22"/>
              </w:rPr>
              <w:t>-330 bps (seasonal)</w:t>
            </w:r>
          </w:p>
        </w:tc>
        <w:tc>
          <w:tcPr>
            <w:tcW w:type="dxa" w:w="1234"/>
          </w:tcPr>
          <w:p>
            <w:r>
              <w:rPr>
                <w:rFonts w:ascii="Calibri" w:hAnsi="Calibri"/>
                <w:sz w:val="22"/>
              </w:rPr>
              <w:t>Unchanged from April; 40-60 bps underlying expansion FY</w:t>
            </w:r>
          </w:p>
        </w:tc>
        <w:tc>
          <w:tcPr>
            <w:tcW w:type="dxa" w:w="1234"/>
          </w:tcPr>
          <w:p>
            <w:r>
              <w:rPr>
                <w:rFonts w:ascii="Calibri" w:hAnsi="Calibri"/>
                <w:sz w:val="22"/>
              </w:rPr>
              <w:t>In-line</w:t>
            </w:r>
          </w:p>
        </w:tc>
      </w:tr>
      <w:tr>
        <w:tc>
          <w:tcPr>
            <w:tcW w:type="dxa" w:w="1234"/>
          </w:tcPr>
          <w:p>
            <w:r>
              <w:rPr>
                <w:rFonts w:ascii="Calibri" w:hAnsi="Calibri"/>
                <w:sz w:val="22"/>
              </w:rPr>
              <w:t>Revenue - Brokerage &amp; Risk Mgmt - Operating ($M)</w:t>
            </w:r>
          </w:p>
        </w:tc>
        <w:tc>
          <w:tcPr>
            <w:tcW w:type="dxa" w:w="1234"/>
          </w:tcPr>
          <w:p>
            <w:r>
              <w:rPr>
                <w:rFonts w:ascii="Calibri" w:hAnsi="Calibri"/>
                <w:sz w:val="22"/>
              </w:rPr>
              <w:t>$4,756M</w:t>
            </w:r>
          </w:p>
        </w:tc>
        <w:tc>
          <w:tcPr>
            <w:tcW w:type="dxa" w:w="1234"/>
          </w:tcPr>
          <w:p>
            <w:r>
              <w:rPr>
                <w:rFonts w:ascii="Calibri" w:hAnsi="Calibri"/>
                <w:sz w:val="22"/>
              </w:rPr>
              <w:t>$3,214M</w:t>
            </w:r>
          </w:p>
        </w:tc>
        <w:tc>
          <w:tcPr>
            <w:tcW w:type="dxa" w:w="1234"/>
          </w:tcPr>
          <w:p>
            <w:r>
              <w:rPr>
                <w:rFonts w:ascii="Calibri" w:hAnsi="Calibri"/>
                <w:sz w:val="22"/>
              </w:rPr>
              <w:t>~$4,023M</w:t>
            </w:r>
          </w:p>
        </w:tc>
        <w:tc>
          <w:tcPr>
            <w:tcW w:type="dxa" w:w="1234"/>
          </w:tcPr>
          <w:p>
            <w:r>
              <w:rPr>
                <w:rFonts w:ascii="Calibri" w:hAnsi="Calibri"/>
                <w:sz w:val="22"/>
              </w:rPr>
              <w:t>+25% (AP acquisition)</w:t>
            </w:r>
          </w:p>
        </w:tc>
        <w:tc>
          <w:tcPr>
            <w:tcW w:type="dxa" w:w="1234"/>
          </w:tcPr>
          <w:p>
            <w:r>
              <w:rPr>
                <w:rFonts w:ascii="Calibri" w:hAnsi="Calibri"/>
                <w:sz w:val="22"/>
              </w:rPr>
              <w:t>N/A (no explicit revenue guide)</w:t>
            </w:r>
          </w:p>
        </w:tc>
        <w:tc>
          <w:tcPr>
            <w:tcW w:type="dxa" w:w="1234"/>
          </w:tcPr>
          <w:p>
            <w:r>
              <w:rPr>
                <w:rFonts w:ascii="Calibri" w:hAnsi="Calibri"/>
                <w:sz w:val="22"/>
              </w:rPr>
              <w:t>N/A</w:t>
            </w:r>
          </w:p>
        </w:tc>
      </w:tr>
      <w:tr>
        <w:tc>
          <w:tcPr>
            <w:tcW w:type="dxa" w:w="1234"/>
          </w:tcPr>
          <w:p>
            <w:r>
              <w:rPr>
                <w:rFonts w:ascii="Calibri" w:hAnsi="Calibri"/>
                <w:sz w:val="22"/>
              </w:rPr>
              <w:t>EBITDAC - Brokerage &amp; Risk Mgmt - Operating ($M)</w:t>
            </w:r>
          </w:p>
        </w:tc>
        <w:tc>
          <w:tcPr>
            <w:tcW w:type="dxa" w:w="1234"/>
          </w:tcPr>
          <w:p>
            <w:r>
              <w:rPr>
                <w:rFonts w:ascii="Calibri" w:hAnsi="Calibri"/>
                <w:sz w:val="22"/>
              </w:rPr>
              <w:t>$1,813M</w:t>
            </w:r>
          </w:p>
        </w:tc>
        <w:tc>
          <w:tcPr>
            <w:tcW w:type="dxa" w:w="1234"/>
          </w:tcPr>
          <w:p>
            <w:r>
              <w:rPr>
                <w:rFonts w:ascii="Calibri" w:hAnsi="Calibri"/>
                <w:sz w:val="22"/>
              </w:rPr>
              <w:t>$1,095M</w:t>
            </w:r>
          </w:p>
        </w:tc>
        <w:tc>
          <w:tcPr>
            <w:tcW w:type="dxa" w:w="1234"/>
          </w:tcPr>
          <w:p>
            <w:r>
              <w:rPr>
                <w:rFonts w:ascii="Calibri" w:hAnsi="Calibri"/>
                <w:sz w:val="22"/>
              </w:rPr>
              <w:t>~$1,267M</w:t>
            </w:r>
          </w:p>
        </w:tc>
        <w:tc>
          <w:tcPr>
            <w:tcW w:type="dxa" w:w="1234"/>
          </w:tcPr>
          <w:p>
            <w:r>
              <w:rPr>
                <w:rFonts w:ascii="Calibri" w:hAnsi="Calibri"/>
                <w:sz w:val="22"/>
              </w:rPr>
              <w:t>+16% (AP acquisition)</w:t>
            </w:r>
          </w:p>
        </w:tc>
        <w:tc>
          <w:tcPr>
            <w:tcW w:type="dxa" w:w="1234"/>
          </w:tcPr>
          <w:p>
            <w:r>
              <w:rPr>
                <w:rFonts w:ascii="Calibri" w:hAnsi="Calibri"/>
                <w:sz w:val="22"/>
              </w:rPr>
              <w:t>AP EBITDA outlook unchanged from April</w:t>
            </w:r>
          </w:p>
        </w:tc>
        <w:tc>
          <w:tcPr>
            <w:tcW w:type="dxa" w:w="1234"/>
          </w:tcPr>
          <w:p>
            <w:r>
              <w:rPr>
                <w:rFonts w:ascii="Calibri" w:hAnsi="Calibri"/>
                <w:sz w:val="22"/>
              </w:rPr>
              <w:t>In-line</w:t>
            </w:r>
          </w:p>
        </w:tc>
      </w:tr>
      <w:tr>
        <w:tc>
          <w:tcPr>
            <w:tcW w:type="dxa" w:w="1234"/>
          </w:tcPr>
          <w:p>
            <w:r>
              <w:rPr>
                <w:rFonts w:ascii="Calibri" w:hAnsi="Calibri"/>
                <w:sz w:val="22"/>
              </w:rPr>
              <w:t>Risk Management Organic Growth (%)</w:t>
            </w:r>
          </w:p>
        </w:tc>
        <w:tc>
          <w:tcPr>
            <w:tcW w:type="dxa" w:w="1234"/>
          </w:tcPr>
          <w:p>
            <w:r>
              <w:rPr>
                <w:rFonts w:ascii="Calibri" w:hAnsi="Calibri"/>
                <w:sz w:val="22"/>
              </w:rPr>
              <w:t>10.0%</w:t>
            </w:r>
          </w:p>
        </w:tc>
        <w:tc>
          <w:tcPr>
            <w:tcW w:type="dxa" w:w="1234"/>
          </w:tcPr>
          <w:p>
            <w:r>
              <w:rPr>
                <w:rFonts w:ascii="Calibri" w:hAnsi="Calibri"/>
                <w:sz w:val="22"/>
              </w:rPr>
              <w:t>N/A — not in VA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~11% (raised at June Investor Day)</w:t>
            </w:r>
          </w:p>
        </w:tc>
        <w:tc>
          <w:tcPr>
            <w:tcW w:type="dxa" w:w="1234"/>
          </w:tcPr>
          <w:p>
            <w:r>
              <w:rPr>
                <w:rFonts w:ascii="Calibri" w:hAnsi="Calibri"/>
                <w:sz w:val="22"/>
              </w:rPr>
              <w:t>N/A</w:t>
            </w:r>
          </w:p>
        </w:tc>
      </w:tr>
    </w:tbl>
    <w:p>
      <w:r>
        <w:rPr>
          <w:rFonts w:ascii="Calibri" w:hAnsi="Calibri"/>
          <w:i/>
          <w:color w:val="525866"/>
          <w:sz w:val="22"/>
        </w:rPr>
        <w:t>Sources: Visible Alpha Consensus and Actuals Data; AJG Q1 2026 Earnings Release (April 30, 2026); AJG Pre-Q2 Investor Meeting (June 17, 2026). All VA-sourced figures cited per Visible Alpha dataset.</w:t>
      </w:r>
    </w:p>
    <w:p>
      <w:r>
        <w:rPr>
          <w:rFonts w:ascii="Calibri" w:hAnsi="Calibri"/>
          <w:b/>
          <w:color w:val="525866"/>
          <w:sz w:val="22"/>
        </w:rPr>
        <w:t>Table 2 — Beat/Miss History (Last 8 Quarters, Top 2 KPIs)</w:t>
      </w:r>
    </w:p>
    <w:p>
      <w:r>
        <w:rPr>
          <w:rFonts w:ascii="Calibri" w:hAnsi="Calibri"/>
          <w:b/>
          <w:color w:val="525866"/>
          <w:sz w:val="22"/>
        </w:rPr>
        <w:t>KPI 1: Adjusted EPS -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$4.47</w:t>
            </w:r>
          </w:p>
        </w:tc>
        <w:tc>
          <w:tcPr>
            <w:tcW w:type="dxa" w:w="1728"/>
          </w:tcPr>
          <w:p>
            <w:r>
              <w:rPr>
                <w:rFonts w:ascii="Calibri" w:hAnsi="Calibri"/>
                <w:sz w:val="22"/>
              </w:rPr>
              <w:t>$4.43</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$2.38</w:t>
            </w:r>
          </w:p>
        </w:tc>
        <w:tc>
          <w:tcPr>
            <w:tcW w:type="dxa" w:w="1728"/>
          </w:tcPr>
          <w:p>
            <w:r>
              <w:rPr>
                <w:rFonts w:ascii="Calibri" w:hAnsi="Calibri"/>
                <w:sz w:val="22"/>
              </w:rPr>
              <w:t>$2.32</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$2.32</w:t>
            </w:r>
          </w:p>
        </w:tc>
        <w:tc>
          <w:tcPr>
            <w:tcW w:type="dxa" w:w="1728"/>
          </w:tcPr>
          <w:p>
            <w:r>
              <w:rPr>
                <w:rFonts w:ascii="Calibri" w:hAnsi="Calibri"/>
                <w:sz w:val="22"/>
              </w:rPr>
              <w:t>$2.47</w:t>
            </w:r>
          </w:p>
        </w:tc>
        <w:tc>
          <w:tcPr>
            <w:tcW w:type="dxa" w:w="1728"/>
          </w:tcPr>
          <w:p>
            <w:r>
              <w:rPr>
                <w:rFonts w:ascii="Calibri" w:hAnsi="Calibri"/>
                <w:sz w:val="22"/>
              </w:rPr>
              <w:t>-6.1%</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$2.33</w:t>
            </w:r>
          </w:p>
        </w:tc>
        <w:tc>
          <w:tcPr>
            <w:tcW w:type="dxa" w:w="1728"/>
          </w:tcPr>
          <w:p>
            <w:r>
              <w:rPr>
                <w:rFonts w:ascii="Calibri" w:hAnsi="Calibri"/>
                <w:sz w:val="22"/>
              </w:rPr>
              <w:t>$2.32</w:t>
            </w:r>
          </w:p>
        </w:tc>
        <w:tc>
          <w:tcPr>
            <w:tcW w:type="dxa" w:w="1728"/>
          </w:tcPr>
          <w:p>
            <w:r>
              <w:rPr>
                <w:rFonts w:ascii="Calibri" w:hAnsi="Calibri"/>
                <w:sz w:val="22"/>
              </w:rPr>
              <w:t>+0.4%</w:t>
            </w:r>
          </w:p>
        </w:tc>
        <w:tc>
          <w:tcPr>
            <w:tcW w:type="dxa" w:w="1728"/>
          </w:tcPr>
          <w:p>
            <w:r>
              <w:rPr>
                <w:rFonts w:ascii="Calibri" w:hAnsi="Calibri"/>
                <w:b/>
                <w:color w:val="30A46C"/>
                <w:sz w:val="22"/>
              </w:rPr>
              <w:t>In-Line / Slight Beat</w:t>
            </w:r>
          </w:p>
        </w:tc>
      </w:tr>
      <w:tr>
        <w:tc>
          <w:tcPr>
            <w:tcW w:type="dxa" w:w="1728"/>
          </w:tcPr>
          <w:p>
            <w:r>
              <w:rPr>
                <w:rFonts w:ascii="Calibri" w:hAnsi="Calibri"/>
                <w:sz w:val="22"/>
              </w:rPr>
              <w:t>Q1 2025</w:t>
            </w:r>
          </w:p>
        </w:tc>
        <w:tc>
          <w:tcPr>
            <w:tcW w:type="dxa" w:w="1728"/>
          </w:tcPr>
          <w:p>
            <w:r>
              <w:rPr>
                <w:rFonts w:ascii="Calibri" w:hAnsi="Calibri"/>
                <w:sz w:val="22"/>
              </w:rPr>
              <w:t>$3.68</w:t>
            </w:r>
          </w:p>
        </w:tc>
        <w:tc>
          <w:tcPr>
            <w:tcW w:type="dxa" w:w="1728"/>
          </w:tcPr>
          <w:p>
            <w:r>
              <w:rPr>
                <w:rFonts w:ascii="Calibri" w:hAnsi="Calibri"/>
                <w:sz w:val="22"/>
              </w:rPr>
              <w:t>$3.52</w:t>
            </w:r>
          </w:p>
        </w:tc>
        <w:tc>
          <w:tcPr>
            <w:tcW w:type="dxa" w:w="1728"/>
          </w:tcPr>
          <w:p>
            <w:r>
              <w:rPr>
                <w:rFonts w:ascii="Calibri" w:hAnsi="Calibri"/>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$2.13</w:t>
            </w:r>
          </w:p>
        </w:tc>
        <w:tc>
          <w:tcPr>
            <w:tcW w:type="dxa" w:w="1728"/>
          </w:tcPr>
          <w:p>
            <w:r>
              <w:rPr>
                <w:rFonts w:ascii="Calibri" w:hAnsi="Calibri"/>
                <w:sz w:val="22"/>
              </w:rPr>
              <w:t>$1.99</w:t>
            </w:r>
          </w:p>
        </w:tc>
        <w:tc>
          <w:tcPr>
            <w:tcW w:type="dxa" w:w="1728"/>
          </w:tcPr>
          <w:p>
            <w:r>
              <w:rPr>
                <w:rFonts w:ascii="Calibri" w:hAnsi="Calibri"/>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$2.25</w:t>
            </w:r>
          </w:p>
        </w:tc>
        <w:tc>
          <w:tcPr>
            <w:tcW w:type="dxa" w:w="1728"/>
          </w:tcPr>
          <w:p>
            <w:r>
              <w:rPr>
                <w:rFonts w:ascii="Calibri" w:hAnsi="Calibri"/>
                <w:sz w:val="22"/>
              </w:rPr>
              <w:t>$2.24</w:t>
            </w:r>
          </w:p>
        </w:tc>
        <w:tc>
          <w:tcPr>
            <w:tcW w:type="dxa" w:w="1728"/>
          </w:tcPr>
          <w:p>
            <w:r>
              <w:rPr>
                <w:rFonts w:ascii="Calibri" w:hAnsi="Calibri"/>
                <w:sz w:val="22"/>
              </w:rPr>
              <w:t>+0.5%</w:t>
            </w:r>
          </w:p>
        </w:tc>
        <w:tc>
          <w:tcPr>
            <w:tcW w:type="dxa" w:w="1728"/>
          </w:tcPr>
          <w:p>
            <w:r>
              <w:rPr>
                <w:rFonts w:ascii="Calibri" w:hAnsi="Calibri"/>
                <w:b/>
                <w:color w:val="30A46C"/>
                <w:sz w:val="22"/>
              </w:rPr>
              <w:t>In-Line / Slight Beat</w:t>
            </w:r>
          </w:p>
        </w:tc>
      </w:tr>
      <w:tr>
        <w:tc>
          <w:tcPr>
            <w:tcW w:type="dxa" w:w="1728"/>
          </w:tcPr>
          <w:p>
            <w:r>
              <w:rPr>
                <w:rFonts w:ascii="Calibri" w:hAnsi="Calibri"/>
                <w:sz w:val="22"/>
              </w:rPr>
              <w:t>Q2 2024</w:t>
            </w:r>
          </w:p>
        </w:tc>
        <w:tc>
          <w:tcPr>
            <w:tcW w:type="dxa" w:w="1728"/>
          </w:tcPr>
          <w:p>
            <w:r>
              <w:rPr>
                <w:rFonts w:ascii="Calibri" w:hAnsi="Calibri"/>
                <w:sz w:val="22"/>
              </w:rPr>
              <w:t>$2.33</w:t>
            </w:r>
          </w:p>
        </w:tc>
        <w:tc>
          <w:tcPr>
            <w:tcW w:type="dxa" w:w="1728"/>
          </w:tcPr>
          <w:p>
            <w:r>
              <w:rPr>
                <w:rFonts w:ascii="Calibri" w:hAnsi="Calibri"/>
                <w:sz w:val="22"/>
              </w:rPr>
              <w:t>$2.32</w:t>
            </w:r>
          </w:p>
        </w:tc>
        <w:tc>
          <w:tcPr>
            <w:tcW w:type="dxa" w:w="1728"/>
          </w:tcPr>
          <w:p>
            <w:r>
              <w:rPr>
                <w:rFonts w:ascii="Calibri" w:hAnsi="Calibri"/>
                <w:sz w:val="22"/>
              </w:rPr>
              <w:t>+0.4%</w:t>
            </w:r>
          </w:p>
        </w:tc>
        <w:tc>
          <w:tcPr>
            <w:tcW w:type="dxa" w:w="1728"/>
          </w:tcPr>
          <w:p>
            <w:r>
              <w:rPr>
                <w:rFonts w:ascii="Calibri" w:hAnsi="Calibri"/>
                <w:b/>
                <w:color w:val="30A46C"/>
                <w:sz w:val="22"/>
              </w:rPr>
              <w:t>In-Line / Slight Beat</w:t>
            </w:r>
          </w:p>
        </w:tc>
      </w:tr>
    </w:tbl>
    <w:p>
      <w:r>
        <w:rPr>
          <w:rFonts w:ascii="Calibri" w:hAnsi="Calibri"/>
          <w:b/>
          <w:color w:val="525866"/>
          <w:sz w:val="22"/>
        </w:rPr>
        <w:t>KPI 2: Brokerage Organic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4.2%</w:t>
            </w:r>
          </w:p>
        </w:tc>
        <w:tc>
          <w:tcPr>
            <w:tcW w:type="dxa" w:w="1728"/>
          </w:tcPr>
          <w:p>
            <w:r>
              <w:rPr>
                <w:rFonts w:ascii="Calibri" w:hAnsi="Calibri"/>
                <w:sz w:val="22"/>
              </w:rPr>
              <w:t>4.6%</w:t>
            </w:r>
          </w:p>
        </w:tc>
        <w:tc>
          <w:tcPr>
            <w:tcW w:type="dxa" w:w="1728"/>
          </w:tcPr>
          <w:p>
            <w:r>
              <w:rPr>
                <w:rFonts w:ascii="Calibri" w:hAnsi="Calibri"/>
                <w:sz w:val="22"/>
              </w:rPr>
              <w:t>-40 bps</w:t>
            </w:r>
          </w:p>
        </w:tc>
        <w:tc>
          <w:tcPr>
            <w:tcW w:type="dxa" w:w="1728"/>
          </w:tcPr>
          <w:p>
            <w:r>
              <w:rPr>
                <w:rFonts w:ascii="Calibri" w:hAnsi="Calibri"/>
                <w:b/>
                <w:color w:val="E5484D"/>
                <w:sz w:val="22"/>
              </w:rPr>
              <w:t>Slight Miss</w:t>
            </w:r>
          </w:p>
        </w:tc>
      </w:tr>
      <w:tr>
        <w:tc>
          <w:tcPr>
            <w:tcW w:type="dxa" w:w="1728"/>
          </w:tcPr>
          <w:p>
            <w:r>
              <w:rPr>
                <w:rFonts w:ascii="Calibri" w:hAnsi="Calibri"/>
                <w:sz w:val="22"/>
              </w:rPr>
              <w:t>Q4 2025</w:t>
            </w:r>
          </w:p>
        </w:tc>
        <w:tc>
          <w:tcPr>
            <w:tcW w:type="dxa" w:w="1728"/>
          </w:tcPr>
          <w:p>
            <w:r>
              <w:rPr>
                <w:rFonts w:ascii="Calibri" w:hAnsi="Calibri"/>
                <w:sz w:val="22"/>
              </w:rPr>
              <w:t>4.5%</w:t>
            </w:r>
          </w:p>
        </w:tc>
        <w:tc>
          <w:tcPr>
            <w:tcW w:type="dxa" w:w="1728"/>
          </w:tcPr>
          <w:p>
            <w:r>
              <w:rPr>
                <w:rFonts w:ascii="Calibri" w:hAnsi="Calibri"/>
                <w:sz w:val="22"/>
              </w:rPr>
              <w:t>3.4%</w:t>
            </w:r>
          </w:p>
        </w:tc>
        <w:tc>
          <w:tcPr>
            <w:tcW w:type="dxa" w:w="1728"/>
          </w:tcPr>
          <w:p>
            <w:r>
              <w:rPr>
                <w:rFonts w:ascii="Calibri" w:hAnsi="Calibri"/>
                <w:sz w:val="22"/>
              </w:rPr>
              <w:t>+110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3.9%</w:t>
            </w:r>
          </w:p>
        </w:tc>
        <w:tc>
          <w:tcPr>
            <w:tcW w:type="dxa" w:w="1728"/>
          </w:tcPr>
          <w:p>
            <w:r>
              <w:rPr>
                <w:rFonts w:ascii="Calibri" w:hAnsi="Calibri"/>
                <w:sz w:val="22"/>
              </w:rPr>
              <w:t>5.0%</w:t>
            </w:r>
          </w:p>
        </w:tc>
        <w:tc>
          <w:tcPr>
            <w:tcW w:type="dxa" w:w="1728"/>
          </w:tcPr>
          <w:p>
            <w:r>
              <w:rPr>
                <w:rFonts w:ascii="Calibri" w:hAnsi="Calibri"/>
                <w:sz w:val="22"/>
              </w:rPr>
              <w:t>-110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4.7%</w:t>
            </w:r>
          </w:p>
        </w:tc>
        <w:tc>
          <w:tcPr>
            <w:tcW w:type="dxa" w:w="1728"/>
          </w:tcPr>
          <w:p>
            <w:r>
              <w:rPr>
                <w:rFonts w:ascii="Calibri" w:hAnsi="Calibri"/>
                <w:sz w:val="22"/>
              </w:rPr>
              <w:t>5.4%</w:t>
            </w:r>
          </w:p>
        </w:tc>
        <w:tc>
          <w:tcPr>
            <w:tcW w:type="dxa" w:w="1728"/>
          </w:tcPr>
          <w:p>
            <w:r>
              <w:rPr>
                <w:rFonts w:ascii="Calibri" w:hAnsi="Calibri"/>
                <w:sz w:val="22"/>
              </w:rPr>
              <w:t>-70 bps</w:t>
            </w:r>
          </w:p>
        </w:tc>
        <w:tc>
          <w:tcPr>
            <w:tcW w:type="dxa" w:w="1728"/>
          </w:tcPr>
          <w:p>
            <w:r>
              <w:rPr>
                <w:rFonts w:ascii="Calibri" w:hAnsi="Calibri"/>
                <w:b/>
                <w:color w:val="E5484D"/>
                <w:sz w:val="22"/>
              </w:rPr>
              <w:t>Slight Miss</w:t>
            </w:r>
          </w:p>
        </w:tc>
      </w:tr>
      <w:tr>
        <w:tc>
          <w:tcPr>
            <w:tcW w:type="dxa" w:w="1728"/>
          </w:tcPr>
          <w:p>
            <w:r>
              <w:rPr>
                <w:rFonts w:ascii="Calibri" w:hAnsi="Calibri"/>
                <w:sz w:val="22"/>
              </w:rPr>
              <w:t>Q1 2025</w:t>
            </w:r>
          </w:p>
        </w:tc>
        <w:tc>
          <w:tcPr>
            <w:tcW w:type="dxa" w:w="1728"/>
          </w:tcPr>
          <w:p>
            <w:r>
              <w:rPr>
                <w:rFonts w:ascii="Calibri" w:hAnsi="Calibri"/>
                <w:sz w:val="22"/>
              </w:rPr>
              <w:t>9.1%</w:t>
            </w:r>
          </w:p>
        </w:tc>
        <w:tc>
          <w:tcPr>
            <w:tcW w:type="dxa" w:w="1728"/>
          </w:tcPr>
          <w:p>
            <w:r>
              <w:rPr>
                <w:rFonts w:ascii="Calibri" w:hAnsi="Calibri"/>
                <w:sz w:val="22"/>
              </w:rPr>
              <w:t>8.4%</w:t>
            </w:r>
          </w:p>
        </w:tc>
        <w:tc>
          <w:tcPr>
            <w:tcW w:type="dxa" w:w="1728"/>
          </w:tcPr>
          <w:p>
            <w:r>
              <w:rPr>
                <w:rFonts w:ascii="Calibri" w:hAnsi="Calibri"/>
                <w:sz w:val="22"/>
              </w:rPr>
              <w:t>+70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7.8%</w:t>
            </w:r>
          </w:p>
        </w:tc>
        <w:tc>
          <w:tcPr>
            <w:tcW w:type="dxa" w:w="1728"/>
          </w:tcPr>
          <w:p>
            <w:r>
              <w:rPr>
                <w:rFonts w:ascii="Calibri" w:hAnsi="Calibri"/>
                <w:sz w:val="22"/>
              </w:rPr>
              <w:t>7.8%</w:t>
            </w:r>
          </w:p>
        </w:tc>
        <w:tc>
          <w:tcPr>
            <w:tcW w:type="dxa" w:w="1728"/>
          </w:tcPr>
          <w:p>
            <w:r>
              <w:rPr>
                <w:rFonts w:ascii="Calibri" w:hAnsi="Calibri"/>
                <w:sz w:val="22"/>
              </w:rPr>
              <w:t>0 bps</w:t>
            </w:r>
          </w:p>
        </w:tc>
        <w:tc>
          <w:tcPr>
            <w:tcW w:type="dxa" w:w="1728"/>
          </w:tcPr>
          <w:p>
            <w:r>
              <w:rPr>
                <w:rFonts w:ascii="Calibri" w:hAnsi="Calibri"/>
                <w:b/>
                <w:color w:val="30A46C"/>
                <w:sz w:val="22"/>
              </w:rPr>
              <w:t>In-Line</w:t>
            </w:r>
          </w:p>
        </w:tc>
      </w:tr>
      <w:tr>
        <w:tc>
          <w:tcPr>
            <w:tcW w:type="dxa" w:w="1728"/>
          </w:tcPr>
          <w:p>
            <w:r>
              <w:rPr>
                <w:rFonts w:ascii="Calibri" w:hAnsi="Calibri"/>
                <w:sz w:val="22"/>
              </w:rPr>
              <w:t>Q3 2024</w:t>
            </w:r>
          </w:p>
        </w:tc>
        <w:tc>
          <w:tcPr>
            <w:tcW w:type="dxa" w:w="1728"/>
          </w:tcPr>
          <w:p>
            <w:r>
              <w:rPr>
                <w:rFonts w:ascii="Calibri" w:hAnsi="Calibri"/>
                <w:sz w:val="22"/>
              </w:rPr>
              <w:t>5.4%</w:t>
            </w:r>
          </w:p>
        </w:tc>
        <w:tc>
          <w:tcPr>
            <w:tcW w:type="dxa" w:w="1728"/>
          </w:tcPr>
          <w:p>
            <w:r>
              <w:rPr>
                <w:rFonts w:ascii="Calibri" w:hAnsi="Calibri"/>
                <w:sz w:val="22"/>
              </w:rPr>
              <w:t>6.2%</w:t>
            </w:r>
          </w:p>
        </w:tc>
        <w:tc>
          <w:tcPr>
            <w:tcW w:type="dxa" w:w="1728"/>
          </w:tcPr>
          <w:p>
            <w:r>
              <w:rPr>
                <w:rFonts w:ascii="Calibri" w:hAnsi="Calibri"/>
                <w:sz w:val="22"/>
              </w:rPr>
              <w:t>-80 bps</w:t>
            </w:r>
          </w:p>
        </w:tc>
        <w:tc>
          <w:tcPr>
            <w:tcW w:type="dxa" w:w="1728"/>
          </w:tcPr>
          <w:p>
            <w:r>
              <w:rPr>
                <w:rFonts w:ascii="Calibri" w:hAnsi="Calibri"/>
                <w:b/>
                <w:color w:val="E5484D"/>
                <w:sz w:val="22"/>
              </w:rPr>
              <w:t>Slight Miss</w:t>
            </w:r>
          </w:p>
        </w:tc>
      </w:tr>
      <w:tr>
        <w:tc>
          <w:tcPr>
            <w:tcW w:type="dxa" w:w="1728"/>
          </w:tcPr>
          <w:p>
            <w:r>
              <w:rPr>
                <w:rFonts w:ascii="Calibri" w:hAnsi="Calibri"/>
                <w:sz w:val="22"/>
              </w:rPr>
              <w:t>Q2 2024</w:t>
            </w:r>
          </w:p>
        </w:tc>
        <w:tc>
          <w:tcPr>
            <w:tcW w:type="dxa" w:w="1728"/>
          </w:tcPr>
          <w:p>
            <w:r>
              <w:rPr>
                <w:rFonts w:ascii="Calibri" w:hAnsi="Calibri"/>
                <w:sz w:val="22"/>
              </w:rPr>
              <w:t>4.7%</w:t>
            </w:r>
          </w:p>
        </w:tc>
        <w:tc>
          <w:tcPr>
            <w:tcW w:type="dxa" w:w="1728"/>
          </w:tcPr>
          <w:p>
            <w:r>
              <w:rPr>
                <w:rFonts w:ascii="Calibri" w:hAnsi="Calibri"/>
                <w:sz w:val="22"/>
              </w:rPr>
              <w:t>5.4%</w:t>
            </w:r>
          </w:p>
        </w:tc>
        <w:tc>
          <w:tcPr>
            <w:tcW w:type="dxa" w:w="1728"/>
          </w:tcPr>
          <w:p>
            <w:r>
              <w:rPr>
                <w:rFonts w:ascii="Calibri" w:hAnsi="Calibri"/>
                <w:sz w:val="22"/>
              </w:rPr>
              <w:t>-70 bps</w:t>
            </w:r>
          </w:p>
        </w:tc>
        <w:tc>
          <w:tcPr>
            <w:tcW w:type="dxa" w:w="1728"/>
          </w:tcPr>
          <w:p>
            <w:r>
              <w:rPr>
                <w:rFonts w:ascii="Calibri" w:hAnsi="Calibri"/>
                <w:b/>
                <w:color w:val="E5484D"/>
                <w:sz w:val="22"/>
              </w:rPr>
              <w:t>Slight Miss</w:t>
            </w:r>
          </w:p>
        </w:tc>
      </w:tr>
    </w:tbl>
    <w:p>
      <w:r>
        <w:rPr>
          <w:rFonts w:ascii="Calibri" w:hAnsi="Calibri"/>
          <w:b/>
          <w:color w:val="525866"/>
          <w:sz w:val="22"/>
        </w:rPr>
        <w:t xml:space="preserve">Pattern: </w:t>
      </w:r>
      <w:r>
        <w:rPr>
          <w:rFonts w:ascii="Calibri" w:hAnsi="Calibri"/>
          <w:i/>
          <w:color w:val="525866"/>
          <w:sz w:val="22"/>
        </w:rPr>
        <w:t>AJG has a strong track record of beating on adjusted EPS (7 of last 8 quarters), but brokerage organic growth has more frequently come in at or below consensus (5 of last 8 quarters), reflecting the difficulty of forecasting property market pricing dynamics. The Q3 2025 EPS miss was an outlier driven by AssuredPartners integration noise.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Since the April 30 Q1 earnings call, management has raised two key guidance items — </w:t>
      </w:r>
      <w:r>
        <w:rPr>
          <w:rFonts w:ascii="Calibri" w:hAnsi="Calibri"/>
          <w:b/>
          <w:color w:val="525866"/>
          <w:sz w:val="22"/>
        </w:rPr>
        <w:t>AssuredPartners synergy targets (to $325M from $300M) and Risk Management organic growth (to 11% Q2 / 8% FY)</w:t>
      </w:r>
      <w:r>
        <w:rPr>
          <w:rFonts w:ascii="Calibri" w:hAnsi="Calibri"/>
          <w:color w:val="525866"/>
          <w:sz w:val="22"/>
        </w:rPr>
        <w:t xml:space="preserve"> — while holding brokerage organic and margin guidance unchanged. Tone has shifted more constructive.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Brokerage Organic Growth — Q2 2026</w:t>
            </w:r>
          </w:p>
        </w:tc>
        <w:tc>
          <w:tcPr>
            <w:tcW w:type="dxa" w:w="1728"/>
          </w:tcPr>
          <w:p>
            <w:r>
              <w:rPr>
                <w:rFonts w:ascii="Calibri" w:hAnsi="Calibri"/>
                <w:sz w:val="22"/>
              </w:rPr>
              <w:t>~5%</w:t>
            </w:r>
          </w:p>
        </w:tc>
        <w:tc>
          <w:tcPr>
            <w:tcW w:type="dxa" w:w="1728"/>
          </w:tcPr>
          <w:p>
            <w:r>
              <w:rPr>
                <w:rFonts w:ascii="Calibri" w:hAnsi="Calibri"/>
                <w:sz w:val="22"/>
              </w:rPr>
              <w:t>—</w:t>
            </w:r>
          </w:p>
        </w:tc>
        <w:tc>
          <w:tcPr>
            <w:tcW w:type="dxa" w:w="1728"/>
          </w:tcPr>
          <w:p>
            <w:r>
              <w:rPr>
                <w:rFonts w:ascii="Calibri" w:hAnsi="Calibri"/>
                <w:sz w:val="22"/>
              </w:rPr>
              <w:t>~4.9%</w:t>
            </w:r>
          </w:p>
        </w:tc>
        <w:tc>
          <w:tcPr>
            <w:tcW w:type="dxa" w:w="1728"/>
          </w:tcPr>
          <w:p>
            <w:r>
              <w:rPr>
                <w:rFonts w:ascii="Calibri" w:hAnsi="Calibri"/>
                <w:sz w:val="22"/>
              </w:rPr>
              <w:t>Unchanged; CFO stated "further confidence" at June 17 Investor Day</w:t>
            </w:r>
          </w:p>
        </w:tc>
      </w:tr>
      <w:tr>
        <w:tc>
          <w:tcPr>
            <w:tcW w:type="dxa" w:w="1728"/>
          </w:tcPr>
          <w:p>
            <w:r>
              <w:rPr>
                <w:rFonts w:ascii="Calibri" w:hAnsi="Calibri"/>
                <w:sz w:val="22"/>
              </w:rPr>
              <w:t>Brokerage Organic Growth — FY 2026</w:t>
            </w:r>
          </w:p>
        </w:tc>
        <w:tc>
          <w:tcPr>
            <w:tcW w:type="dxa" w:w="1728"/>
          </w:tcPr>
          <w:p>
            <w:r>
              <w:rPr>
                <w:rFonts w:ascii="Calibri" w:hAnsi="Calibri"/>
                <w:sz w:val="22"/>
              </w:rPr>
              <w:t>~5.5%</w:t>
            </w:r>
          </w:p>
        </w:tc>
        <w:tc>
          <w:tcPr>
            <w:tcW w:type="dxa" w:w="1728"/>
          </w:tcPr>
          <w:p>
            <w:r>
              <w:rPr>
                <w:rFonts w:ascii="Calibri" w:hAnsi="Calibri"/>
                <w:sz w:val="22"/>
              </w:rPr>
              <w:t>—</w:t>
            </w:r>
          </w:p>
        </w:tc>
        <w:tc>
          <w:tcPr>
            <w:tcW w:type="dxa" w:w="1728"/>
          </w:tcPr>
          <w:p>
            <w:r>
              <w:rPr>
                <w:rFonts w:ascii="Calibri" w:hAnsi="Calibri"/>
                <w:sz w:val="22"/>
              </w:rPr>
              <w:t>~5.0%</w:t>
            </w:r>
          </w:p>
        </w:tc>
        <w:tc>
          <w:tcPr>
            <w:tcW w:type="dxa" w:w="1728"/>
          </w:tcPr>
          <w:p>
            <w:r>
              <w:rPr>
                <w:rFonts w:ascii="Calibri" w:hAnsi="Calibri"/>
                <w:sz w:val="22"/>
              </w:rPr>
              <w:t>Unchanged; pricing ~1 pt of organic, net new business ~3 pts</w:t>
            </w:r>
          </w:p>
        </w:tc>
      </w:tr>
      <w:tr>
        <w:tc>
          <w:tcPr>
            <w:tcW w:type="dxa" w:w="1728"/>
          </w:tcPr>
          <w:p>
            <w:r>
              <w:rPr>
                <w:rFonts w:ascii="Calibri" w:hAnsi="Calibri"/>
                <w:sz w:val="22"/>
              </w:rPr>
              <w:t>Risk Management Organic Growth — Q2 2026</w:t>
            </w:r>
          </w:p>
        </w:tc>
        <w:tc>
          <w:tcPr>
            <w:tcW w:type="dxa" w:w="1728"/>
          </w:tcPr>
          <w:p>
            <w:r>
              <w:rPr>
                <w:rFonts w:ascii="Calibri" w:hAnsi="Calibri"/>
                <w:sz w:val="22"/>
              </w:rPr>
              <w:t>~10% (similar to Q1)</w:t>
            </w:r>
          </w:p>
        </w:tc>
        <w:tc>
          <w:tcPr>
            <w:tcW w:type="dxa" w:w="1728"/>
          </w:tcPr>
          <w:p>
            <w:r>
              <w:rPr>
                <w:rFonts w:ascii="Calibri" w:hAnsi="Calibri"/>
                <w:sz w:val="22"/>
              </w:rPr>
              <w:t>~11%</w:t>
            </w:r>
          </w:p>
        </w:tc>
        <w:tc>
          <w:tcPr>
            <w:tcW w:type="dxa" w:w="1728"/>
          </w:tcPr>
          <w:p>
            <w:r>
              <w:rPr>
                <w:rFonts w:ascii="Calibri" w:hAnsi="Calibri"/>
                <w:sz w:val="22"/>
              </w:rPr>
              <w:t>N/A — not in VA</w:t>
            </w:r>
          </w:p>
        </w:tc>
        <w:tc>
          <w:tcPr>
            <w:tcW w:type="dxa" w:w="1728"/>
          </w:tcPr>
          <w:p>
            <w:r>
              <w:rPr>
                <w:rFonts w:ascii="Calibri" w:hAnsi="Calibri"/>
                <w:sz w:val="22"/>
              </w:rPr>
              <w:t>↑ Raised at June 17 Investor Day; driven by large new business wins and international growth</w:t>
            </w:r>
          </w:p>
        </w:tc>
      </w:tr>
      <w:tr>
        <w:tc>
          <w:tcPr>
            <w:tcW w:type="dxa" w:w="1728"/>
          </w:tcPr>
          <w:p>
            <w:r>
              <w:rPr>
                <w:rFonts w:ascii="Calibri" w:hAnsi="Calibri"/>
                <w:sz w:val="22"/>
              </w:rPr>
              <w:t>Risk Management Organic Growth — FY 2026</w:t>
            </w:r>
          </w:p>
        </w:tc>
        <w:tc>
          <w:tcPr>
            <w:tcW w:type="dxa" w:w="1728"/>
          </w:tcPr>
          <w:p>
            <w:r>
              <w:rPr>
                <w:rFonts w:ascii="Calibri" w:hAnsi="Calibri"/>
                <w:sz w:val="22"/>
              </w:rPr>
              <w:t>~7% (unchanged from March IR Day)</w:t>
            </w:r>
          </w:p>
        </w:tc>
        <w:tc>
          <w:tcPr>
            <w:tcW w:type="dxa" w:w="1728"/>
          </w:tcPr>
          <w:p>
            <w:r>
              <w:rPr>
                <w:rFonts w:ascii="Calibri" w:hAnsi="Calibri"/>
                <w:sz w:val="22"/>
              </w:rPr>
              <w:t>~8%</w:t>
            </w:r>
          </w:p>
        </w:tc>
        <w:tc>
          <w:tcPr>
            <w:tcW w:type="dxa" w:w="1728"/>
          </w:tcPr>
          <w:p>
            <w:r>
              <w:rPr>
                <w:rFonts w:ascii="Calibri" w:hAnsi="Calibri"/>
                <w:sz w:val="22"/>
              </w:rPr>
              <w:t>N/A — not in VA</w:t>
            </w:r>
          </w:p>
        </w:tc>
        <w:tc>
          <w:tcPr>
            <w:tcW w:type="dxa" w:w="1728"/>
          </w:tcPr>
          <w:p>
            <w:r>
              <w:rPr>
                <w:rFonts w:ascii="Calibri" w:hAnsi="Calibri"/>
                <w:sz w:val="22"/>
              </w:rPr>
              <w:t>↑ Raised at June 17 Investor Day; more confident on new business pipeline</w:t>
            </w:r>
          </w:p>
        </w:tc>
      </w:tr>
      <w:tr>
        <w:tc>
          <w:tcPr>
            <w:tcW w:type="dxa" w:w="1728"/>
          </w:tcPr>
          <w:p>
            <w:r>
              <w:rPr>
                <w:rFonts w:ascii="Calibri" w:hAnsi="Calibri"/>
                <w:sz w:val="22"/>
              </w:rPr>
              <w:t>AssuredPartners Synergy Run-Rate (by early 2028)</w:t>
            </w:r>
          </w:p>
        </w:tc>
        <w:tc>
          <w:tcPr>
            <w:tcW w:type="dxa" w:w="1728"/>
          </w:tcPr>
          <w:p>
            <w:r>
              <w:rPr>
                <w:rFonts w:ascii="Calibri" w:hAnsi="Calibri"/>
                <w:sz w:val="22"/>
              </w:rPr>
              <w:t>Up to $300M</w:t>
            </w:r>
          </w:p>
        </w:tc>
        <w:tc>
          <w:tcPr>
            <w:tcW w:type="dxa" w:w="1728"/>
          </w:tcPr>
          <w:p>
            <w:r>
              <w:rPr>
                <w:rFonts w:ascii="Calibri" w:hAnsi="Calibri"/>
                <w:sz w:val="22"/>
              </w:rPr>
              <w:t>Up to $325M</w:t>
            </w:r>
          </w:p>
        </w:tc>
        <w:tc>
          <w:tcPr>
            <w:tcW w:type="dxa" w:w="1728"/>
          </w:tcPr>
          <w:p>
            <w:r>
              <w:rPr>
                <w:rFonts w:ascii="Calibri" w:hAnsi="Calibri"/>
                <w:sz w:val="22"/>
              </w:rPr>
              <w:t>N/A</w:t>
            </w:r>
          </w:p>
        </w:tc>
        <w:tc>
          <w:tcPr>
            <w:tcW w:type="dxa" w:w="1728"/>
          </w:tcPr>
          <w:p>
            <w:r>
              <w:rPr>
                <w:rFonts w:ascii="Calibri" w:hAnsi="Calibri"/>
                <w:sz w:val="22"/>
              </w:rPr>
              <w:t>↑ Raised at June 17 Investor Day; back-office systems nearly fully implemented, vendor/real estate consolidations ahead of plan</w:t>
            </w:r>
          </w:p>
        </w:tc>
      </w:tr>
      <w:tr>
        <w:tc>
          <w:tcPr>
            <w:tcW w:type="dxa" w:w="1728"/>
          </w:tcPr>
          <w:p>
            <w:r>
              <w:rPr>
                <w:rFonts w:ascii="Calibri" w:hAnsi="Calibri"/>
                <w:sz w:val="22"/>
              </w:rPr>
              <w:t>AssuredPartners EBITDA Outlook — Q2 &amp; FY 2026</w:t>
            </w:r>
          </w:p>
        </w:tc>
        <w:tc>
          <w:tcPr>
            <w:tcW w:type="dxa" w:w="1728"/>
          </w:tcPr>
          <w:p>
            <w:r>
              <w:rPr>
                <w:rFonts w:ascii="Calibri" w:hAnsi="Calibri"/>
                <w:sz w:val="22"/>
              </w:rPr>
              <w:t>Per April CFO Commentary</w:t>
            </w:r>
          </w:p>
        </w:tc>
        <w:tc>
          <w:tcPr>
            <w:tcW w:type="dxa" w:w="1728"/>
          </w:tcPr>
          <w:p>
            <w:r>
              <w:rPr>
                <w:rFonts w:ascii="Calibri" w:hAnsi="Calibri"/>
                <w:sz w:val="22"/>
              </w:rPr>
              <w:t>—</w:t>
            </w:r>
          </w:p>
        </w:tc>
        <w:tc>
          <w:tcPr>
            <w:tcW w:type="dxa" w:w="1728"/>
          </w:tcPr>
          <w:p>
            <w:r>
              <w:rPr>
                <w:rFonts w:ascii="Calibri" w:hAnsi="Calibri"/>
                <w:sz w:val="22"/>
              </w:rPr>
              <w:t>~$1,267M (EBITDAC, B&amp;RM)</w:t>
            </w:r>
          </w:p>
        </w:tc>
        <w:tc>
          <w:tcPr>
            <w:tcW w:type="dxa" w:w="1728"/>
          </w:tcPr>
          <w:p>
            <w:r>
              <w:rPr>
                <w:rFonts w:ascii="Calibri" w:hAnsi="Calibri"/>
                <w:sz w:val="22"/>
              </w:rPr>
              <w:t>Unchanged; "integration story continues to improve"</w:t>
            </w:r>
          </w:p>
        </w:tc>
      </w:tr>
      <w:tr>
        <w:tc>
          <w:tcPr>
            <w:tcW w:type="dxa" w:w="1728"/>
          </w:tcPr>
          <w:p>
            <w:r>
              <w:rPr>
                <w:rFonts w:ascii="Calibri" w:hAnsi="Calibri"/>
                <w:sz w:val="22"/>
              </w:rPr>
              <w:t>Brokerage EBITDAC Margin — FY 2026 Underlying Expansion</w:t>
            </w:r>
          </w:p>
        </w:tc>
        <w:tc>
          <w:tcPr>
            <w:tcW w:type="dxa" w:w="1728"/>
          </w:tcPr>
          <w:p>
            <w:r>
              <w:rPr>
                <w:rFonts w:ascii="Calibri" w:hAnsi="Calibri"/>
                <w:sz w:val="22"/>
              </w:rPr>
              <w:t>40–60 bps underlying expansion</w:t>
            </w:r>
          </w:p>
        </w:tc>
        <w:tc>
          <w:tcPr>
            <w:tcW w:type="dxa" w:w="1728"/>
          </w:tcPr>
          <w:p>
            <w:r>
              <w:rPr>
                <w:rFonts w:ascii="Calibri" w:hAnsi="Calibri"/>
                <w:sz w:val="22"/>
              </w:rPr>
              <w:t>—</w:t>
            </w:r>
          </w:p>
        </w:tc>
        <w:tc>
          <w:tcPr>
            <w:tcW w:type="dxa" w:w="1728"/>
          </w:tcPr>
          <w:p>
            <w:r>
              <w:rPr>
                <w:rFonts w:ascii="Calibri" w:hAnsi="Calibri"/>
                <w:sz w:val="22"/>
              </w:rPr>
              <w:t>~33.1% Q2 consensus</w:t>
            </w:r>
          </w:p>
        </w:tc>
        <w:tc>
          <w:tcPr>
            <w:tcW w:type="dxa" w:w="1728"/>
          </w:tcPr>
          <w:p>
            <w:r>
              <w:rPr>
                <w:rFonts w:ascii="Calibri" w:hAnsi="Calibri"/>
                <w:sz w:val="22"/>
              </w:rPr>
              <w:t>Unchanged; "no new news" per CFO at June 17 Investor Day</w:t>
            </w:r>
          </w:p>
        </w:tc>
      </w:tr>
      <w:tr>
        <w:tc>
          <w:tcPr>
            <w:tcW w:type="dxa" w:w="1728"/>
          </w:tcPr>
          <w:p>
            <w:r>
              <w:rPr>
                <w:rFonts w:ascii="Calibri" w:hAnsi="Calibri"/>
                <w:sz w:val="22"/>
              </w:rPr>
              <w:t>Share Repurchases — Q2 2026</w:t>
            </w:r>
          </w:p>
        </w:tc>
        <w:tc>
          <w:tcPr>
            <w:tcW w:type="dxa" w:w="1728"/>
          </w:tcPr>
          <w:p>
            <w:r>
              <w:rPr>
                <w:rFonts w:ascii="Calibri" w:hAnsi="Calibri"/>
                <w:sz w:val="22"/>
              </w:rPr>
              <w:t>In quiet period; no Q2 buybacks at time of Q1 call</w:t>
            </w:r>
          </w:p>
        </w:tc>
        <w:tc>
          <w:tcPr>
            <w:tcW w:type="dxa" w:w="1728"/>
          </w:tcPr>
          <w:p>
            <w:r>
              <w:rPr>
                <w:rFonts w:ascii="Calibri" w:hAnsi="Calibri"/>
                <w:sz w:val="22"/>
              </w:rPr>
              <w:t>~$170M repurchased in Q2 (disclosed June 17)</w:t>
            </w:r>
          </w:p>
        </w:tc>
        <w:tc>
          <w:tcPr>
            <w:tcW w:type="dxa" w:w="1728"/>
          </w:tcPr>
          <w:p>
            <w:r>
              <w:rPr>
                <w:rFonts w:ascii="Calibri" w:hAnsi="Calibri"/>
                <w:sz w:val="22"/>
              </w:rPr>
              <w:t>N/A</w:t>
            </w:r>
          </w:p>
        </w:tc>
        <w:tc>
          <w:tcPr>
            <w:tcW w:type="dxa" w:w="1728"/>
          </w:tcPr>
          <w:p>
            <w:r>
              <w:rPr>
                <w:rFonts w:ascii="Calibri" w:hAnsi="Calibri"/>
                <w:sz w:val="22"/>
              </w:rPr>
              <w:t>↑ Disclosed at June 17 Investor Day; opportunistic given management view equity is undervalued</w:t>
            </w:r>
          </w:p>
        </w:tc>
      </w:tr>
      <w:tr>
        <w:tc>
          <w:tcPr>
            <w:tcW w:type="dxa" w:w="1728"/>
          </w:tcPr>
          <w:p>
            <w:r>
              <w:rPr>
                <w:rFonts w:ascii="Calibri" w:hAnsi="Calibri"/>
                <w:sz w:val="22"/>
              </w:rPr>
              <w:t>M&amp;A Pipeline</w:t>
            </w:r>
          </w:p>
        </w:tc>
        <w:tc>
          <w:tcPr>
            <w:tcW w:type="dxa" w:w="1728"/>
          </w:tcPr>
          <w:p>
            <w:r>
              <w:rPr>
                <w:rFonts w:ascii="Calibri" w:hAnsi="Calibri"/>
                <w:sz w:val="22"/>
              </w:rPr>
              <w:t>&gt;40 term sheets, ~$400M annualized revenue</w:t>
            </w:r>
          </w:p>
        </w:tc>
        <w:tc>
          <w:tcPr>
            <w:tcW w:type="dxa" w:w="1728"/>
          </w:tcPr>
          <w:p>
            <w:r>
              <w:rPr>
                <w:rFonts w:ascii="Calibri" w:hAnsi="Calibri"/>
                <w:sz w:val="22"/>
              </w:rPr>
              <w:t>~40 term sheets, ~$600M annualized revenue</w:t>
            </w:r>
          </w:p>
        </w:tc>
        <w:tc>
          <w:tcPr>
            <w:tcW w:type="dxa" w:w="1728"/>
          </w:tcPr>
          <w:p>
            <w:r>
              <w:rPr>
                <w:rFonts w:ascii="Calibri" w:hAnsi="Calibri"/>
                <w:sz w:val="22"/>
              </w:rPr>
              <w:t>N/A</w:t>
            </w:r>
          </w:p>
        </w:tc>
        <w:tc>
          <w:tcPr>
            <w:tcW w:type="dxa" w:w="1728"/>
          </w:tcPr>
          <w:p>
            <w:r>
              <w:rPr>
                <w:rFonts w:ascii="Calibri" w:hAnsi="Calibri"/>
                <w:sz w:val="22"/>
              </w:rPr>
              <w:t>↑ Pipeline grew; 15 mergers closed YTD 2026 representing ~$115M annualized revenue</w:t>
            </w:r>
          </w:p>
        </w:tc>
      </w:tr>
    </w:tbl>
    <w:p>
      <w:r>
        <w:rPr>
          <w:rFonts w:ascii="Calibri" w:hAnsi="Calibri"/>
          <w:i/>
          <w:color w:val="525866"/>
          <w:sz w:val="22"/>
        </w:rPr>
        <w:t>Sources: AJG Q1 2026 Earnings Call Transcript (April 30, 2026); AJG Pre-Q2 Investor Meeting with Management (June 17, 2026); AJG 8-K (June 17, 2026).</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Q1 print — Q2 EPS consensus is down ~5% from the post-Q1 baseline — but this appears to reflect dilution from the share repurchase timing and integration noise rather than fundamental deterioration. </w:t>
      </w:r>
      <w:r>
        <w:rPr>
          <w:rFonts w:ascii="Calibri" w:hAnsi="Calibri"/>
          <w:b/>
          <w:color w:val="525866"/>
          <w:sz w:val="22"/>
        </w:rPr>
        <w:t>The gap between current consensus and management's implied trajectory represents a modest cushion heading into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30)</w:t>
            </w:r>
          </w:p>
        </w:tc>
        <w:tc>
          <w:tcPr>
            <w:tcW w:type="dxa" w:w="1080"/>
            <w:shd w:val="clear" w:color="auto" w:fill="3B4259"/>
          </w:tcPr>
          <w:p>
            <w:r>
              <w:rPr>
                <w:rFonts w:ascii="Calibri" w:hAnsi="Calibri"/>
                <w:b/>
                <w:color w:val="FFFFFF"/>
                <w:sz w:val="22"/>
              </w:rPr>
              <w:t>Current Guidance (June 17 Investor Day)</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Operating (Q2 2026)</w:t>
            </w:r>
          </w:p>
        </w:tc>
        <w:tc>
          <w:tcPr>
            <w:tcW w:type="dxa" w:w="1080"/>
          </w:tcPr>
          <w:p>
            <w:r>
              <w:rPr>
                <w:rFonts w:ascii="Calibri" w:hAnsi="Calibri"/>
                <w:sz w:val="22"/>
              </w:rPr>
              <w:t>$1.86</w:t>
            </w:r>
          </w:p>
        </w:tc>
        <w:tc>
          <w:tcPr>
            <w:tcW w:type="dxa" w:w="1080"/>
          </w:tcPr>
          <w:p>
            <w:r>
              <w:rPr>
                <w:rFonts w:ascii="Calibri" w:hAnsi="Calibri"/>
                <w:sz w:val="22"/>
              </w:rPr>
              <w:t>$1.77</w:t>
            </w:r>
          </w:p>
        </w:tc>
        <w:tc>
          <w:tcPr>
            <w:tcW w:type="dxa" w:w="1080"/>
          </w:tcPr>
          <w:p>
            <w:r>
              <w:rPr>
                <w:rFonts w:ascii="Calibri" w:hAnsi="Calibri"/>
                <w:b/>
                <w:color w:val="E5484D"/>
                <w:sz w:val="22"/>
              </w:rPr>
              <w:t>-4.8%</w:t>
            </w:r>
          </w:p>
        </w:tc>
        <w:tc>
          <w:tcPr>
            <w:tcW w:type="dxa" w:w="1080"/>
          </w:tcPr>
          <w:p>
            <w:r>
              <w:rPr>
                <w:rFonts w:ascii="Calibri" w:hAnsi="Calibri"/>
                <w:sz w:val="22"/>
              </w:rPr>
              <w:t>~$1.80 implied</w:t>
            </w:r>
          </w:p>
        </w:tc>
        <w:tc>
          <w:tcPr>
            <w:tcW w:type="dxa" w:w="1080"/>
          </w:tcPr>
          <w:p>
            <w:r>
              <w:rPr>
                <w:rFonts w:ascii="Calibri" w:hAnsi="Calibri"/>
                <w:sz w:val="22"/>
              </w:rPr>
              <w:t>~$1.80 implied (unchanged)</w:t>
            </w:r>
          </w:p>
        </w:tc>
        <w:tc>
          <w:tcPr>
            <w:tcW w:type="dxa" w:w="1080"/>
          </w:tcPr>
          <w:p>
            <w:r>
              <w:rPr>
                <w:rFonts w:ascii="Calibri" w:hAnsi="Calibri"/>
                <w:sz w:val="22"/>
              </w:rPr>
              <w:t>Flat</w:t>
            </w:r>
          </w:p>
        </w:tc>
        <w:tc>
          <w:tcPr>
            <w:tcW w:type="dxa" w:w="1080"/>
          </w:tcPr>
          <w:p>
            <w:r>
              <w:rPr>
                <w:rFonts w:ascii="Calibri" w:hAnsi="Calibri"/>
                <w:sz w:val="22"/>
              </w:rPr>
              <w:t>~-2% (slight cushion)</w:t>
            </w:r>
          </w:p>
        </w:tc>
      </w:tr>
      <w:tr>
        <w:tc>
          <w:tcPr>
            <w:tcW w:type="dxa" w:w="1080"/>
          </w:tcPr>
          <w:p>
            <w:r>
              <w:rPr>
                <w:rFonts w:ascii="Calibri" w:hAnsi="Calibri"/>
                <w:sz w:val="22"/>
              </w:rPr>
              <w:t>Brokerage Organic Growth (Q2 2026)</w:t>
            </w:r>
          </w:p>
        </w:tc>
        <w:tc>
          <w:tcPr>
            <w:tcW w:type="dxa" w:w="1080"/>
          </w:tcPr>
          <w:p>
            <w:r>
              <w:rPr>
                <w:rFonts w:ascii="Calibri" w:hAnsi="Calibri"/>
                <w:sz w:val="22"/>
              </w:rPr>
              <w:t>~4.9%</w:t>
            </w:r>
          </w:p>
        </w:tc>
        <w:tc>
          <w:tcPr>
            <w:tcW w:type="dxa" w:w="1080"/>
          </w:tcPr>
          <w:p>
            <w:r>
              <w:rPr>
                <w:rFonts w:ascii="Calibri" w:hAnsi="Calibri"/>
                <w:sz w:val="22"/>
              </w:rPr>
              <w:t>~4.9%</w:t>
            </w:r>
          </w:p>
        </w:tc>
        <w:tc>
          <w:tcPr>
            <w:tcW w:type="dxa" w:w="1080"/>
          </w:tcPr>
          <w:p>
            <w:r>
              <w:rPr>
                <w:rFonts w:ascii="Calibri" w:hAnsi="Calibri"/>
                <w:sz w:val="22"/>
              </w:rPr>
              <w:t>Flat</w:t>
            </w:r>
          </w:p>
        </w:tc>
        <w:tc>
          <w:tcPr>
            <w:tcW w:type="dxa" w:w="1080"/>
          </w:tcPr>
          <w:p>
            <w:r>
              <w:rPr>
                <w:rFonts w:ascii="Calibri" w:hAnsi="Calibri"/>
                <w:sz w:val="22"/>
              </w:rPr>
              <w:t>~5%</w:t>
            </w:r>
          </w:p>
        </w:tc>
        <w:tc>
          <w:tcPr>
            <w:tcW w:type="dxa" w:w="1080"/>
          </w:tcPr>
          <w:p>
            <w:r>
              <w:rPr>
                <w:rFonts w:ascii="Calibri" w:hAnsi="Calibri"/>
                <w:sz w:val="22"/>
              </w:rPr>
              <w:t>~5% (unchanged; "further confidence")</w:t>
            </w:r>
          </w:p>
        </w:tc>
        <w:tc>
          <w:tcPr>
            <w:tcW w:type="dxa" w:w="1080"/>
          </w:tcPr>
          <w:p>
            <w:r>
              <w:rPr>
                <w:rFonts w:ascii="Calibri" w:hAnsi="Calibri"/>
                <w:sz w:val="22"/>
              </w:rPr>
              <w:t>Flat</w:t>
            </w:r>
          </w:p>
        </w:tc>
        <w:tc>
          <w:tcPr>
            <w:tcW w:type="dxa" w:w="1080"/>
          </w:tcPr>
          <w:p>
            <w:r>
              <w:rPr>
                <w:rFonts w:ascii="Calibri" w:hAnsi="Calibri"/>
                <w:sz w:val="22"/>
              </w:rPr>
              <w:t>~-10 bps (in-line)</w:t>
            </w:r>
          </w:p>
        </w:tc>
      </w:tr>
      <w:tr>
        <w:tc>
          <w:tcPr>
            <w:tcW w:type="dxa" w:w="1080"/>
          </w:tcPr>
          <w:p>
            <w:r>
              <w:rPr>
                <w:rFonts w:ascii="Calibri" w:hAnsi="Calibri"/>
                <w:sz w:val="22"/>
              </w:rPr>
              <w:t>Adj. EPS - Operating (FY 2026)</w:t>
            </w:r>
          </w:p>
        </w:tc>
        <w:tc>
          <w:tcPr>
            <w:tcW w:type="dxa" w:w="1080"/>
          </w:tcPr>
          <w:p>
            <w:r>
              <w:rPr>
                <w:rFonts w:ascii="Calibri" w:hAnsi="Calibri"/>
                <w:sz w:val="22"/>
              </w:rPr>
              <w:t>$13.21</w:t>
            </w:r>
          </w:p>
        </w:tc>
        <w:tc>
          <w:tcPr>
            <w:tcW w:type="dxa" w:w="1080"/>
          </w:tcPr>
          <w:p>
            <w:r>
              <w:rPr>
                <w:rFonts w:ascii="Calibri" w:hAnsi="Calibri"/>
                <w:sz w:val="22"/>
              </w:rPr>
              <w:t>$13.14</w:t>
            </w:r>
          </w:p>
        </w:tc>
        <w:tc>
          <w:tcPr>
            <w:tcW w:type="dxa" w:w="1080"/>
          </w:tcPr>
          <w:p>
            <w:r>
              <w:rPr>
                <w:rFonts w:ascii="Calibri" w:hAnsi="Calibri"/>
                <w:sz w:val="22"/>
              </w:rPr>
              <w:t>-0.5%</w:t>
            </w:r>
          </w:p>
        </w:tc>
        <w:tc>
          <w:tcPr>
            <w:tcW w:type="dxa" w:w="1080"/>
          </w:tcPr>
          <w:p>
            <w:r>
              <w:rPr>
                <w:rFonts w:ascii="Calibri" w:hAnsi="Calibri"/>
                <w:sz w:val="22"/>
              </w:rPr>
              <w:t>N/A (no explicit FY EPS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Brokerage Organic Growth (FY 2026)</w:t>
            </w:r>
          </w:p>
        </w:tc>
        <w:tc>
          <w:tcPr>
            <w:tcW w:type="dxa" w:w="1080"/>
          </w:tcPr>
          <w:p>
            <w:r>
              <w:rPr>
                <w:rFonts w:ascii="Calibri" w:hAnsi="Calibri"/>
                <w:sz w:val="22"/>
              </w:rPr>
              <w:t>~5.0%</w:t>
            </w:r>
          </w:p>
        </w:tc>
        <w:tc>
          <w:tcPr>
            <w:tcW w:type="dxa" w:w="1080"/>
          </w:tcPr>
          <w:p>
            <w:r>
              <w:rPr>
                <w:rFonts w:ascii="Calibri" w:hAnsi="Calibri"/>
                <w:sz w:val="22"/>
              </w:rPr>
              <w:t>~5.0%</w:t>
            </w:r>
          </w:p>
        </w:tc>
        <w:tc>
          <w:tcPr>
            <w:tcW w:type="dxa" w:w="1080"/>
          </w:tcPr>
          <w:p>
            <w:r>
              <w:rPr>
                <w:rFonts w:ascii="Calibri" w:hAnsi="Calibri"/>
                <w:sz w:val="22"/>
              </w:rPr>
              <w:t>Flat</w:t>
            </w:r>
          </w:p>
        </w:tc>
        <w:tc>
          <w:tcPr>
            <w:tcW w:type="dxa" w:w="1080"/>
          </w:tcPr>
          <w:p>
            <w:r>
              <w:rPr>
                <w:rFonts w:ascii="Calibri" w:hAnsi="Calibri"/>
                <w:sz w:val="22"/>
              </w:rPr>
              <w:t>~5.5%</w:t>
            </w:r>
          </w:p>
        </w:tc>
        <w:tc>
          <w:tcPr>
            <w:tcW w:type="dxa" w:w="1080"/>
          </w:tcPr>
          <w:p>
            <w:r>
              <w:rPr>
                <w:rFonts w:ascii="Calibri" w:hAnsi="Calibri"/>
                <w:sz w:val="22"/>
              </w:rPr>
              <w:t>~5.5% (unchanged)</w:t>
            </w:r>
          </w:p>
        </w:tc>
        <w:tc>
          <w:tcPr>
            <w:tcW w:type="dxa" w:w="1080"/>
          </w:tcPr>
          <w:p>
            <w:r>
              <w:rPr>
                <w:rFonts w:ascii="Calibri" w:hAnsi="Calibri"/>
                <w:sz w:val="22"/>
              </w:rPr>
              <w:t>Flat</w:t>
            </w:r>
          </w:p>
        </w:tc>
        <w:tc>
          <w:tcPr>
            <w:tcW w:type="dxa" w:w="1080"/>
          </w:tcPr>
          <w:p>
            <w:r>
              <w:rPr>
                <w:rFonts w:ascii="Calibri" w:hAnsi="Calibri"/>
                <w:sz w:val="22"/>
              </w:rPr>
              <w:t>~-50 bps (modest cushion)</w:t>
            </w:r>
          </w:p>
        </w:tc>
      </w:tr>
      <w:tr>
        <w:tc>
          <w:tcPr>
            <w:tcW w:type="dxa" w:w="1080"/>
          </w:tcPr>
          <w:p>
            <w:r>
              <w:rPr>
                <w:rFonts w:ascii="Calibri" w:hAnsi="Calibri"/>
                <w:sz w:val="22"/>
              </w:rPr>
              <w:t>EBITDAC - B&amp;RM Operating (Q2 2026, $M)</w:t>
            </w:r>
          </w:p>
        </w:tc>
        <w:tc>
          <w:tcPr>
            <w:tcW w:type="dxa" w:w="1080"/>
          </w:tcPr>
          <w:p>
            <w:r>
              <w:rPr>
                <w:rFonts w:ascii="Calibri" w:hAnsi="Calibri"/>
                <w:sz w:val="22"/>
              </w:rPr>
              <w:t>~$1,269M</w:t>
            </w:r>
          </w:p>
        </w:tc>
        <w:tc>
          <w:tcPr>
            <w:tcW w:type="dxa" w:w="1080"/>
          </w:tcPr>
          <w:p>
            <w:r>
              <w:rPr>
                <w:rFonts w:ascii="Calibri" w:hAnsi="Calibri"/>
                <w:sz w:val="22"/>
              </w:rPr>
              <w:t>~$1,267M</w:t>
            </w:r>
          </w:p>
        </w:tc>
        <w:tc>
          <w:tcPr>
            <w:tcW w:type="dxa" w:w="1080"/>
          </w:tcPr>
          <w:p>
            <w:r>
              <w:rPr>
                <w:rFonts w:ascii="Calibri" w:hAnsi="Calibri"/>
                <w:sz w:val="22"/>
              </w:rPr>
              <w:t>-0.2%</w:t>
            </w:r>
          </w:p>
        </w:tc>
        <w:tc>
          <w:tcPr>
            <w:tcW w:type="dxa" w:w="1080"/>
          </w:tcPr>
          <w:p>
            <w:r>
              <w:rPr>
                <w:rFonts w:ascii="Calibri" w:hAnsi="Calibri"/>
                <w:sz w:val="22"/>
              </w:rPr>
              <w:t>AP EBITDA unchanged from April</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In-line</w:t>
            </w:r>
          </w:p>
        </w:tc>
      </w:tr>
    </w:tbl>
    <w:p>
      <w:r>
        <w:rPr>
          <w:rFonts w:ascii="Calibri" w:hAnsi="Calibri"/>
          <w:b/>
          <w:color w:val="525866"/>
          <w:sz w:val="22"/>
        </w:rPr>
        <w:t xml:space="preserve">Commentary: </w:t>
      </w:r>
      <w:r>
        <w:rPr>
          <w:rFonts w:ascii="Calibri" w:hAnsi="Calibri"/>
          <w:i/>
          <w:color w:val="525866"/>
          <w:sz w:val="22"/>
        </w:rPr>
        <w:t>The modest ~5% downward drift in Q2 EPS consensus since the Q1 print is largely attributable to the timing of share repurchases (Q2 buybacks of ~$170M were not anticipated at the time of the Q1 call) and integration-related noise, rather than any deterioration in underlying business trends. Brokerage organic growth estimates have been remarkably stable, consistent with management's unchanged 5% Q2 guide. The FY 2026 consensus organic growth of ~5.0% sits ~50 bps below management's 5.5% guide, representing a cushion that could be closed if H2 execution is strong. Source: Visible Alpha Consensus and Actuals Data.</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AJG has rallied ~30% from its post-Q1 lows, significantly outperforming both the insurance sector ETF (KIE, +15%) and the S&amp;P 500 (+2%) since the April 30 earnings date. </w:t>
      </w:r>
      <w:r>
        <w:rPr>
          <w:rFonts w:ascii="Calibri" w:hAnsi="Calibri"/>
          <w:b/>
          <w:color w:val="525866"/>
          <w:sz w:val="22"/>
        </w:rPr>
        <w:t>The move has been driven almost entirely by multiple re-expansion</w:t>
      </w:r>
      <w:r>
        <w:rPr>
          <w:rFonts w:ascii="Calibri" w:hAnsi="Calibri"/>
          <w:color w:val="525866"/>
          <w:sz w:val="22"/>
        </w:rPr>
        <w:t xml:space="preserve"> (EV/EBITDA expanded from ~12x to ~14x over 3 months), not estimate revisions, suggesting the stock has priced in a clean execution story and leaves limited room for disappointment.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AJG vs. KIE (Insurance Sector ETF) vs. S&amp;P 500 — Indexed to 100 at April 30, 2026 (Q1 2026 Earnings Date). Source: Yahoo Finance / Stock Price Data.</w:t>
      </w:r>
    </w:p>
    <w:p>
      <w:r>
        <w:rPr>
          <w:rFonts w:ascii="Calibri" w:hAnsi="Calibri"/>
          <w:b/>
          <w:color w:val="525866"/>
          <w:sz w:val="22"/>
        </w:rPr>
        <w:t>Performance Summary (April 30 – July 29,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Price at Q1 Earnings (Apr 30)</w:t>
            </w:r>
          </w:p>
        </w:tc>
        <w:tc>
          <w:tcPr>
            <w:tcW w:type="dxa" w:w="2160"/>
            <w:shd w:val="clear" w:color="auto" w:fill="3B4259"/>
          </w:tcPr>
          <w:p>
            <w:r>
              <w:rPr>
                <w:rFonts w:ascii="Calibri" w:hAnsi="Calibri"/>
                <w:b/>
                <w:color w:val="FFFFFF"/>
                <w:sz w:val="22"/>
              </w:rPr>
              <w:t>Price (Jul 29, 2026)</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AJG</w:t>
            </w:r>
          </w:p>
        </w:tc>
        <w:tc>
          <w:tcPr>
            <w:tcW w:type="dxa" w:w="2160"/>
          </w:tcPr>
          <w:p>
            <w:r>
              <w:rPr>
                <w:rFonts w:ascii="Calibri" w:hAnsi="Calibri"/>
                <w:sz w:val="22"/>
              </w:rPr>
              <w:t>$206.40</w:t>
            </w:r>
          </w:p>
        </w:tc>
        <w:tc>
          <w:tcPr>
            <w:tcW w:type="dxa" w:w="2160"/>
          </w:tcPr>
          <w:p>
            <w:r>
              <w:rPr>
                <w:rFonts w:ascii="Calibri" w:hAnsi="Calibri"/>
                <w:sz w:val="22"/>
              </w:rPr>
              <w:t>~$268.95 (Jul 28 close)</w:t>
            </w:r>
          </w:p>
        </w:tc>
        <w:tc>
          <w:tcPr>
            <w:tcW w:type="dxa" w:w="2160"/>
          </w:tcPr>
          <w:p>
            <w:r>
              <w:rPr>
                <w:rFonts w:ascii="Calibri" w:hAnsi="Calibri"/>
                <w:b/>
                <w:color w:val="30A46C"/>
                <w:sz w:val="22"/>
              </w:rPr>
              <w:t>+30.3%</w:t>
            </w:r>
          </w:p>
        </w:tc>
      </w:tr>
      <w:tr>
        <w:tc>
          <w:tcPr>
            <w:tcW w:type="dxa" w:w="2160"/>
          </w:tcPr>
          <w:p>
            <w:r>
              <w:rPr>
                <w:rFonts w:ascii="Calibri" w:hAnsi="Calibri"/>
                <w:sz w:val="22"/>
              </w:rPr>
              <w:t>KIE (Insurance Sector ETF)</w:t>
            </w:r>
          </w:p>
        </w:tc>
        <w:tc>
          <w:tcPr>
            <w:tcW w:type="dxa" w:w="2160"/>
          </w:tcPr>
          <w:p>
            <w:r>
              <w:rPr>
                <w:rFonts w:ascii="Calibri" w:hAnsi="Calibri"/>
                <w:sz w:val="22"/>
              </w:rPr>
              <w:t>$57.33</w:t>
            </w:r>
          </w:p>
        </w:tc>
        <w:tc>
          <w:tcPr>
            <w:tcW w:type="dxa" w:w="2160"/>
          </w:tcPr>
          <w:p>
            <w:r>
              <w:rPr>
                <w:rFonts w:ascii="Calibri" w:hAnsi="Calibri"/>
                <w:sz w:val="22"/>
              </w:rPr>
              <w:t>~$66.45 (Jul 28 close)</w:t>
            </w:r>
          </w:p>
        </w:tc>
        <w:tc>
          <w:tcPr>
            <w:tcW w:type="dxa" w:w="2160"/>
          </w:tcPr>
          <w:p>
            <w:r>
              <w:rPr>
                <w:rFonts w:ascii="Calibri" w:hAnsi="Calibri"/>
                <w:b/>
                <w:color w:val="30A46C"/>
                <w:sz w:val="22"/>
              </w:rPr>
              <w:t>+15.9%</w:t>
            </w:r>
          </w:p>
        </w:tc>
      </w:tr>
      <w:tr>
        <w:tc>
          <w:tcPr>
            <w:tcW w:type="dxa" w:w="2160"/>
          </w:tcPr>
          <w:p>
            <w:r>
              <w:rPr>
                <w:rFonts w:ascii="Calibri" w:hAnsi="Calibri"/>
                <w:sz w:val="22"/>
              </w:rPr>
              <w:t>S&amp;P 500 (SPY)</w:t>
            </w:r>
          </w:p>
        </w:tc>
        <w:tc>
          <w:tcPr>
            <w:tcW w:type="dxa" w:w="2160"/>
          </w:tcPr>
          <w:p>
            <w:r>
              <w:rPr>
                <w:rFonts w:ascii="Calibri" w:hAnsi="Calibri"/>
                <w:sz w:val="22"/>
              </w:rPr>
              <w:t>$718.66</w:t>
            </w:r>
          </w:p>
        </w:tc>
        <w:tc>
          <w:tcPr>
            <w:tcW w:type="dxa" w:w="2160"/>
          </w:tcPr>
          <w:p>
            <w:r>
              <w:rPr>
                <w:rFonts w:ascii="Calibri" w:hAnsi="Calibri"/>
                <w:sz w:val="22"/>
              </w:rPr>
              <w:t>~$740.86 (Jul 28 close)</w:t>
            </w:r>
          </w:p>
        </w:tc>
        <w:tc>
          <w:tcPr>
            <w:tcW w:type="dxa" w:w="2160"/>
          </w:tcPr>
          <w:p>
            <w:r>
              <w:rPr>
                <w:rFonts w:ascii="Calibri" w:hAnsi="Calibri"/>
                <w:sz w:val="22"/>
              </w:rPr>
              <w:t>+3.1%</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 xml:space="preserve">June 3, 2026: </w:t>
      </w:r>
      <w:r>
        <w:rPr>
          <w:rFonts w:ascii="Calibri" w:hAnsi="Calibri"/>
          <w:color w:val="525866"/>
          <w:sz w:val="22"/>
        </w:rPr>
        <w:t>AJG announced June 17 Investor Day; stock began re-rating higher on anticipation of synergy update.</w:t>
      </w:r>
    </w:p>
    <w:p>
      <w:pPr>
        <w:pStyle w:val="ListBullet"/>
        <w:ind w:left="360" w:hanging="360"/>
      </w:pPr>
      <w:r>
        <w:rPr>
          <w:rFonts w:ascii="Calibri" w:hAnsi="Calibri"/>
          <w:b/>
          <w:color w:val="525866"/>
          <w:sz w:val="22"/>
        </w:rPr>
        <w:t xml:space="preserve">June 17, 2026: </w:t>
      </w:r>
      <w:r>
        <w:rPr>
          <w:rFonts w:ascii="Calibri" w:hAnsi="Calibri"/>
          <w:color w:val="525866"/>
          <w:sz w:val="22"/>
        </w:rPr>
        <w:t>Pre-Q2 Investor Meeting — AssuredPartners synergy target raised to $325M; Risk Management organic growth raised to 11% Q2 / 8% FY; $170M in Q2 share repurchases disclosed. Stock accelerated higher.</w:t>
      </w:r>
    </w:p>
    <w:p>
      <w:pPr>
        <w:pStyle w:val="ListBullet"/>
        <w:ind w:left="360" w:hanging="360"/>
      </w:pPr>
      <w:r>
        <w:rPr>
          <w:rFonts w:ascii="Calibri" w:hAnsi="Calibri"/>
          <w:b/>
          <w:color w:val="525866"/>
          <w:sz w:val="22"/>
        </w:rPr>
        <w:t xml:space="preserve">July 1–2, 2026: </w:t>
      </w:r>
      <w:r>
        <w:rPr>
          <w:rFonts w:ascii="Calibri" w:hAnsi="Calibri"/>
          <w:color w:val="525866"/>
          <w:sz w:val="22"/>
        </w:rPr>
        <w:t>AJG broke above $250 for the first time, driven by continued sector rotation into insurance brokers amid favorable macro backdrop.</w:t>
      </w:r>
    </w:p>
    <w:p>
      <w:pPr>
        <w:pStyle w:val="ListBullet"/>
        <w:ind w:left="360" w:hanging="360"/>
      </w:pPr>
      <w:r>
        <w:rPr>
          <w:rFonts w:ascii="Calibri" w:hAnsi="Calibri"/>
          <w:b/>
          <w:color w:val="525866"/>
          <w:sz w:val="22"/>
        </w:rPr>
        <w:t xml:space="preserve">July 29, 2026: </w:t>
      </w:r>
      <w:r>
        <w:rPr>
          <w:rFonts w:ascii="Calibri" w:hAnsi="Calibri"/>
          <w:color w:val="525866"/>
          <w:sz w:val="22"/>
        </w:rPr>
        <w:t>AJG named new Lead Independent Director and reduced board size (8-K filed). Neutral governance event.</w:t>
      </w:r>
    </w:p>
    <w:p>
      <w:r>
        <w:rPr>
          <w:rFonts w:ascii="Calibri" w:hAnsi="Calibri"/>
          <w:b/>
          <w:color w:val="525866"/>
          <w:sz w:val="22"/>
        </w:rPr>
        <w:t xml:space="preserve">Valuation Context: </w:t>
      </w:r>
      <w:r>
        <w:rPr>
          <w:rFonts w:ascii="Calibri" w:hAnsi="Calibri"/>
          <w:color w:val="525866"/>
          <w:sz w:val="22"/>
        </w:rPr>
        <w:t>AJG currently trades at ~26.6x NTM P/E and ~13.9x NTM EV/EBITDA. The 3-month multiple expansion of ~+16% on EV/EBITDA (from ~12x to ~14x) has been the primary driver of the stock's outperformance, with estimate revisions contributing minimally. This multiple re-rating reflects growing market confidence in the AssuredPartners integration and synergy trajectory, but also raises the bar for the Q2 print. Source: Stock Price Data (Yahoo Finance); Visible Alpha Consensus and Actuals Data.</w:t>
      </w:r>
    </w:p>
    <w:p>
      <w:r>
        <w:br w:type="page"/>
      </w:r>
    </w:p>
    <w:p>
      <w:pPr>
        <w:pStyle w:val="Heading2"/>
      </w:pPr>
      <w:r>
        <w:rPr>
          <w:rFonts w:ascii="Calibri" w:hAnsi="Calibri"/>
          <w:b/>
          <w:color w:val="3B4259"/>
          <w:sz w:val="28"/>
        </w:rPr>
        <w:t>Peer Commentaries &amp; Q2 2026 Read-Throughs</w:t>
      </w:r>
    </w:p>
    <w:p>
      <w:r>
        <w:rPr>
          <w:rFonts w:ascii="Calibri" w:hAnsi="Calibri"/>
          <w:b/>
          <w:color w:val="525866"/>
          <w:sz w:val="22"/>
        </w:rPr>
        <w:t xml:space="preserve">Key Takeaway: </w:t>
      </w:r>
      <w:r>
        <w:rPr>
          <w:rFonts w:ascii="Calibri" w:hAnsi="Calibri"/>
          <w:color w:val="525866"/>
          <w:sz w:val="22"/>
        </w:rPr>
        <w:t xml:space="preserve">Peer commentary from AON (reported July 29) and BRO (reported July 28) provides a mixed-to-positive read-through for AJG's Q2 print. </w:t>
      </w:r>
      <w:r>
        <w:rPr>
          <w:rFonts w:ascii="Calibri" w:hAnsi="Calibri"/>
          <w:b/>
          <w:color w:val="525866"/>
          <w:sz w:val="22"/>
        </w:rPr>
        <w:t>AON's 5% organic growth beat and reaffirmed guidance is the most directly positive signal</w:t>
      </w:r>
      <w:r>
        <w:rPr>
          <w:rFonts w:ascii="Calibri" w:hAnsi="Calibri"/>
          <w:color w:val="525866"/>
          <w:sz w:val="22"/>
        </w:rPr>
        <w:t>; BRO's organic revenue decline of -0.7% is a negative read-through but is heavily distorted by cat property exposure and company-specific factors. All commentary below is strictly from Q2 2026 reporting or post-Q1 2026 commentary about the current quarter.</w:t>
      </w:r>
    </w:p>
    <w:p>
      <w:r>
        <w:rPr>
          <w:rFonts w:ascii="Calibri" w:hAnsi="Calibri"/>
          <w:i/>
          <w:color w:val="525866"/>
          <w:sz w:val="22"/>
        </w:rPr>
        <w:t>Note: Only commentary about Q2 2026 (the current reporting period) is included below. Prior-quarter retrospective commentary has been excluded.</w:t>
      </w:r>
    </w:p>
    <w:p>
      <w:pPr>
        <w:pStyle w:val="Heading3"/>
      </w:pPr>
      <w:r>
        <w:rPr>
          <w:rFonts w:ascii="Calibri" w:hAnsi="Calibri"/>
          <w:b/>
          <w:color w:val="3B4259"/>
          <w:sz w:val="24"/>
        </w:rPr>
        <w:t>AON (AON) — Q2 2026 Earnings (Reported July 29, 2026)</w:t>
      </w:r>
    </w:p>
    <w:p>
      <w:r>
        <w:rPr>
          <w:rFonts w:ascii="Calibri" w:hAnsi="Calibri"/>
          <w:b/>
          <w:color w:val="525866"/>
          <w:sz w:val="22"/>
        </w:rPr>
        <w:t xml:space="preserve">Read-Through: </w:t>
      </w:r>
      <w:r>
        <w:rPr>
          <w:rFonts w:ascii="Calibri" w:hAnsi="Calibri"/>
          <w:b/>
          <w:color w:val="30A46C"/>
          <w:sz w:val="22"/>
        </w:rPr>
        <w:t>POSITIVE</w:t>
      </w:r>
    </w:p>
    <w:p>
      <w:pPr>
        <w:pStyle w:val="ListBullet"/>
        <w:ind w:left="360" w:hanging="360"/>
      </w:pPr>
      <w:r>
        <w:rPr>
          <w:rFonts w:ascii="Calibri" w:hAnsi="Calibri"/>
          <w:b/>
          <w:color w:val="525866"/>
          <w:sz w:val="22"/>
        </w:rPr>
        <w:t>Organic revenue growth of 5% in Q2 2026</w:t>
      </w:r>
      <w:r>
        <w:rPr>
          <w:rFonts w:ascii="Calibri" w:hAnsi="Calibri"/>
          <w:color w:val="525866"/>
          <w:sz w:val="22"/>
        </w:rPr>
        <w:t xml:space="preserve"> across all four solution lines — Commercial Risk (+5%), Reinsurance (+5%), Health (+5%), Wealth (+5%) — beat consensus of ~4.8% and directly validates AJG's ~5% brokerage organic growth guide. CEO Greg Case cited "robust client demand, disciplined execution, and durable through-the-cycle performance."</w:t>
      </w:r>
    </w:p>
    <w:p>
      <w:pPr>
        <w:pStyle w:val="ListBullet"/>
        <w:ind w:left="360" w:hanging="360"/>
      </w:pPr>
      <w:r>
        <w:rPr>
          <w:rFonts w:ascii="Calibri" w:hAnsi="Calibri"/>
          <w:b/>
          <w:color w:val="525866"/>
          <w:sz w:val="22"/>
        </w:rPr>
        <w:t>Net new business contributed 10 points to organic growth</w:t>
      </w:r>
      <w:r>
        <w:rPr>
          <w:rFonts w:ascii="Calibri" w:hAnsi="Calibri"/>
          <w:color w:val="525866"/>
          <w:sz w:val="22"/>
        </w:rPr>
        <w:t xml:space="preserve"> for the ninth consecutive quarter, with new business consistently contributing 9–11 points. This is a strong positive read-through for AJG's own net new business momentum, which management cited as the primary driver of organic growth.</w:t>
      </w:r>
    </w:p>
    <w:p>
      <w:pPr>
        <w:pStyle w:val="ListBullet"/>
        <w:ind w:left="360" w:hanging="360"/>
      </w:pPr>
      <w:r>
        <w:rPr>
          <w:rFonts w:ascii="Calibri" w:hAnsi="Calibri"/>
          <w:b/>
          <w:color w:val="525866"/>
          <w:sz w:val="22"/>
        </w:rPr>
        <w:t>Adjusted operating margin expanded 70 bps to 28.9%</w:t>
      </w:r>
      <w:r>
        <w:rPr>
          <w:rFonts w:ascii="Calibri" w:hAnsi="Calibri"/>
          <w:color w:val="525866"/>
          <w:sz w:val="22"/>
        </w:rPr>
        <w:t xml:space="preserve"> in Q2 2026, in line with full-year guidance of 70–80 bps expansion. Positive read-through for AJG's 40–60 bps underlying margin expansion target.</w:t>
      </w:r>
    </w:p>
    <w:p>
      <w:pPr>
        <w:pStyle w:val="ListBullet"/>
        <w:ind w:left="360" w:hanging="360"/>
      </w:pPr>
      <w:r>
        <w:rPr>
          <w:rFonts w:ascii="Calibri" w:hAnsi="Calibri"/>
          <w:b/>
          <w:color w:val="525866"/>
          <w:sz w:val="22"/>
        </w:rPr>
        <w:t>Reinsurance organic growth of 5% despite 15–20% lower treaty rates</w:t>
      </w:r>
      <w:r>
        <w:rPr>
          <w:rFonts w:ascii="Calibri" w:hAnsi="Calibri"/>
          <w:color w:val="525866"/>
          <w:sz w:val="22"/>
        </w:rPr>
        <w:t xml:space="preserve"> — new business wins more than offset rate headwinds. Positive read-through for Gallagher Re, which management described as having a "strong start to 2026" and remaining "bullish" on the growth outlook.</w:t>
      </w:r>
    </w:p>
    <w:p>
      <w:pPr>
        <w:pStyle w:val="ListBullet"/>
        <w:ind w:left="360" w:hanging="360"/>
      </w:pPr>
      <w:r>
        <w:rPr>
          <w:rFonts w:ascii="Calibri" w:hAnsi="Calibri"/>
          <w:b/>
          <w:color w:val="525866"/>
          <w:sz w:val="22"/>
        </w:rPr>
        <w:t>Net market impact was "modestly positive" in Commercial Risk</w:t>
      </w:r>
      <w:r>
        <w:rPr>
          <w:rFonts w:ascii="Calibri" w:hAnsi="Calibri"/>
          <w:color w:val="525866"/>
          <w:sz w:val="22"/>
        </w:rPr>
        <w:t xml:space="preserve"> and "unfavorable" in Reinsurance. Consistent with AJG's own Q2 pricing data showing property down 9% but casualty up 5% overall.</w:t>
      </w:r>
    </w:p>
    <w:p>
      <w:pPr>
        <w:pStyle w:val="ListBullet"/>
        <w:ind w:left="360" w:hanging="360"/>
      </w:pPr>
      <w:r>
        <w:rPr>
          <w:rFonts w:ascii="Calibri" w:hAnsi="Calibri"/>
          <w:b/>
          <w:color w:val="525866"/>
          <w:sz w:val="22"/>
        </w:rPr>
        <w:t>AON reaffirmed 2026 full-year guidance</w:t>
      </w:r>
      <w:r>
        <w:rPr>
          <w:rFonts w:ascii="Calibri" w:hAnsi="Calibri"/>
          <w:color w:val="525866"/>
          <w:sz w:val="22"/>
        </w:rPr>
        <w:t xml:space="preserve"> of mid-single-digit or greater organic revenue growth and 70–80 bps margin expansion. Positive signal for sector-wide demand environment.</w:t>
      </w:r>
    </w:p>
    <w:p>
      <w:pPr>
        <w:pStyle w:val="ListBullet"/>
        <w:ind w:left="360" w:hanging="360"/>
      </w:pPr>
      <w:r>
        <w:rPr>
          <w:rFonts w:ascii="Calibri" w:hAnsi="Calibri"/>
          <w:b/>
          <w:color w:val="525866"/>
          <w:sz w:val="22"/>
        </w:rPr>
        <w:t>M&amp;A services expected to be a tailwind in H2 2026</w:t>
      </w:r>
      <w:r>
        <w:rPr>
          <w:rFonts w:ascii="Calibri" w:hAnsi="Calibri"/>
          <w:color w:val="525866"/>
          <w:sz w:val="22"/>
        </w:rPr>
        <w:t xml:space="preserve"> as announced transaction volumes are up over 60%. Positive read-through for AJG's M&amp;A-related brokerage revenues.</w:t>
      </w:r>
    </w:p>
    <w:p>
      <w:pPr>
        <w:pStyle w:val="Heading3"/>
      </w:pPr>
      <w:r>
        <w:rPr>
          <w:rFonts w:ascii="Calibri" w:hAnsi="Calibri"/>
          <w:b/>
          <w:color w:val="3B4259"/>
          <w:sz w:val="24"/>
        </w:rPr>
        <w:t>Brown &amp; Brown (BRO) — Q2 2026 Earnings (Reported July 28, 2026)</w:t>
      </w:r>
    </w:p>
    <w:p>
      <w:r>
        <w:rPr>
          <w:rFonts w:ascii="Calibri" w:hAnsi="Calibri"/>
          <w:b/>
          <w:color w:val="525866"/>
          <w:sz w:val="22"/>
        </w:rPr>
        <w:t xml:space="preserve">Read-Through: </w:t>
      </w:r>
      <w:r>
        <w:rPr>
          <w:rFonts w:ascii="Calibri" w:hAnsi="Calibri"/>
          <w:b/>
          <w:color w:val="E5484D"/>
          <w:sz w:val="22"/>
        </w:rPr>
        <w:t>MIXED / NEGATIVE (with important caveats)</w:t>
      </w:r>
    </w:p>
    <w:p>
      <w:pPr>
        <w:pStyle w:val="ListBullet"/>
        <w:ind w:left="360" w:hanging="360"/>
      </w:pPr>
      <w:r>
        <w:rPr>
          <w:rFonts w:ascii="Calibri" w:hAnsi="Calibri"/>
          <w:b/>
          <w:color w:val="525866"/>
          <w:sz w:val="22"/>
        </w:rPr>
        <w:t>Organic revenue declined -0.7% in Q2 2026</w:t>
      </w:r>
      <w:r>
        <w:rPr>
          <w:rFonts w:ascii="Calibri" w:hAnsi="Calibri"/>
          <w:color w:val="525866"/>
          <w:sz w:val="22"/>
        </w:rPr>
        <w:t xml:space="preserve"> (vs. consensus of +0.5%), but BRO characterized this as a "good result" given Q2 is the largest quarter for cat property placements. The miss was heavily distorted by: (1) ~$18M litigation-related revenue adjustment from individuals who departed to a startup broker; (2) ~$10M of delayed new business revenue in Specialty Distribution expected to be recorded in Q3; and (3) ~60 bps drag from the pharmacy consulting business. Adjusting for these items, underlying organic was closer to +1–12%.</w:t>
      </w:r>
    </w:p>
    <w:p>
      <w:pPr>
        <w:pStyle w:val="ListBullet"/>
        <w:ind w:left="360" w:hanging="360"/>
      </w:pPr>
      <w:r>
        <w:rPr>
          <w:rFonts w:ascii="Calibri" w:hAnsi="Calibri"/>
          <w:b/>
          <w:color w:val="525866"/>
          <w:sz w:val="22"/>
        </w:rPr>
        <w:t>Cat property rates continued to decrease 15–35%</w:t>
      </w:r>
      <w:r>
        <w:rPr>
          <w:rFonts w:ascii="Calibri" w:hAnsi="Calibri"/>
          <w:color w:val="525866"/>
          <w:sz w:val="22"/>
        </w:rPr>
        <w:t xml:space="preserve"> in Q2, similar to Q1 — consistent with AJG's own data showing property down 9% overall and down 11% in Americas Retail. This confirms the property headwind AJG has already baked into its 5% organic growth guide.</w:t>
      </w:r>
    </w:p>
    <w:p>
      <w:pPr>
        <w:pStyle w:val="ListBullet"/>
        <w:ind w:left="360" w:hanging="360"/>
      </w:pPr>
      <w:r>
        <w:rPr>
          <w:rFonts w:ascii="Calibri" w:hAnsi="Calibri"/>
          <w:b/>
          <w:color w:val="525866"/>
          <w:sz w:val="22"/>
        </w:rPr>
        <w:t>Casualty pricing remained firm: primary casualty and professional liability up ~5%</w:t>
      </w:r>
      <w:r>
        <w:rPr>
          <w:rFonts w:ascii="Calibri" w:hAnsi="Calibri"/>
          <w:color w:val="525866"/>
          <w:sz w:val="22"/>
        </w:rPr>
        <w:t>, excess casualty under more pressure. Consistent with AJG's data showing casualty up 5% overall, general liability up 1%, commercial auto up 4%, umbrella up 8%.</w:t>
      </w:r>
    </w:p>
    <w:p>
      <w:pPr>
        <w:pStyle w:val="ListBullet"/>
        <w:ind w:left="360" w:hanging="360"/>
      </w:pPr>
      <w:r>
        <w:rPr>
          <w:rFonts w:ascii="Calibri" w:hAnsi="Calibri"/>
          <w:b/>
          <w:color w:val="525866"/>
          <w:sz w:val="22"/>
        </w:rPr>
        <w:t>Adjusted EBITDA margin decreased 100 bps to 35.7%</w:t>
      </w:r>
      <w:r>
        <w:rPr>
          <w:rFonts w:ascii="Calibri" w:hAnsi="Calibri"/>
          <w:color w:val="525866"/>
          <w:sz w:val="22"/>
        </w:rPr>
        <w:t xml:space="preserve"> — driven substantially by lower interest income vs. Q2 2025 (when BRO was holding cash pre-acquisition). Retail segment margin actually expanded 230 bps. Mixed read-through for AJG margins; the interest income headwind is BRO-specific.</w:t>
      </w:r>
    </w:p>
    <w:p>
      <w:pPr>
        <w:pStyle w:val="ListBullet"/>
        <w:ind w:left="360" w:hanging="360"/>
      </w:pPr>
      <w:r>
        <w:rPr>
          <w:rFonts w:ascii="Calibri" w:hAnsi="Calibri"/>
          <w:b/>
          <w:color w:val="525866"/>
          <w:sz w:val="22"/>
        </w:rPr>
        <w:t>BRO guided H2 2026 organic growth to improve: Retail 1.5–2.5%, Specialty 2–4%</w:t>
      </w:r>
      <w:r>
        <w:rPr>
          <w:rFonts w:ascii="Calibri" w:hAnsi="Calibri"/>
          <w:color w:val="525866"/>
          <w:sz w:val="22"/>
        </w:rPr>
        <w:t xml:space="preserve"> — positive signal for sector-wide H2 momentum, consistent with AJG's expectation of 5–6% organic in Q3/Q4.</w:t>
      </w:r>
    </w:p>
    <w:p>
      <w:pPr>
        <w:pStyle w:val="ListBullet"/>
        <w:ind w:left="360" w:hanging="360"/>
      </w:pPr>
      <w:r>
        <w:rPr>
          <w:rFonts w:ascii="Calibri" w:hAnsi="Calibri"/>
          <w:b/>
          <w:color w:val="525866"/>
          <w:sz w:val="22"/>
        </w:rPr>
        <w:t>Economic conditions "relatively consistent with previous quarters"</w:t>
      </w:r>
      <w:r>
        <w:rPr>
          <w:rFonts w:ascii="Calibri" w:hAnsi="Calibri"/>
          <w:color w:val="525866"/>
          <w:sz w:val="22"/>
        </w:rPr>
        <w:t xml:space="preserve"> — stable customer spending, neutral hiring/investment posture, positive audit premium activity. Consistent with AJG's own mid-June daily revenue indications showing "positive territory."</w:t>
      </w:r>
    </w:p>
    <w:p>
      <w:pPr>
        <w:pStyle w:val="ListBullet"/>
        <w:ind w:left="360" w:hanging="360"/>
      </w:pPr>
      <w:r>
        <w:rPr>
          <w:rFonts w:ascii="Calibri" w:hAnsi="Calibri"/>
          <w:b/>
          <w:color w:val="525866"/>
          <w:sz w:val="22"/>
        </w:rPr>
        <w:t>BRO announced partnership with Anthropic, McKinsey, and Accenture on AI strategy</w:t>
      </w:r>
      <w:r>
        <w:rPr>
          <w:rFonts w:ascii="Calibri" w:hAnsi="Calibri"/>
          <w:color w:val="525866"/>
          <w:sz w:val="22"/>
        </w:rPr>
        <w:t xml:space="preserve"> — highlights sector-wide AI investment theme. AJG has separately highlighted AI-driven cost savings potential of 5–30% across different cost layers.</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Key Data Point</w:t>
            </w:r>
          </w:p>
        </w:tc>
        <w:tc>
          <w:tcPr>
            <w:tcW w:type="dxa" w:w="2160"/>
            <w:shd w:val="clear" w:color="auto" w:fill="3B4259"/>
          </w:tcPr>
          <w:p>
            <w:r>
              <w:rPr>
                <w:rFonts w:ascii="Calibri" w:hAnsi="Calibri"/>
                <w:b/>
                <w:color w:val="FFFFFF"/>
                <w:sz w:val="22"/>
              </w:rPr>
              <w:t>AJG Read-Through</w:t>
            </w:r>
          </w:p>
        </w:tc>
      </w:tr>
      <w:tr>
        <w:tc>
          <w:tcPr>
            <w:tcW w:type="dxa" w:w="2160"/>
          </w:tcPr>
          <w:p>
            <w:r>
              <w:rPr>
                <w:rFonts w:ascii="Calibri" w:hAnsi="Calibri"/>
                <w:sz w:val="22"/>
              </w:rPr>
              <w:t>AON — Organic Growth (Q2 2026)</w:t>
            </w:r>
          </w:p>
        </w:tc>
        <w:tc>
          <w:tcPr>
            <w:tcW w:type="dxa" w:w="2160"/>
          </w:tcPr>
          <w:p>
            <w:r>
              <w:rPr>
                <w:rFonts w:ascii="Calibri" w:hAnsi="Calibri"/>
                <w:b/>
                <w:color w:val="30A46C"/>
                <w:sz w:val="22"/>
              </w:rPr>
              <w:t>POSITIVE</w:t>
            </w:r>
          </w:p>
        </w:tc>
        <w:tc>
          <w:tcPr>
            <w:tcW w:type="dxa" w:w="2160"/>
          </w:tcPr>
          <w:p>
            <w:r>
              <w:rPr>
                <w:rFonts w:ascii="Calibri" w:hAnsi="Calibri"/>
                <w:sz w:val="22"/>
              </w:rPr>
              <w:t>+5% across all segments; beat consensus of ~4.8%</w:t>
            </w:r>
          </w:p>
        </w:tc>
        <w:tc>
          <w:tcPr>
            <w:tcW w:type="dxa" w:w="2160"/>
          </w:tcPr>
          <w:p>
            <w:r>
              <w:rPr>
                <w:rFonts w:ascii="Calibri" w:hAnsi="Calibri"/>
                <w:sz w:val="22"/>
              </w:rPr>
              <w:t>Validates AJG's ~5% brokerage organic guide; demand environment healthy</w:t>
            </w:r>
          </w:p>
        </w:tc>
      </w:tr>
      <w:tr>
        <w:tc>
          <w:tcPr>
            <w:tcW w:type="dxa" w:w="2160"/>
          </w:tcPr>
          <w:p>
            <w:r>
              <w:rPr>
                <w:rFonts w:ascii="Calibri" w:hAnsi="Calibri"/>
                <w:sz w:val="22"/>
              </w:rPr>
              <w:t>AON — Net New Business (Q2 2026)</w:t>
            </w:r>
          </w:p>
        </w:tc>
        <w:tc>
          <w:tcPr>
            <w:tcW w:type="dxa" w:w="2160"/>
          </w:tcPr>
          <w:p>
            <w:r>
              <w:rPr>
                <w:rFonts w:ascii="Calibri" w:hAnsi="Calibri"/>
                <w:b/>
                <w:color w:val="30A46C"/>
                <w:sz w:val="22"/>
              </w:rPr>
              <w:t>POSITIVE</w:t>
            </w:r>
          </w:p>
        </w:tc>
        <w:tc>
          <w:tcPr>
            <w:tcW w:type="dxa" w:w="2160"/>
          </w:tcPr>
          <w:p>
            <w:r>
              <w:rPr>
                <w:rFonts w:ascii="Calibri" w:hAnsi="Calibri"/>
                <w:sz w:val="22"/>
              </w:rPr>
              <w:t>10-pt contribution for 9th consecutive quarter</w:t>
            </w:r>
          </w:p>
        </w:tc>
        <w:tc>
          <w:tcPr>
            <w:tcW w:type="dxa" w:w="2160"/>
          </w:tcPr>
          <w:p>
            <w:r>
              <w:rPr>
                <w:rFonts w:ascii="Calibri" w:hAnsi="Calibri"/>
                <w:sz w:val="22"/>
              </w:rPr>
              <w:t>Supports AJG's ~3 pts net new business contribution to organic growth</w:t>
            </w:r>
          </w:p>
        </w:tc>
      </w:tr>
      <w:tr>
        <w:tc>
          <w:tcPr>
            <w:tcW w:type="dxa" w:w="2160"/>
          </w:tcPr>
          <w:p>
            <w:r>
              <w:rPr>
                <w:rFonts w:ascii="Calibri" w:hAnsi="Calibri"/>
                <w:sz w:val="22"/>
              </w:rPr>
              <w:t>AON — Margin Expansion (Q2 2026)</w:t>
            </w:r>
          </w:p>
        </w:tc>
        <w:tc>
          <w:tcPr>
            <w:tcW w:type="dxa" w:w="2160"/>
          </w:tcPr>
          <w:p>
            <w:r>
              <w:rPr>
                <w:rFonts w:ascii="Calibri" w:hAnsi="Calibri"/>
                <w:b/>
                <w:color w:val="30A46C"/>
                <w:sz w:val="22"/>
              </w:rPr>
              <w:t>POSITIVE</w:t>
            </w:r>
          </w:p>
        </w:tc>
        <w:tc>
          <w:tcPr>
            <w:tcW w:type="dxa" w:w="2160"/>
          </w:tcPr>
          <w:p>
            <w:r>
              <w:rPr>
                <w:rFonts w:ascii="Calibri" w:hAnsi="Calibri"/>
                <w:sz w:val="22"/>
              </w:rPr>
              <w:t>+70 bps adjusted operating margin; in-line with FY guide</w:t>
            </w:r>
          </w:p>
        </w:tc>
        <w:tc>
          <w:tcPr>
            <w:tcW w:type="dxa" w:w="2160"/>
          </w:tcPr>
          <w:p>
            <w:r>
              <w:rPr>
                <w:rFonts w:ascii="Calibri" w:hAnsi="Calibri"/>
                <w:sz w:val="22"/>
              </w:rPr>
              <w:t>Positive read-through for AJG's 40–60 bps underlying expansion target</w:t>
            </w:r>
          </w:p>
        </w:tc>
      </w:tr>
      <w:tr>
        <w:tc>
          <w:tcPr>
            <w:tcW w:type="dxa" w:w="2160"/>
          </w:tcPr>
          <w:p>
            <w:r>
              <w:rPr>
                <w:rFonts w:ascii="Calibri" w:hAnsi="Calibri"/>
                <w:sz w:val="22"/>
              </w:rPr>
              <w:t>AON — Reinsurance (Q2 2026)</w:t>
            </w:r>
          </w:p>
        </w:tc>
        <w:tc>
          <w:tcPr>
            <w:tcW w:type="dxa" w:w="2160"/>
          </w:tcPr>
          <w:p>
            <w:r>
              <w:rPr>
                <w:rFonts w:ascii="Calibri" w:hAnsi="Calibri"/>
                <w:b/>
                <w:color w:val="30A46C"/>
                <w:sz w:val="22"/>
              </w:rPr>
              <w:t>POSITIVE</w:t>
            </w:r>
          </w:p>
        </w:tc>
        <w:tc>
          <w:tcPr>
            <w:tcW w:type="dxa" w:w="2160"/>
          </w:tcPr>
          <w:p>
            <w:r>
              <w:rPr>
                <w:rFonts w:ascii="Calibri" w:hAnsi="Calibri"/>
                <w:sz w:val="22"/>
              </w:rPr>
              <w:t>+5% organic despite 15–20% lower treaty rates; new business wins offset</w:t>
            </w:r>
          </w:p>
        </w:tc>
        <w:tc>
          <w:tcPr>
            <w:tcW w:type="dxa" w:w="2160"/>
          </w:tcPr>
          <w:p>
            <w:r>
              <w:rPr>
                <w:rFonts w:ascii="Calibri" w:hAnsi="Calibri"/>
                <w:sz w:val="22"/>
              </w:rPr>
              <w:t>Positive for Gallagher Re, which had strong start to 2026</w:t>
            </w:r>
          </w:p>
        </w:tc>
      </w:tr>
      <w:tr>
        <w:tc>
          <w:tcPr>
            <w:tcW w:type="dxa" w:w="2160"/>
          </w:tcPr>
          <w:p>
            <w:r>
              <w:rPr>
                <w:rFonts w:ascii="Calibri" w:hAnsi="Calibri"/>
                <w:sz w:val="22"/>
              </w:rPr>
              <w:t>AON — Full-Year Guidance (Q2 2026)</w:t>
            </w:r>
          </w:p>
        </w:tc>
        <w:tc>
          <w:tcPr>
            <w:tcW w:type="dxa" w:w="2160"/>
          </w:tcPr>
          <w:p>
            <w:r>
              <w:rPr>
                <w:rFonts w:ascii="Calibri" w:hAnsi="Calibri"/>
                <w:b/>
                <w:color w:val="30A46C"/>
                <w:sz w:val="22"/>
              </w:rPr>
              <w:t>POSITIVE</w:t>
            </w:r>
          </w:p>
        </w:tc>
        <w:tc>
          <w:tcPr>
            <w:tcW w:type="dxa" w:w="2160"/>
          </w:tcPr>
          <w:p>
            <w:r>
              <w:rPr>
                <w:rFonts w:ascii="Calibri" w:hAnsi="Calibri"/>
                <w:sz w:val="22"/>
              </w:rPr>
              <w:t>Reaffirmed mid-single-digit or greater organic; 70–80 bps margin expansion</w:t>
            </w:r>
          </w:p>
        </w:tc>
        <w:tc>
          <w:tcPr>
            <w:tcW w:type="dxa" w:w="2160"/>
          </w:tcPr>
          <w:p>
            <w:r>
              <w:rPr>
                <w:rFonts w:ascii="Calibri" w:hAnsi="Calibri"/>
                <w:sz w:val="22"/>
              </w:rPr>
              <w:t>Sector demand environment remains supportive for AJG's FY 5.5% guide</w:t>
            </w:r>
          </w:p>
        </w:tc>
      </w:tr>
      <w:tr>
        <w:tc>
          <w:tcPr>
            <w:tcW w:type="dxa" w:w="2160"/>
          </w:tcPr>
          <w:p>
            <w:r>
              <w:rPr>
                <w:rFonts w:ascii="Calibri" w:hAnsi="Calibri"/>
                <w:sz w:val="22"/>
              </w:rPr>
              <w:t>BRO — Organic Revenue (Q2 2026)</w:t>
            </w:r>
          </w:p>
        </w:tc>
        <w:tc>
          <w:tcPr>
            <w:tcW w:type="dxa" w:w="2160"/>
          </w:tcPr>
          <w:p>
            <w:r>
              <w:rPr>
                <w:rFonts w:ascii="Calibri" w:hAnsi="Calibri"/>
                <w:b/>
                <w:color w:val="E5484D"/>
                <w:sz w:val="22"/>
              </w:rPr>
              <w:t>MIXED</w:t>
            </w:r>
          </w:p>
        </w:tc>
        <w:tc>
          <w:tcPr>
            <w:tcW w:type="dxa" w:w="2160"/>
          </w:tcPr>
          <w:p>
            <w:r>
              <w:rPr>
                <w:rFonts w:ascii="Calibri" w:hAnsi="Calibri"/>
                <w:sz w:val="22"/>
              </w:rPr>
              <w:t>-0.7% organic (vs. +0.5% consensus); distorted by litigation, timing, pharmacy</w:t>
            </w:r>
          </w:p>
        </w:tc>
        <w:tc>
          <w:tcPr>
            <w:tcW w:type="dxa" w:w="2160"/>
          </w:tcPr>
          <w:p>
            <w:r>
              <w:rPr>
                <w:rFonts w:ascii="Calibri" w:hAnsi="Calibri"/>
                <w:sz w:val="22"/>
              </w:rPr>
              <w:t>Negative headline but company-specific; AJG less exposed to these factors</w:t>
            </w:r>
          </w:p>
        </w:tc>
      </w:tr>
      <w:tr>
        <w:tc>
          <w:tcPr>
            <w:tcW w:type="dxa" w:w="2160"/>
          </w:tcPr>
          <w:p>
            <w:r>
              <w:rPr>
                <w:rFonts w:ascii="Calibri" w:hAnsi="Calibri"/>
                <w:sz w:val="22"/>
              </w:rPr>
              <w:t>BRO — Cat Property Pricing (Q2 2026)</w:t>
            </w:r>
          </w:p>
        </w:tc>
        <w:tc>
          <w:tcPr>
            <w:tcW w:type="dxa" w:w="2160"/>
          </w:tcPr>
          <w:p>
            <w:r>
              <w:rPr>
                <w:rFonts w:ascii="Calibri" w:hAnsi="Calibri"/>
                <w:b/>
                <w:color w:val="E5484D"/>
                <w:sz w:val="22"/>
              </w:rPr>
              <w:t>NEGATIVE</w:t>
            </w:r>
          </w:p>
        </w:tc>
        <w:tc>
          <w:tcPr>
            <w:tcW w:type="dxa" w:w="2160"/>
          </w:tcPr>
          <w:p>
            <w:r>
              <w:rPr>
                <w:rFonts w:ascii="Calibri" w:hAnsi="Calibri"/>
                <w:sz w:val="22"/>
              </w:rPr>
              <w:t>Cat property rates -15% to -35%, similar to Q1</w:t>
            </w:r>
          </w:p>
        </w:tc>
        <w:tc>
          <w:tcPr>
            <w:tcW w:type="dxa" w:w="2160"/>
          </w:tcPr>
          <w:p>
            <w:r>
              <w:rPr>
                <w:rFonts w:ascii="Calibri" w:hAnsi="Calibri"/>
                <w:sz w:val="22"/>
              </w:rPr>
              <w:t>Confirms property headwind AJG has already guided for; no incremental surprise</w:t>
            </w:r>
          </w:p>
        </w:tc>
      </w:tr>
      <w:tr>
        <w:tc>
          <w:tcPr>
            <w:tcW w:type="dxa" w:w="2160"/>
          </w:tcPr>
          <w:p>
            <w:r>
              <w:rPr>
                <w:rFonts w:ascii="Calibri" w:hAnsi="Calibri"/>
                <w:sz w:val="22"/>
              </w:rPr>
              <w:t>BRO — Casualty Pricing (Q2 2026)</w:t>
            </w:r>
          </w:p>
        </w:tc>
        <w:tc>
          <w:tcPr>
            <w:tcW w:type="dxa" w:w="2160"/>
          </w:tcPr>
          <w:p>
            <w:r>
              <w:rPr>
                <w:rFonts w:ascii="Calibri" w:hAnsi="Calibri"/>
                <w:b/>
                <w:color w:val="30A46C"/>
                <w:sz w:val="22"/>
              </w:rPr>
              <w:t>POSITIVE</w:t>
            </w:r>
          </w:p>
        </w:tc>
        <w:tc>
          <w:tcPr>
            <w:tcW w:type="dxa" w:w="2160"/>
          </w:tcPr>
          <w:p>
            <w:r>
              <w:rPr>
                <w:rFonts w:ascii="Calibri" w:hAnsi="Calibri"/>
                <w:sz w:val="22"/>
              </w:rPr>
              <w:t>Primary casualty/professional liability up ~5%; excess under more pressure</w:t>
            </w:r>
          </w:p>
        </w:tc>
        <w:tc>
          <w:tcPr>
            <w:tcW w:type="dxa" w:w="2160"/>
          </w:tcPr>
          <w:p>
            <w:r>
              <w:rPr>
                <w:rFonts w:ascii="Calibri" w:hAnsi="Calibri"/>
                <w:sz w:val="22"/>
              </w:rPr>
              <w:t>Consistent with AJG's casualty data; supports organic growth ex-property</w:t>
            </w:r>
          </w:p>
        </w:tc>
      </w:tr>
      <w:tr>
        <w:tc>
          <w:tcPr>
            <w:tcW w:type="dxa" w:w="2160"/>
          </w:tcPr>
          <w:p>
            <w:r>
              <w:rPr>
                <w:rFonts w:ascii="Calibri" w:hAnsi="Calibri"/>
                <w:sz w:val="22"/>
              </w:rPr>
              <w:t>BRO — H2 2026 Organic Outlook</w:t>
            </w:r>
          </w:p>
        </w:tc>
        <w:tc>
          <w:tcPr>
            <w:tcW w:type="dxa" w:w="2160"/>
          </w:tcPr>
          <w:p>
            <w:r>
              <w:rPr>
                <w:rFonts w:ascii="Calibri" w:hAnsi="Calibri"/>
                <w:b/>
                <w:color w:val="30A46C"/>
                <w:sz w:val="22"/>
              </w:rPr>
              <w:t>POSITIVE</w:t>
            </w:r>
          </w:p>
        </w:tc>
        <w:tc>
          <w:tcPr>
            <w:tcW w:type="dxa" w:w="2160"/>
          </w:tcPr>
          <w:p>
            <w:r>
              <w:rPr>
                <w:rFonts w:ascii="Calibri" w:hAnsi="Calibri"/>
                <w:sz w:val="22"/>
              </w:rPr>
              <w:t>Retail 1.5–2.5%, Specialty 2–4% in H2</w:t>
            </w:r>
          </w:p>
        </w:tc>
        <w:tc>
          <w:tcPr>
            <w:tcW w:type="dxa" w:w="2160"/>
          </w:tcPr>
          <w:p>
            <w:r>
              <w:rPr>
                <w:rFonts w:ascii="Calibri" w:hAnsi="Calibri"/>
                <w:sz w:val="22"/>
              </w:rPr>
              <w:t>Positive for sector H2 momentum; AJG guiding 5–6% in Q3/Q4</w:t>
            </w:r>
          </w:p>
        </w:tc>
      </w:tr>
      <w:tr>
        <w:tc>
          <w:tcPr>
            <w:tcW w:type="dxa" w:w="2160"/>
          </w:tcPr>
          <w:p>
            <w:r>
              <w:rPr>
                <w:rFonts w:ascii="Calibri" w:hAnsi="Calibri"/>
                <w:sz w:val="22"/>
              </w:rPr>
              <w:t>BRO — Macro / Client Activity (Q2 2026)</w:t>
            </w:r>
          </w:p>
        </w:tc>
        <w:tc>
          <w:tcPr>
            <w:tcW w:type="dxa" w:w="2160"/>
          </w:tcPr>
          <w:p>
            <w:r>
              <w:rPr>
                <w:rFonts w:ascii="Calibri" w:hAnsi="Calibri"/>
                <w:b/>
                <w:color w:val="30A46C"/>
                <w:sz w:val="22"/>
              </w:rPr>
              <w:t>NEUTRAL</w:t>
            </w:r>
          </w:p>
        </w:tc>
        <w:tc>
          <w:tcPr>
            <w:tcW w:type="dxa" w:w="2160"/>
          </w:tcPr>
          <w:p>
            <w:r>
              <w:rPr>
                <w:rFonts w:ascii="Calibri" w:hAnsi="Calibri"/>
                <w:sz w:val="22"/>
              </w:rPr>
              <w:t>Stable spending, neutral hiring, positive audit premium activity</w:t>
            </w:r>
          </w:p>
        </w:tc>
        <w:tc>
          <w:tcPr>
            <w:tcW w:type="dxa" w:w="2160"/>
          </w:tcPr>
          <w:p>
            <w:r>
              <w:rPr>
                <w:rFonts w:ascii="Calibri" w:hAnsi="Calibri"/>
                <w:sz w:val="22"/>
              </w:rPr>
              <w:t>Consistent with AJG's mid-June daily revenue indications in "positive territory"</w:t>
            </w:r>
          </w:p>
        </w:tc>
      </w:tr>
    </w:tbl>
    <w:p>
      <w:r>
        <w:rPr>
          <w:rFonts w:ascii="Calibri" w:hAnsi="Calibri"/>
          <w:i/>
          <w:color w:val="525866"/>
          <w:sz w:val="22"/>
        </w:rPr>
        <w:t>Sources: AON Q2 2026 Earnings Release and Earnings Call Transcript (July 29, 2026); BRO Q2 2026 Earnings Release and Earnings Call Transcript (July 28, 2026).</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June 17 Investor Day, where management raised AssuredPartners synergy targets and Risk Management guidance — a clear positive signal for the Q2 print. The July 29 board change is a neutral governance event.</w:t>
      </w:r>
    </w:p>
    <w:p>
      <w:pPr>
        <w:pStyle w:val="ListBullet"/>
        <w:ind w:left="360" w:hanging="360"/>
      </w:pPr>
      <w:r>
        <w:rPr>
          <w:rFonts w:ascii="Calibri" w:hAnsi="Calibri"/>
          <w:b/>
          <w:color w:val="525866"/>
          <w:sz w:val="22"/>
        </w:rPr>
        <w:t xml:space="preserve">June 17, 2026 — Pre-Q2 Investor Meeting (Most Important): </w:t>
      </w:r>
      <w:r>
        <w:rPr>
          <w:rFonts w:ascii="Calibri" w:hAnsi="Calibri"/>
          <w:color w:val="525866"/>
          <w:sz w:val="22"/>
        </w:rPr>
        <w:t xml:space="preserve">AJG hosted its quarterly investor meeting, disclosing: (1) AssuredPartners synergy run-rate target raised to up to $325M by early 2028 (from $300M at Q1 call, vs. original $160M at deal announcement); (2) Risk Management Q2 organic growth guidance raised to 11% (from ~10%); (3) FY 2026 Risk Management organic raised to 8% (from ~7%); (4) $170M in Q2 share repurchases disclosed; (5) M&amp;A pipeline grew to ~40 term sheets representing ~$600M annualized revenue (from ~$400M at Q1 call); (6) nearly all back-office systems fully implemented; (7) vendor and real estate consolidations ahead of plan. </w:t>
      </w:r>
      <w:r>
        <w:rPr>
          <w:rFonts w:ascii="Calibri" w:hAnsi="Calibri"/>
          <w:b/>
          <w:color w:val="525866"/>
          <w:sz w:val="22"/>
        </w:rPr>
        <w:t xml:space="preserve">Implication: </w:t>
      </w:r>
      <w:r>
        <w:rPr>
          <w:rFonts w:ascii="Calibri" w:hAnsi="Calibri"/>
          <w:color w:val="525866"/>
          <w:sz w:val="22"/>
        </w:rPr>
        <w:t>Broad-based positive signal across all key metrics; integration tracking ahead of schedule.</w:t>
      </w:r>
    </w:p>
    <w:p>
      <w:pPr>
        <w:pStyle w:val="ListBullet"/>
        <w:ind w:left="360" w:hanging="360"/>
      </w:pPr>
      <w:r>
        <w:rPr>
          <w:rFonts w:ascii="Calibri" w:hAnsi="Calibri"/>
          <w:b/>
          <w:color w:val="525866"/>
          <w:sz w:val="22"/>
        </w:rPr>
        <w:t xml:space="preserve">July 29, 2026 — Board Change (8-K): </w:t>
      </w:r>
      <w:r>
        <w:rPr>
          <w:rFonts w:ascii="Calibri" w:hAnsi="Calibri"/>
          <w:color w:val="525866"/>
          <w:sz w:val="22"/>
        </w:rPr>
        <w:t xml:space="preserve">AJG named a new Lead Independent Director and reduced board size. </w:t>
      </w:r>
      <w:r>
        <w:rPr>
          <w:rFonts w:ascii="Calibri" w:hAnsi="Calibri"/>
          <w:b/>
          <w:color w:val="525866"/>
          <w:sz w:val="22"/>
        </w:rPr>
        <w:t xml:space="preserve">Implication: </w:t>
      </w:r>
      <w:r>
        <w:rPr>
          <w:rFonts w:ascii="Calibri" w:hAnsi="Calibri"/>
          <w:color w:val="525866"/>
          <w:sz w:val="22"/>
        </w:rPr>
        <w:t>Neutral governance event; no financial impact on Q2 results.</w:t>
      </w:r>
    </w:p>
    <w:p>
      <w:pPr>
        <w:pStyle w:val="ListBullet"/>
        <w:ind w:left="360" w:hanging="360"/>
      </w:pPr>
      <w:r>
        <w:rPr>
          <w:rFonts w:ascii="Calibri" w:hAnsi="Calibri"/>
          <w:b/>
          <w:color w:val="525866"/>
          <w:sz w:val="22"/>
        </w:rPr>
        <w:t xml:space="preserve">July 29, 2026 — AON Q2 2026 Earnings Beat: </w:t>
      </w:r>
      <w:r>
        <w:rPr>
          <w:rFonts w:ascii="Calibri" w:hAnsi="Calibri"/>
          <w:color w:val="525866"/>
          <w:sz w:val="22"/>
        </w:rPr>
        <w:t xml:space="preserve">AON reported 5% organic growth across all segments, beating consensus of ~4.8%, and reaffirmed full-year guidance. </w:t>
      </w:r>
      <w:r>
        <w:rPr>
          <w:rFonts w:ascii="Calibri" w:hAnsi="Calibri"/>
          <w:b/>
          <w:color w:val="525866"/>
          <w:sz w:val="22"/>
        </w:rPr>
        <w:t xml:space="preserve">Implication: </w:t>
      </w:r>
      <w:r>
        <w:rPr>
          <w:rFonts w:ascii="Calibri" w:hAnsi="Calibri"/>
          <w:color w:val="525866"/>
          <w:sz w:val="22"/>
        </w:rPr>
        <w:t>Positive read-through for AJG's Q2 organic growth guide; validates sector demand environment.</w:t>
      </w:r>
    </w:p>
    <w:p>
      <w:pPr>
        <w:pStyle w:val="ListBullet"/>
        <w:ind w:left="360" w:hanging="360"/>
      </w:pPr>
      <w:r>
        <w:rPr>
          <w:rFonts w:ascii="Calibri" w:hAnsi="Calibri"/>
          <w:b/>
          <w:color w:val="525866"/>
          <w:sz w:val="22"/>
        </w:rPr>
        <w:t xml:space="preserve">July 28, 2026 — BRO Q2 2026 Earnings (Mixed): </w:t>
      </w:r>
      <w:r>
        <w:rPr>
          <w:rFonts w:ascii="Calibri" w:hAnsi="Calibri"/>
          <w:color w:val="525866"/>
          <w:sz w:val="22"/>
        </w:rPr>
        <w:t xml:space="preserve">BRO reported -0.7% organic revenue (vs. +0.5% consensus), distorted by litigation, timing, and pharmacy consulting. Cat property rates -15% to -35%. </w:t>
      </w:r>
      <w:r>
        <w:rPr>
          <w:rFonts w:ascii="Calibri" w:hAnsi="Calibri"/>
          <w:b/>
          <w:color w:val="525866"/>
          <w:sz w:val="22"/>
        </w:rPr>
        <w:t xml:space="preserve">Implication: </w:t>
      </w:r>
      <w:r>
        <w:rPr>
          <w:rFonts w:ascii="Calibri" w:hAnsi="Calibri"/>
          <w:color w:val="525866"/>
          <w:sz w:val="22"/>
        </w:rPr>
        <w:t>Negative headline but company-specific; confirms property headwind AJG has already guided for.</w:t>
      </w:r>
    </w:p>
    <w:p>
      <w:pPr>
        <w:pStyle w:val="ListBullet"/>
        <w:ind w:left="360" w:hanging="360"/>
      </w:pPr>
      <w:r>
        <w:rPr>
          <w:rFonts w:ascii="Calibri" w:hAnsi="Calibri"/>
          <w:b/>
          <w:color w:val="525866"/>
          <w:sz w:val="22"/>
        </w:rPr>
        <w:t xml:space="preserve">Q2 2026 Pricing Environment (Disclosed June 17): </w:t>
      </w:r>
      <w:r>
        <w:rPr>
          <w:rFonts w:ascii="Calibri" w:hAnsi="Calibri"/>
          <w:color w:val="525866"/>
          <w:sz w:val="22"/>
        </w:rPr>
        <w:t xml:space="preserve">AJG disclosed first two months of Q2 renewal premium changes: property lines down 9% overall (Americas Retail down 11%), casualty up 5% (GL up 1%, commercial auto up 4%, umbrella up 8%), D&amp;O/cyber up 2%, personal lines up 3%, workers comp flat. Excluding property, renewal premium changes up ~3%. </w:t>
      </w:r>
      <w:r>
        <w:rPr>
          <w:rFonts w:ascii="Calibri" w:hAnsi="Calibri"/>
          <w:b/>
          <w:color w:val="525866"/>
          <w:sz w:val="22"/>
        </w:rPr>
        <w:t xml:space="preserve">Implication: </w:t>
      </w:r>
      <w:r>
        <w:rPr>
          <w:rFonts w:ascii="Calibri" w:hAnsi="Calibri"/>
          <w:color w:val="525866"/>
          <w:sz w:val="22"/>
        </w:rPr>
        <w:t>Property softening is contained and already reflected in guidance; casualty firming provides offset.</w:t>
      </w:r>
    </w:p>
    <w:p>
      <w:pPr>
        <w:pStyle w:val="ListBullet"/>
        <w:ind w:left="360" w:hanging="360"/>
      </w:pPr>
      <w:r>
        <w:rPr>
          <w:rFonts w:ascii="Calibri" w:hAnsi="Calibri"/>
          <w:b/>
          <w:color w:val="525866"/>
          <w:sz w:val="22"/>
        </w:rPr>
        <w:t xml:space="preserve">June 2026 — Reinsurance Market Conditions: </w:t>
      </w:r>
      <w:r>
        <w:rPr>
          <w:rFonts w:ascii="Calibri" w:hAnsi="Calibri"/>
          <w:color w:val="525866"/>
          <w:sz w:val="22"/>
        </w:rPr>
        <w:t xml:space="preserve">4/1, 5/1, and 6/1 renewals showed abundant capacity, meaningful risk-adjusted rate reductions in property and specialty, and broadly stable casualty pricing. Japan property cat saw more downward pressure; Florida property cat market accelerated further. Middle East conflict increased uncertainty but has not changed overall market dynamic. </w:t>
      </w:r>
      <w:r>
        <w:rPr>
          <w:rFonts w:ascii="Calibri" w:hAnsi="Calibri"/>
          <w:b/>
          <w:color w:val="525866"/>
          <w:sz w:val="22"/>
        </w:rPr>
        <w:t xml:space="preserve">Implication: </w:t>
      </w:r>
      <w:r>
        <w:rPr>
          <w:rFonts w:ascii="Calibri" w:hAnsi="Calibri"/>
          <w:color w:val="525866"/>
          <w:sz w:val="22"/>
        </w:rPr>
        <w:t>Reinsurance headwinds are known and baked into guidance; Gallagher Re's new business wins are the key offset.</w:t>
      </w:r>
    </w:p>
    <w:p>
      <w:pPr>
        <w:pStyle w:val="ListBullet"/>
        <w:ind w:left="360" w:hanging="360"/>
      </w:pPr>
      <w:r>
        <w:rPr>
          <w:rFonts w:ascii="Calibri" w:hAnsi="Calibri"/>
          <w:b/>
          <w:color w:val="525866"/>
          <w:sz w:val="22"/>
        </w:rPr>
        <w:t xml:space="preserve">June 2026 — Employee Benefits / GBS Trends: </w:t>
      </w:r>
      <w:r>
        <w:rPr>
          <w:rFonts w:ascii="Calibri" w:hAnsi="Calibri"/>
          <w:color w:val="525866"/>
          <w:sz w:val="22"/>
        </w:rPr>
        <w:t xml:space="preserve">Medical cost trends rising in 2026; fully insured renewals showing high single-digit to ~10% premium increases; stop loss seeing mid-teens to above 20% increases. GBS Q2 organic guided at ~3%, FY at ~4%. </w:t>
      </w:r>
      <w:r>
        <w:rPr>
          <w:rFonts w:ascii="Calibri" w:hAnsi="Calibri"/>
          <w:b/>
          <w:color w:val="525866"/>
          <w:sz w:val="22"/>
        </w:rPr>
        <w:t xml:space="preserve">Implication: </w:t>
      </w:r>
      <w:r>
        <w:rPr>
          <w:rFonts w:ascii="Calibri" w:hAnsi="Calibri"/>
          <w:color w:val="525866"/>
          <w:sz w:val="22"/>
        </w:rPr>
        <w:t>Rising healthcare costs are driving demand for AJG's advisory capabilities; GBS organic tracking in-line with expectations.</w:t>
      </w:r>
    </w:p>
    <w:p>
      <w:pPr>
        <w:pStyle w:val="ListBullet"/>
        <w:ind w:left="360" w:hanging="360"/>
      </w:pPr>
      <w:r>
        <w:rPr>
          <w:rFonts w:ascii="Calibri" w:hAnsi="Calibri"/>
          <w:b/>
          <w:color w:val="525866"/>
          <w:sz w:val="22"/>
        </w:rPr>
        <w:t xml:space="preserve">June 3, 2026 — Investor Day Announcement: </w:t>
      </w:r>
      <w:r>
        <w:rPr>
          <w:rFonts w:ascii="Calibri" w:hAnsi="Calibri"/>
          <w:color w:val="525866"/>
          <w:sz w:val="22"/>
        </w:rPr>
        <w:t>AJG announced the June 17 investor meeting, triggering the stock's re-rating higher in anticipation of the synergy update.</w:t>
      </w:r>
    </w:p>
    <w:p>
      <w:pPr>
        <w:pStyle w:val="ListBullet"/>
        <w:ind w:left="360" w:hanging="360"/>
      </w:pPr>
      <w:r>
        <w:rPr>
          <w:rFonts w:ascii="Calibri" w:hAnsi="Calibri"/>
          <w:b/>
          <w:color w:val="525866"/>
          <w:sz w:val="22"/>
        </w:rPr>
        <w:t xml:space="preserve">Sector Context — Chubb (CB) Q2 2026 Beat (July 21): </w:t>
      </w:r>
      <w:r>
        <w:rPr>
          <w:rFonts w:ascii="Calibri" w:hAnsi="Calibri"/>
          <w:color w:val="525866"/>
          <w:sz w:val="22"/>
        </w:rPr>
        <w:t xml:space="preserve">Chubb reported Q2 EPS of $7.26, beating consensus of $6.75, with combined ratio ~200 bps better than expected. </w:t>
      </w:r>
      <w:r>
        <w:rPr>
          <w:rFonts w:ascii="Calibri" w:hAnsi="Calibri"/>
          <w:b/>
          <w:color w:val="525866"/>
          <w:sz w:val="22"/>
        </w:rPr>
        <w:t xml:space="preserve">Implication: </w:t>
      </w:r>
      <w:r>
        <w:rPr>
          <w:rFonts w:ascii="Calibri" w:hAnsi="Calibri"/>
          <w:color w:val="525866"/>
          <w:sz w:val="22"/>
        </w:rPr>
        <w:t>Positive for insurance sector sentiment; underwriting profitability remains strong despite property softening.</w:t>
      </w:r>
    </w:p>
    <w:p>
      <w:pPr>
        <w:pStyle w:val="ListBullet"/>
        <w:ind w:left="360" w:hanging="360"/>
      </w:pPr>
      <w:r>
        <w:rPr>
          <w:rFonts w:ascii="Calibri" w:hAnsi="Calibri"/>
          <w:b/>
          <w:color w:val="525866"/>
          <w:sz w:val="22"/>
        </w:rPr>
        <w:t xml:space="preserve">Sector Context — Munich Re Upside Pre-Announcement (July 24): </w:t>
      </w:r>
      <w:r>
        <w:rPr>
          <w:rFonts w:ascii="Calibri" w:hAnsi="Calibri"/>
          <w:color w:val="525866"/>
          <w:sz w:val="22"/>
        </w:rPr>
        <w:t xml:space="preserve">Munich Re issued upside pre-announcement with Q2 profit of €2.2B vs. consensus of €1.78B, driven by low catastrophe losses and healthy investment income. </w:t>
      </w:r>
      <w:r>
        <w:rPr>
          <w:rFonts w:ascii="Calibri" w:hAnsi="Calibri"/>
          <w:b/>
          <w:color w:val="525866"/>
          <w:sz w:val="22"/>
        </w:rPr>
        <w:t xml:space="preserve">Implication: </w:t>
      </w:r>
      <w:r>
        <w:rPr>
          <w:rFonts w:ascii="Calibri" w:hAnsi="Calibri"/>
          <w:color w:val="525866"/>
          <w:sz w:val="22"/>
        </w:rPr>
        <w:t>Low cat losses in Q2 are positive for contingent commissions at AJG (similar to BRO's strong contingent quarter).</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earnings print is minimal — only one open-market sale was identified (Controller/CAO Richard Cary, June 2, 2026, $618K, discretionary). </w:t>
      </w:r>
      <w:r>
        <w:rPr>
          <w:rFonts w:ascii="Calibri" w:hAnsi="Calibri"/>
          <w:b/>
          <w:color w:val="525866"/>
          <w:sz w:val="22"/>
        </w:rPr>
        <w:t>The absence of clustered selling or unusual transaction sizes is a neutral-to-positive signal</w:t>
      </w:r>
      <w:r>
        <w:rPr>
          <w:rFonts w:ascii="Calibri" w:hAnsi="Calibri"/>
          <w:color w:val="525866"/>
          <w:sz w:val="22"/>
        </w:rPr>
        <w:t>; no open-market buys were filed. The single discretionary sale by the Controller is not a meaningful signal given its modest size relative to the stock's move.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Richard C. Cary</w:t>
            </w:r>
          </w:p>
        </w:tc>
        <w:tc>
          <w:tcPr>
            <w:tcW w:type="dxa" w:w="1440"/>
          </w:tcPr>
          <w:p>
            <w:r>
              <w:rPr>
                <w:rFonts w:ascii="Calibri" w:hAnsi="Calibri"/>
                <w:sz w:val="22"/>
              </w:rPr>
              <w:t>Controller, CAO</w:t>
            </w:r>
          </w:p>
        </w:tc>
        <w:tc>
          <w:tcPr>
            <w:tcW w:type="dxa" w:w="1440"/>
          </w:tcPr>
          <w:p>
            <w:r>
              <w:rPr>
                <w:rFonts w:ascii="Calibri" w:hAnsi="Calibri"/>
                <w:sz w:val="22"/>
              </w:rPr>
              <w:t>Open Market Sale</w:t>
            </w:r>
          </w:p>
        </w:tc>
        <w:tc>
          <w:tcPr>
            <w:tcW w:type="dxa" w:w="1440"/>
          </w:tcPr>
          <w:p>
            <w:r>
              <w:rPr>
                <w:rFonts w:ascii="Calibri" w:hAnsi="Calibri"/>
                <w:sz w:val="22"/>
              </w:rPr>
              <w:t>$618,000 (3,000 shares @ ~$206)</w:t>
            </w:r>
          </w:p>
        </w:tc>
        <w:tc>
          <w:tcPr>
            <w:tcW w:type="dxa" w:w="1440"/>
          </w:tcPr>
          <w:p>
            <w:r>
              <w:rPr>
                <w:rFonts w:ascii="Calibri" w:hAnsi="Calibri"/>
                <w:sz w:val="22"/>
              </w:rPr>
              <w:t>June 2, 2026</w:t>
            </w:r>
          </w:p>
        </w:tc>
        <w:tc>
          <w:tcPr>
            <w:tcW w:type="dxa" w:w="1440"/>
          </w:tcPr>
          <w:p>
            <w:r>
              <w:rPr>
                <w:rFonts w:ascii="Calibri" w:hAnsi="Calibri"/>
                <w:sz w:val="22"/>
              </w:rPr>
              <w:t>Discretionary sale; no 10b5-1 plan indicated. Modest size; sold near post-Q1 lows. Not a meaningful signal.</w:t>
            </w:r>
          </w:p>
        </w:tc>
      </w:tr>
    </w:tbl>
    <w:p>
      <w:r>
        <w:rPr>
          <w:rFonts w:ascii="Calibri" w:hAnsi="Calibri"/>
          <w:b/>
          <w:color w:val="525866"/>
          <w:sz w:val="22"/>
        </w:rPr>
        <w:t xml:space="preserve">Note: </w:t>
      </w:r>
      <w:r>
        <w:rPr>
          <w:rFonts w:ascii="Calibri" w:hAnsi="Calibri"/>
          <w:i/>
          <w:color w:val="525866"/>
          <w:sz w:val="22"/>
        </w:rPr>
        <w:t>The remaining Form 4 filings reviewed for the period (17 total filings) consisted of equity award grants, vesting events, and tax withholding transactions — not open-market buys or sells. No 10b5-1 plan initiations were identified in the review period. The absence of insider buying despite management's stated view that equity is "woefully undervalued" is notable but may reflect the company's quiet period policy and ongoing M&amp;A activity. Source: SEC Form 4 filings (AJG, April 30 – July 29,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