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gn-earnings-predictions--2026-07-29"/>
    <w:p>
      <w:pPr>
        <w:pStyle w:val="Heading1"/>
      </w:pPr>
      <w:r>
        <w:t xml:space="preserve">ALGN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~$1.065B vs. cons $1.05B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 vs. cons $2.64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Clear Aligner Volume (cases)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~708K vs. cons 697K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~$1.075B vs. cons $1.06B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~$2.78 vs. cons $2.72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~23.7% vs. cons 23.6%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Clear Aligner Volume Trend (y/y)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~-1% vs. cons -3%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(STABILIZE)</w:t>
            </w:r>
          </w:p>
        </w:tc>
        <w:tc>
          <w:tcPr/>
          <w:p>
            <w:pPr>
              <w:pStyle w:val="Compact"/>
            </w:pPr>
            <w:r>
              <w:t xml:space="preserve">A clean top/bottom-line beat with reaffirmed FY26 revenue/margin guidance removes the tail-risk of an implicit out-period cut, supporting the initial pop; but the EU antitrust probe, CLRO/Chairman transitions, and still-tepid (even if 'less bad') North America retail trends cap incremental upside, so analysts likely nudge estimates up modestly rather than sharply re-rate — price consolidates near the day-1 level over the following days rather than extending or reversing sharply.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2026-07-29T01:27:47Z</dcterms:created>
  <dcterms:modified xsi:type="dcterms:W3CDTF">2026-07-29T01:27:47Z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