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algn-q2-2026-earnings-preview"/>
    <w:p>
      <w:pPr>
        <w:pStyle w:val="Heading1"/>
      </w:pPr>
      <w:r>
        <w:t xml:space="preserve">ALGN Q2 2026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Align Technology is scheduled to report</w:t>
      </w:r>
      <w:r>
        <w:t xml:space="preserve"> </w:t>
      </w:r>
      <w:r>
        <w:rPr>
          <w:b/>
          <w:bCs/>
        </w:rPr>
        <w:t xml:space="preserve">today, Wednesday, July 29, 2026</w:t>
      </w:r>
      <w:r>
        <w:t xml:space="preserve">, after the market closes—not tomorrow. Results are due at</w:t>
      </w:r>
      <w:r>
        <w:t xml:space="preserve"> </w:t>
      </w:r>
      <w:r>
        <w:rPr>
          <w:b/>
          <w:bCs/>
        </w:rPr>
        <w:t xml:space="preserve">4:00 p.m. ET</w:t>
      </w:r>
      <w:r>
        <w:t xml:space="preserve">, followed by the call at</w:t>
      </w:r>
      <w:r>
        <w:t xml:space="preserve"> </w:t>
      </w:r>
      <w:r>
        <w:rPr>
          <w:b/>
          <w:bCs/>
        </w:rPr>
        <w:t xml:space="preserve">4:30 p.m. ET</w:t>
      </w:r>
      <w:r>
        <w:t xml:space="preserve">. (</w:t>
      </w:r>
      <w:hyperlink r:id="rId9">
        <w:r>
          <w:rPr>
            <w:rStyle w:val="Hyperlink"/>
          </w:rPr>
          <w:t xml:space="preserve">investor.aligntech.com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This report is less about whether Align can meet its relatively narrow Q2 revenue range and more about</w:t>
      </w:r>
      <w:r>
        <w:t xml:space="preserve"> </w:t>
      </w:r>
      <w:r>
        <w:rPr>
          <w:b/>
          <w:bCs/>
        </w:rPr>
        <w:t xml:space="preserve">the quality and durability of its recovery</w:t>
      </w:r>
      <w:r>
        <w:t xml:space="preserve">.</w:t>
      </w:r>
    </w:p>
    <w:p>
      <w:pPr>
        <w:pStyle w:val="BodyText"/>
      </w:pPr>
      <w:r>
        <w:t xml:space="preserve">Investors should focus on four questions: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North America finally improving, or is growth still almost entirely international?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clear-aligner volume growth overcome lower-priced product and geographic mix?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the 2025 restructuring benefits producing sustainable margin expansion?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 management maintain—or raise—full-year guidance despite macroeconomic and geopolitical uncertainty?</w:t>
      </w:r>
    </w:p>
    <w:p>
      <w:pPr>
        <w:pStyle w:val="FirstParagraph"/>
      </w:pPr>
      <w:r>
        <w:t xml:space="preserve">The setup is balanced. Q1 was strong, the Q2 comparison is relatively easy, and full-year revenue guidance appears achievable. However, reported growth has benefited materially from currency, U.S. consumer demand remains uncertain, and the full-year margin target requires a substantial second-half step-up.</w:t>
      </w:r>
    </w:p>
    <w:bookmarkEnd w:id="10"/>
    <w:bookmarkStart w:id="12" w:name="expectations-at-a-glance"/>
    <w:p>
      <w:pPr>
        <w:pStyle w:val="Heading2"/>
      </w:pPr>
      <w:r>
        <w:t xml:space="preserve">Expectations at a glance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company outlook / expectations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$1.040B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1.040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1.060B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+6.2% YoY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+3% to +5%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Clear-aligner shipments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685.7K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sequentially and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Clear-aligner ASP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$1,250 per shipment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flat sequentially and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Systems &amp; Services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$184.1M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sequentially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16.4%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21.5%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Street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</w:t>
            </w:r>
            <w:r>
              <w:t xml:space="preserve"> </w:t>
            </w:r>
            <m:oMath>
              <m:r>
                <m:t>1.05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1.06B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Street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</w:t>
            </w:r>
            <w:r>
              <w:t xml:space="preserve"> </w:t>
            </w:r>
            <m:oMath>
              <m:r>
                <m:t>2.49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2.62</w:t>
            </w:r>
            <w:r>
              <w:t xml:space="preserve">, depending on provider</w:t>
            </w:r>
          </w:p>
        </w:tc>
      </w:tr>
    </w:tbl>
    <w:p>
      <w:pPr>
        <w:pStyle w:val="BodyText"/>
      </w:pPr>
      <w:r>
        <w:t xml:space="preserve">Public estimate aggregators place revenue near the upper half of management’s range, while adjusted EPS estimates vary because of differing methodologies. Align itself did not provide explicit Q2 EPS guidance. (</w:t>
      </w:r>
      <w:hyperlink r:id="rId11">
        <w:r>
          <w:rPr>
            <w:rStyle w:val="Hyperlink"/>
          </w:rPr>
          <w:t xml:space="preserve">benzinga.com</w:t>
        </w:r>
      </w:hyperlink>
      <w:r>
        <w:t xml:space="preserve">)</w:t>
      </w:r>
    </w:p>
    <w:bookmarkEnd w:id="12"/>
    <w:bookmarkStart w:id="15" w:name="X1b329f7cae630d00b8c2a0fb06a3dcf04be40c8"/>
    <w:p>
      <w:pPr>
        <w:pStyle w:val="Heading2"/>
      </w:pPr>
      <w:r>
        <w:t xml:space="preserve">1. Clear-aligner volume is the primary operating metric</w:t>
      </w:r>
    </w:p>
    <w:p>
      <w:pPr>
        <w:pStyle w:val="FirstParagraph"/>
      </w:pPr>
      <w:r>
        <w:t xml:space="preserve">Q1 clear-aligner shipments reached a record</w:t>
      </w:r>
      <w:r>
        <w:t xml:space="preserve"> </w:t>
      </w:r>
      <w:r>
        <w:rPr>
          <w:b/>
          <w:bCs/>
        </w:rPr>
        <w:t xml:space="preserve">685.7 thousand</w:t>
      </w:r>
      <w:r>
        <w:t xml:space="preserve">, up</w:t>
      </w:r>
      <w:r>
        <w:t xml:space="preserve"> </w:t>
      </w:r>
      <w:r>
        <w:rPr>
          <w:b/>
          <w:bCs/>
        </w:rPr>
        <w:t xml:space="preserve">6.7% year over year</w:t>
      </w:r>
      <w:r>
        <w:t xml:space="preserve"> </w:t>
      </w:r>
      <w:r>
        <w:t xml:space="preserve">and 1.3% sequentially. International markets grew at double-digit rates, while North America was described as stable. Shipments to orthodontists increased 7.4%, versus 5.6% growth among GP dentists. (</w:t>
      </w:r>
      <w:hyperlink r:id="rId13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For Q2, management guided shipments to increase both sequentially and year over year. That means volume should exceed Q1’s 685.7 thousand and compare favorably with only</w:t>
      </w:r>
      <w:r>
        <w:t xml:space="preserve"> </w:t>
      </w:r>
      <w:r>
        <w:rPr>
          <w:b/>
          <w:bCs/>
        </w:rPr>
        <w:t xml:space="preserve">644.4 thousand in Q2 2025</w:t>
      </w:r>
      <w:r>
        <w:t xml:space="preserve">, when patient conversion was weak and clear-aligner volume grew just 0.3%. (</w:t>
      </w:r>
      <w:hyperlink r:id="rId14">
        <w:r>
          <w:rPr>
            <w:rStyle w:val="Hyperlink"/>
          </w:rPr>
          <w:t xml:space="preserve">investor.aligntech.com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What would constitute a good result:</w:t>
      </w:r>
    </w:p>
    <w:p>
      <w:pPr>
        <w:pStyle w:val="Compact"/>
        <w:numPr>
          <w:ilvl w:val="0"/>
          <w:numId w:val="1002"/>
        </w:numPr>
      </w:pPr>
      <w:r>
        <w:t xml:space="preserve">Shipments approaching or exceeding</w:t>
      </w:r>
      <w:r>
        <w:t xml:space="preserve"> </w:t>
      </w:r>
      <w:r>
        <w:rPr>
          <w:b/>
          <w:bCs/>
        </w:rPr>
        <w:t xml:space="preserve">700 thousand</w:t>
      </w:r>
    </w:p>
    <w:p>
      <w:pPr>
        <w:pStyle w:val="Compact"/>
        <w:numPr>
          <w:ilvl w:val="0"/>
          <w:numId w:val="1002"/>
        </w:numPr>
      </w:pPr>
      <w:r>
        <w:t xml:space="preserve">Continued growth in both doctor submitters and utilization</w:t>
      </w:r>
    </w:p>
    <w:p>
      <w:pPr>
        <w:pStyle w:val="Compact"/>
        <w:numPr>
          <w:ilvl w:val="0"/>
          <w:numId w:val="1002"/>
        </w:numPr>
      </w:pPr>
      <w:r>
        <w:t xml:space="preserve">North America moving from “stable” to positive growth</w:t>
      </w:r>
    </w:p>
    <w:p>
      <w:pPr>
        <w:pStyle w:val="Compact"/>
        <w:numPr>
          <w:ilvl w:val="0"/>
          <w:numId w:val="1002"/>
        </w:numPr>
      </w:pPr>
      <w:r>
        <w:t xml:space="preserve">Continued double-digit DSO growth</w:t>
      </w:r>
    </w:p>
    <w:p>
      <w:pPr>
        <w:pStyle w:val="Compact"/>
        <w:numPr>
          <w:ilvl w:val="0"/>
          <w:numId w:val="1002"/>
        </w:numPr>
      </w:pPr>
      <w:r>
        <w:t xml:space="preserve">Strength in teen and growing-kid cases, not just lower-priced touch-up products</w:t>
      </w:r>
    </w:p>
    <w:p>
      <w:pPr>
        <w:pStyle w:val="FirstParagraph"/>
      </w:pPr>
      <w:r>
        <w:t xml:space="preserve">A volume beat driven by international markets and DSOs would still be positive, but the higher-quality outcome would include evidence that independent U.S. practices and GP dentists are converting more consultations into paid case starts.</w:t>
      </w:r>
    </w:p>
    <w:bookmarkEnd w:id="15"/>
    <w:bookmarkStart w:id="16" w:name="Xaf5554b58109c72a646a661e06d0b583371c401"/>
    <w:p>
      <w:pPr>
        <w:pStyle w:val="Heading2"/>
      </w:pPr>
      <w:r>
        <w:t xml:space="preserve">2. North America is the key swing factor</w:t>
      </w:r>
    </w:p>
    <w:p>
      <w:pPr>
        <w:pStyle w:val="FirstParagraph"/>
      </w:pPr>
      <w:r>
        <w:t xml:space="preserve">Align’s international business has been carrying the growth profile. In Q1, EMEA, APAC and Latin America all delivered double-digit volume growth, while North America remained modestly down but stable.</w:t>
      </w:r>
    </w:p>
    <w:p>
      <w:pPr>
        <w:pStyle w:val="BodyText"/>
      </w:pPr>
      <w:r>
        <w:t xml:space="preserve">Management attributed the U.S. weakness primarily to macroeconomic conditions rather than a material change in competition. That explanation is plausible because Invisalign is generally an elective, consumer-funded procedure. However, investors should not dismiss competitive and product-mix issues: practices offering both clear aligners and traditional braces may favor lower-cost wires and brackets when patient affordability becomes more important.</w:t>
      </w:r>
    </w:p>
    <w:p>
      <w:pPr>
        <w:pStyle w:val="BodyText"/>
      </w:pPr>
      <w:r>
        <w:t xml:space="preserve">The call should clarify:</w:t>
      </w:r>
    </w:p>
    <w:p>
      <w:pPr>
        <w:pStyle w:val="Compact"/>
        <w:numPr>
          <w:ilvl w:val="0"/>
          <w:numId w:val="1003"/>
        </w:numPr>
      </w:pPr>
      <w:r>
        <w:t xml:space="preserve">Whether U.S. patient traffic improved during May and June</w:t>
      </w:r>
    </w:p>
    <w:p>
      <w:pPr>
        <w:pStyle w:val="Compact"/>
        <w:numPr>
          <w:ilvl w:val="0"/>
          <w:numId w:val="1003"/>
        </w:numPr>
      </w:pPr>
      <w:r>
        <w:t xml:space="preserve">Whether scans and case submissions translated into better conversion</w:t>
      </w:r>
    </w:p>
    <w:p>
      <w:pPr>
        <w:pStyle w:val="Compact"/>
        <w:numPr>
          <w:ilvl w:val="0"/>
          <w:numId w:val="1003"/>
        </w:numPr>
      </w:pPr>
      <w:r>
        <w:t xml:space="preserve">Whether Healthcare Finance Direct is lifting case starts at participating practices</w:t>
      </w:r>
    </w:p>
    <w:p>
      <w:pPr>
        <w:pStyle w:val="Compact"/>
        <w:numPr>
          <w:ilvl w:val="0"/>
          <w:numId w:val="1003"/>
        </w:numPr>
      </w:pPr>
      <w:r>
        <w:t xml:space="preserve">Whether orthodontic practices are outperforming GP dentists</w:t>
      </w:r>
    </w:p>
    <w:p>
      <w:pPr>
        <w:pStyle w:val="Compact"/>
        <w:numPr>
          <w:ilvl w:val="0"/>
          <w:numId w:val="1003"/>
        </w:numPr>
      </w:pPr>
      <w:r>
        <w:t xml:space="preserve">Whether DSOs continue to take share from independent practices</w:t>
      </w:r>
    </w:p>
    <w:p>
      <w:pPr>
        <w:pStyle w:val="FirstParagraph"/>
      </w:pPr>
      <w:r>
        <w:t xml:space="preserve">A simple “North America remained stable” would probably be adequate for the quarter, but it would not fully resolve the central medium-term concern.</w:t>
      </w:r>
    </w:p>
    <w:bookmarkEnd w:id="16"/>
    <w:bookmarkStart w:id="17" w:name="Xf144eeadc57c49fd17dd6464b33f8379ddfdfcf"/>
    <w:p>
      <w:pPr>
        <w:pStyle w:val="Heading2"/>
      </w:pPr>
      <w:r>
        <w:t xml:space="preserve">3. Reported growth is stronger than the underlying revenue trend</w:t>
      </w:r>
    </w:p>
    <w:p>
      <w:pPr>
        <w:pStyle w:val="FirstParagraph"/>
      </w:pPr>
      <w:r>
        <w:t xml:space="preserve">Q1 revenue increased</w:t>
      </w:r>
      <w:r>
        <w:t xml:space="preserve"> </w:t>
      </w:r>
      <w:r>
        <w:rPr>
          <w:b/>
          <w:bCs/>
        </w:rPr>
        <w:t xml:space="preserve">6.2%</w:t>
      </w:r>
      <w:r>
        <w:t xml:space="preserve">, but foreign exchange contributed approximately</w:t>
      </w:r>
      <w:r>
        <w:t xml:space="preserve"> </w:t>
      </w:r>
      <w:r>
        <w:rPr>
          <w:b/>
          <w:bCs/>
        </w:rPr>
        <w:t xml:space="preserve">4.5 percentage points</w:t>
      </w:r>
      <w:r>
        <w:t xml:space="preserve">. Clear-aligner revenue grew 7.4%, with currency providing a 4.7-point benefit. Meanwhile, clear-aligner volume grew 6.7%, highlighting the offset from discounts and shifts toward lower-priced countries and products. (</w:t>
      </w:r>
      <w:hyperlink r:id="rId13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This makes Q2’s ASP commentary particularly important. Management expects clear-aligner ASP to be approximately flat both sequentially and year over year, but it previously indicated that full-year ASP could decline 1%–2%.</w:t>
      </w:r>
    </w:p>
    <w:p>
      <w:pPr>
        <w:pStyle w:val="BodyText"/>
      </w:pPr>
      <w:r>
        <w:t xml:space="preserve">Investors should distinguish among: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List-price changes</w:t>
      </w:r>
    </w:p>
    <w:p>
      <w:pPr>
        <w:pStyle w:val="Compact"/>
        <w:numPr>
          <w:ilvl w:val="0"/>
          <w:numId w:val="1004"/>
        </w:numPr>
      </w:pPr>
      <w:r>
        <w:t xml:space="preserve">Foreign-exchange effects</w:t>
      </w:r>
    </w:p>
    <w:p>
      <w:pPr>
        <w:pStyle w:val="Compact"/>
        <w:numPr>
          <w:ilvl w:val="0"/>
          <w:numId w:val="1004"/>
        </w:numPr>
      </w:pPr>
      <w:r>
        <w:t xml:space="preserve">Emerging-market geographic mix</w:t>
      </w:r>
    </w:p>
    <w:p>
      <w:pPr>
        <w:pStyle w:val="Compact"/>
        <w:numPr>
          <w:ilvl w:val="0"/>
          <w:numId w:val="1004"/>
        </w:numPr>
      </w:pPr>
      <w:r>
        <w:t xml:space="preserve">Growth in lower-priced products</w:t>
      </w:r>
    </w:p>
    <w:p>
      <w:pPr>
        <w:pStyle w:val="Compact"/>
        <w:numPr>
          <w:ilvl w:val="0"/>
          <w:numId w:val="1004"/>
        </w:numPr>
      </w:pPr>
      <w:r>
        <w:t xml:space="preserve">DSO discounts</w:t>
      </w:r>
    </w:p>
    <w:p>
      <w:pPr>
        <w:pStyle w:val="Compact"/>
        <w:numPr>
          <w:ilvl w:val="0"/>
          <w:numId w:val="1004"/>
        </w:numPr>
      </w:pPr>
      <w:r>
        <w:t xml:space="preserve">Doctor Subscription Program touch-up cases</w:t>
      </w:r>
    </w:p>
    <w:p>
      <w:pPr>
        <w:pStyle w:val="Compact"/>
        <w:numPr>
          <w:ilvl w:val="0"/>
          <w:numId w:val="1004"/>
        </w:numPr>
      </w:pPr>
      <w:r>
        <w:t xml:space="preserve">No-additional-aligner, or “Zero AA,” configurations</w:t>
      </w:r>
    </w:p>
    <w:p>
      <w:pPr>
        <w:pStyle w:val="Compact"/>
        <w:numPr>
          <w:ilvl w:val="0"/>
          <w:numId w:val="1004"/>
        </w:numPr>
      </w:pPr>
      <w:r>
        <w:t xml:space="preserve">Changes in deferred-revenue recognition</w:t>
      </w:r>
    </w:p>
    <w:p>
      <w:pPr>
        <w:pStyle w:val="FirstParagraph"/>
      </w:pPr>
      <w:r>
        <w:t xml:space="preserve">The lower-priced products are not necessarily negative. Zero-AA and limited-refinement products can carry attractive margins because they require less treatment planning, manufacturing and shipping. The ideal outcome is therefore</w:t>
      </w:r>
      <w:r>
        <w:t xml:space="preserve"> </w:t>
      </w:r>
      <w:r>
        <w:rPr>
          <w:b/>
          <w:bCs/>
        </w:rPr>
        <w:t xml:space="preserve">lower ASP from intentional mix, paired with higher volume, better conversion and stable-to-improving margins</w:t>
      </w:r>
      <w:r>
        <w:t xml:space="preserve">.</w:t>
      </w:r>
    </w:p>
    <w:bookmarkEnd w:id="17"/>
    <w:bookmarkStart w:id="19" w:name="X20365c189d6c53465428b4ecae82c92361d31ee"/>
    <w:p>
      <w:pPr>
        <w:pStyle w:val="Heading2"/>
      </w:pPr>
      <w:r>
        <w:t xml:space="preserve">4. Systems &amp; Services needs a cleaner growth signal</w:t>
      </w:r>
    </w:p>
    <w:p>
      <w:pPr>
        <w:pStyle w:val="FirstParagraph"/>
      </w:pPr>
      <w:r>
        <w:t xml:space="preserve">Q1 Systems &amp; Services revenue was</w:t>
      </w:r>
      <w:r>
        <w:t xml:space="preserve"> </w:t>
      </w:r>
      <w:r>
        <w:rPr>
          <w:b/>
          <w:bCs/>
        </w:rPr>
        <w:t xml:space="preserve">$184.1 million</w:t>
      </w:r>
      <w:r>
        <w:t xml:space="preserve">, up only 0.9% reported and down 12.1% sequentially. Currency contributed 3.8 percentage points to year-over-year growth, implying underlying weakness. Management attributed this partly to normal Q1 capital-equipment seasonality and a shift toward lower-priced PC configurations, leasing, rentals and certified pre-owned systems. (</w:t>
      </w:r>
      <w:hyperlink r:id="rId13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Q2 revenue is expected to improve sequentially. Investors should look beyond that easy seasonal hurdle and assess:</w:t>
      </w:r>
    </w:p>
    <w:p>
      <w:pPr>
        <w:pStyle w:val="Compact"/>
        <w:numPr>
          <w:ilvl w:val="0"/>
          <w:numId w:val="1005"/>
        </w:numPr>
      </w:pPr>
      <w:r>
        <w:t xml:space="preserve">Full iTero Lumina system placements</w:t>
      </w:r>
    </w:p>
    <w:p>
      <w:pPr>
        <w:pStyle w:val="Compact"/>
        <w:numPr>
          <w:ilvl w:val="0"/>
          <w:numId w:val="1005"/>
        </w:numPr>
      </w:pPr>
      <w:r>
        <w:t xml:space="preserve">Scanner placements with new doctors</w:t>
      </w:r>
    </w:p>
    <w:p>
      <w:pPr>
        <w:pStyle w:val="Compact"/>
        <w:numPr>
          <w:ilvl w:val="0"/>
          <w:numId w:val="1005"/>
        </w:numPr>
      </w:pPr>
      <w:r>
        <w:t xml:space="preserve">Wand upgrades versus complete systems</w:t>
      </w:r>
    </w:p>
    <w:p>
      <w:pPr>
        <w:pStyle w:val="Compact"/>
        <w:numPr>
          <w:ilvl w:val="0"/>
          <w:numId w:val="1005"/>
        </w:numPr>
      </w:pPr>
      <w:r>
        <w:t xml:space="preserve">Leasing and rental mix</w:t>
      </w:r>
    </w:p>
    <w:p>
      <w:pPr>
        <w:pStyle w:val="Compact"/>
        <w:numPr>
          <w:ilvl w:val="0"/>
          <w:numId w:val="1005"/>
        </w:numPr>
      </w:pPr>
      <w:r>
        <w:t xml:space="preserve">Service and software growth</w:t>
      </w:r>
    </w:p>
    <w:p>
      <w:pPr>
        <w:pStyle w:val="Compact"/>
        <w:numPr>
          <w:ilvl w:val="0"/>
          <w:numId w:val="1005"/>
        </w:numPr>
      </w:pPr>
      <w:r>
        <w:t xml:space="preserve">Systems gross margin</w:t>
      </w:r>
    </w:p>
    <w:p>
      <w:pPr>
        <w:pStyle w:val="Compact"/>
        <w:numPr>
          <w:ilvl w:val="0"/>
          <w:numId w:val="1005"/>
        </w:numPr>
      </w:pPr>
      <w:r>
        <w:t xml:space="preserve">Cross-selling between iTero, Invisalign and exocad</w:t>
      </w:r>
    </w:p>
    <w:p>
      <w:pPr>
        <w:pStyle w:val="FirstParagraph"/>
      </w:pPr>
      <w:r>
        <w:t xml:space="preserve">The most constructive signal would be growth in new-doctor placements and full systems, rather than a quarter dependent mainly on upgrades or lower-priced configurations.</w:t>
      </w:r>
    </w:p>
    <w:p>
      <w:pPr>
        <w:pStyle w:val="BodyText"/>
      </w:pPr>
      <w:r>
        <w:t xml:space="preserve">Align also introduced additional AI-enabled diagnostic, simulation and restorative-planning features shortly before earnings. These reinforce the strategic value of the integrated digital platform, but their near-term revenue impact is likely limited; management’s comments on adoption and monetization will matter more than the announcement itself. (</w:t>
      </w:r>
      <w:hyperlink r:id="rId18">
        <w:r>
          <w:rPr>
            <w:rStyle w:val="Hyperlink"/>
          </w:rPr>
          <w:t xml:space="preserve">businesswire.com</w:t>
        </w:r>
      </w:hyperlink>
      <w:r>
        <w:t xml:space="preserve">)</w:t>
      </w:r>
    </w:p>
    <w:bookmarkEnd w:id="19"/>
    <w:bookmarkStart w:id="21" w:name="Xc73dcd17c4d1517997bda6179b6334211713353"/>
    <w:p>
      <w:pPr>
        <w:pStyle w:val="Heading2"/>
      </w:pPr>
      <w:r>
        <w:t xml:space="preserve">5. Margins may matter more than the revenue beat</w:t>
      </w:r>
    </w:p>
    <w:p>
      <w:pPr>
        <w:pStyle w:val="FirstParagraph"/>
      </w:pPr>
      <w:r>
        <w:t xml:space="preserve">Q1’s non-GAAP operating margin of</w:t>
      </w:r>
      <w:r>
        <w:t xml:space="preserve"> </w:t>
      </w:r>
      <w:r>
        <w:rPr>
          <w:b/>
          <w:bCs/>
        </w:rPr>
        <w:t xml:space="preserve">21.5%</w:t>
      </w:r>
      <w:r>
        <w:t xml:space="preserve"> </w:t>
      </w:r>
      <w:r>
        <w:t xml:space="preserve">was roughly 200 basis points above the company’s initial outlook. Nevertheless, Q2 guidance calls for the same 21.5% margin despite higher expected sequential revenue. Management cited continued investment and a prudent approach toward macroeconomic and Middle East uncertainty. (</w:t>
      </w:r>
      <w:hyperlink r:id="rId20">
        <w:r>
          <w:rPr>
            <w:rStyle w:val="Hyperlink"/>
          </w:rPr>
          <w:t xml:space="preserve">investor.aligntech.com</w:t>
        </w:r>
      </w:hyperlink>
      <w:r>
        <w:t xml:space="preserve">)</w:t>
      </w:r>
    </w:p>
    <w:p>
      <w:pPr>
        <w:pStyle w:val="BodyText"/>
      </w:pPr>
      <w:r>
        <w:t xml:space="preserve">The bigger issue is the full-year target:</w:t>
      </w:r>
    </w:p>
    <w:p>
      <w:pPr>
        <w:pStyle w:val="Compact"/>
        <w:numPr>
          <w:ilvl w:val="0"/>
          <w:numId w:val="1006"/>
        </w:numPr>
      </w:pPr>
      <w:r>
        <w:t xml:space="preserve">GAAP operating margin slightly below 18%</w:t>
      </w:r>
    </w:p>
    <w:p>
      <w:pPr>
        <w:pStyle w:val="Compact"/>
        <w:numPr>
          <w:ilvl w:val="0"/>
          <w:numId w:val="1006"/>
        </w:numPr>
      </w:pPr>
      <w:r>
        <w:t xml:space="preserve">Non-GAAP operating margin approximately</w:t>
      </w:r>
      <w:r>
        <w:t xml:space="preserve"> </w:t>
      </w:r>
      <w:r>
        <w:rPr>
          <w:b/>
          <w:bCs/>
        </w:rPr>
        <w:t xml:space="preserve">23.7%</w:t>
      </w:r>
    </w:p>
    <w:p>
      <w:pPr>
        <w:pStyle w:val="Compact"/>
        <w:numPr>
          <w:ilvl w:val="0"/>
          <w:numId w:val="1006"/>
        </w:numPr>
      </w:pPr>
      <w:r>
        <w:t xml:space="preserve">Revenue growth of 3%–4%</w:t>
      </w:r>
    </w:p>
    <w:p>
      <w:pPr>
        <w:pStyle w:val="Compact"/>
        <w:numPr>
          <w:ilvl w:val="0"/>
          <w:numId w:val="1006"/>
        </w:numPr>
      </w:pPr>
      <w:r>
        <w:t xml:space="preserve">Mid-single-digit clear-aligner volume growth (</w:t>
      </w:r>
      <w:hyperlink r:id="rId20">
        <w:r>
          <w:rPr>
            <w:rStyle w:val="Hyperlink"/>
          </w:rPr>
          <w:t xml:space="preserve">investor.aligntech.com</w:t>
        </w:r>
      </w:hyperlink>
      <w:r>
        <w:t xml:space="preserve">)</w:t>
      </w:r>
    </w:p>
    <w:p>
      <w:pPr>
        <w:pStyle w:val="FirstParagraph"/>
      </w:pPr>
      <w:r>
        <w:t xml:space="preserve">Using the midpoint of Q2 revenue guidance and a 21.5% Q2 margin, the full-year target implies an approximate</w:t>
      </w:r>
      <w:r>
        <w:t xml:space="preserve"> </w:t>
      </w:r>
      <w:r>
        <w:rPr>
          <w:b/>
          <w:bCs/>
        </w:rPr>
        <w:t xml:space="preserve">26% non-GAAP operating margin during the second half</w:t>
      </w:r>
      <w:r>
        <w:t xml:space="preserve">. That is achievable given seasonal leverage and restructuring savings, but it is a demanding step-up.</w:t>
      </w:r>
    </w:p>
    <w:p>
      <w:pPr>
        <w:pStyle w:val="BodyText"/>
      </w:pPr>
      <w:r>
        <w:t xml:space="preserve">Investors should ask management to bridge the second-half expansion through:</w:t>
      </w:r>
    </w:p>
    <w:p>
      <w:pPr>
        <w:pStyle w:val="Compact"/>
        <w:numPr>
          <w:ilvl w:val="0"/>
          <w:numId w:val="1007"/>
        </w:numPr>
      </w:pPr>
      <w:r>
        <w:t xml:space="preserve">2025 restructuring savings</w:t>
      </w:r>
    </w:p>
    <w:p>
      <w:pPr>
        <w:pStyle w:val="Compact"/>
        <w:numPr>
          <w:ilvl w:val="0"/>
          <w:numId w:val="1007"/>
        </w:numPr>
      </w:pPr>
      <w:r>
        <w:t xml:space="preserve">Lower refinement rates</w:t>
      </w:r>
    </w:p>
    <w:p>
      <w:pPr>
        <w:pStyle w:val="Compact"/>
        <w:numPr>
          <w:ilvl w:val="0"/>
          <w:numId w:val="1007"/>
        </w:numPr>
      </w:pPr>
      <w:r>
        <w:t xml:space="preserve">Zero-AA product economics</w:t>
      </w:r>
    </w:p>
    <w:p>
      <w:pPr>
        <w:pStyle w:val="Compact"/>
        <w:numPr>
          <w:ilvl w:val="0"/>
          <w:numId w:val="1007"/>
        </w:numPr>
      </w:pPr>
      <w:r>
        <w:t xml:space="preserve">Manufacturing automation and throughput</w:t>
      </w:r>
    </w:p>
    <w:p>
      <w:pPr>
        <w:pStyle w:val="Compact"/>
        <w:numPr>
          <w:ilvl w:val="0"/>
          <w:numId w:val="1007"/>
        </w:numPr>
      </w:pPr>
      <w:r>
        <w:t xml:space="preserve">Marketing-spend discipline</w:t>
      </w:r>
    </w:p>
    <w:p>
      <w:pPr>
        <w:pStyle w:val="Compact"/>
        <w:numPr>
          <w:ilvl w:val="0"/>
          <w:numId w:val="1007"/>
        </w:numPr>
      </w:pPr>
      <w:r>
        <w:t xml:space="preserve">Direct-fabrication progress</w:t>
      </w:r>
    </w:p>
    <w:p>
      <w:pPr>
        <w:pStyle w:val="Compact"/>
        <w:numPr>
          <w:ilvl w:val="0"/>
          <w:numId w:val="1007"/>
        </w:numPr>
      </w:pPr>
      <w:r>
        <w:t xml:space="preserve">Product and geographic mix</w:t>
      </w:r>
    </w:p>
    <w:p>
      <w:pPr>
        <w:pStyle w:val="Compact"/>
        <w:numPr>
          <w:ilvl w:val="0"/>
          <w:numId w:val="1007"/>
        </w:numPr>
      </w:pPr>
      <w:r>
        <w:t xml:space="preserve">Q4 seasonality</w:t>
      </w:r>
    </w:p>
    <w:p>
      <w:pPr>
        <w:pStyle w:val="FirstParagraph"/>
      </w:pPr>
      <w:r>
        <w:t xml:space="preserve">A Q2 margin above 21.5% would improve confidence in the full-year target. A margin miss accompanied by an unchanged 23.7% target would make the second-half assumptions more difficult to underwrite.</w:t>
      </w:r>
    </w:p>
    <w:bookmarkEnd w:id="21"/>
    <w:bookmarkStart w:id="22" w:name="Xe6ea8a327b4fcb8e631a1a36b362e07fc5e46fa"/>
    <w:p>
      <w:pPr>
        <w:pStyle w:val="Heading2"/>
      </w:pPr>
      <w:r>
        <w:t xml:space="preserve">6. Full-year revenue guidance looks reasonably achievable</w:t>
      </w:r>
    </w:p>
    <w:p>
      <w:pPr>
        <w:pStyle w:val="FirstParagraph"/>
      </w:pPr>
      <w:r>
        <w:t xml:space="preserve">Align’s 2025 revenue was approximately</w:t>
      </w:r>
      <w:r>
        <w:t xml:space="preserve"> </w:t>
      </w:r>
      <m:oMath>
        <m:r>
          <m:t>4.035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c</m:t>
        </m:r>
        <m:r>
          <m:t>u</m:t>
        </m:r>
        <m:r>
          <m:t>r</m:t>
        </m:r>
        <m:r>
          <m:t>r</m:t>
        </m:r>
        <m:r>
          <m:t>e</m:t>
        </m:r>
        <m:r>
          <m:t>n</m:t>
        </m:r>
        <m:r>
          <m:t>t</m:t>
        </m:r>
        <m:r>
          <m:t>3</m:t>
        </m:r>
      </m:oMath>
      <w:r>
        <w:t xml:space="preserve">4.16 billion to $4.20 billion**.</w:t>
      </w:r>
    </w:p>
    <w:p>
      <w:pPr>
        <w:pStyle w:val="BodyText"/>
      </w:pPr>
      <w:r>
        <w:t xml:space="preserve">Assuming Q2 lands near $1.05 billion, the remaining second-half revenue requirement would imply only low-single-digit growth against the second half of 2025. That suggests management has room to absorb some combination of:</w:t>
      </w:r>
    </w:p>
    <w:p>
      <w:pPr>
        <w:pStyle w:val="Compact"/>
        <w:numPr>
          <w:ilvl w:val="0"/>
          <w:numId w:val="1008"/>
        </w:numPr>
      </w:pPr>
      <w:r>
        <w:t xml:space="preserve">Normal Q3 seasonality</w:t>
      </w:r>
    </w:p>
    <w:p>
      <w:pPr>
        <w:pStyle w:val="Compact"/>
        <w:numPr>
          <w:ilvl w:val="0"/>
          <w:numId w:val="1008"/>
        </w:numPr>
      </w:pPr>
      <w:r>
        <w:t xml:space="preserve">U.S. consumer weakness</w:t>
      </w:r>
    </w:p>
    <w:p>
      <w:pPr>
        <w:pStyle w:val="Compact"/>
        <w:numPr>
          <w:ilvl w:val="0"/>
          <w:numId w:val="1008"/>
        </w:numPr>
      </w:pPr>
      <w:r>
        <w:t xml:space="preserve">Lower ASPs</w:t>
      </w:r>
    </w:p>
    <w:p>
      <w:pPr>
        <w:pStyle w:val="Compact"/>
        <w:numPr>
          <w:ilvl w:val="0"/>
          <w:numId w:val="1008"/>
        </w:numPr>
      </w:pPr>
      <w:r>
        <w:t xml:space="preserve">Middle East disruption</w:t>
      </w:r>
    </w:p>
    <w:p>
      <w:pPr>
        <w:pStyle w:val="Compact"/>
        <w:numPr>
          <w:ilvl w:val="0"/>
          <w:numId w:val="1008"/>
        </w:numPr>
      </w:pPr>
      <w:r>
        <w:t xml:space="preserve">Slower scanner purchases</w:t>
      </w:r>
    </w:p>
    <w:p>
      <w:pPr>
        <w:pStyle w:val="FirstParagraph"/>
      </w:pPr>
      <w:r>
        <w:t xml:space="preserve">Therefore, a simple guidance reaffirmation would be credible but not especially bullish. A more meaningful positive would be either:</w:t>
      </w:r>
    </w:p>
    <w:p>
      <w:pPr>
        <w:pStyle w:val="Compact"/>
        <w:numPr>
          <w:ilvl w:val="0"/>
          <w:numId w:val="1009"/>
        </w:numPr>
      </w:pPr>
      <w:r>
        <w:t xml:space="preserve">A higher revenue range,</w:t>
      </w:r>
    </w:p>
    <w:p>
      <w:pPr>
        <w:pStyle w:val="Compact"/>
        <w:numPr>
          <w:ilvl w:val="0"/>
          <w:numId w:val="1009"/>
        </w:numPr>
      </w:pPr>
      <w:r>
        <w:t xml:space="preserve">An increase in expected clear-aligner volume growth, or</w:t>
      </w:r>
    </w:p>
    <w:p>
      <w:pPr>
        <w:pStyle w:val="Compact"/>
        <w:numPr>
          <w:ilvl w:val="0"/>
          <w:numId w:val="1009"/>
        </w:numPr>
      </w:pPr>
      <w:r>
        <w:t xml:space="preserve">An explicit indication that North American trends have improved.</w:t>
      </w:r>
    </w:p>
    <w:bookmarkEnd w:id="22"/>
    <w:bookmarkStart w:id="27" w:name="additional-items-to-watch"/>
    <w:p>
      <w:pPr>
        <w:pStyle w:val="Heading2"/>
      </w:pPr>
      <w:r>
        <w:t xml:space="preserve">Additional items to watch</w:t>
      </w:r>
    </w:p>
    <w:bookmarkStart w:id="23" w:name="share-repurchases"/>
    <w:p>
      <w:pPr>
        <w:pStyle w:val="Heading3"/>
      </w:pPr>
      <w:r>
        <w:t xml:space="preserve">Share repurchases</w:t>
      </w:r>
    </w:p>
    <w:p>
      <w:pPr>
        <w:pStyle w:val="FirstParagraph"/>
      </w:pPr>
      <w:r>
        <w:t xml:space="preserve">Align entered Q2 with more than</w:t>
      </w:r>
      <w:r>
        <w:t xml:space="preserve"> </w:t>
      </w:r>
      <m:oMath>
        <m:r>
          <m:t>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n</m:t>
        </m:r>
        <m:r>
          <m:t>d</m:t>
        </m:r>
        <m:r>
          <m:t>p</m:t>
        </m:r>
        <m:r>
          <m:t>l</m:t>
        </m:r>
        <m:r>
          <m:t>a</m:t>
        </m:r>
        <m:r>
          <m:t>n</m:t>
        </m:r>
        <m:r>
          <m:t>n</m:t>
        </m:r>
        <m:r>
          <m:t>e</m:t>
        </m:r>
        <m:r>
          <m:t>d</m:t>
        </m:r>
        <m:r>
          <m:t>t</m:t>
        </m:r>
        <m:r>
          <m:t>o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u</m:t>
        </m:r>
        <m:r>
          <m:t>p</m:t>
        </m:r>
        <m:r>
          <m:t>t</m:t>
        </m:r>
        <m:r>
          <m:t>o</m:t>
        </m:r>
        <m:r>
          <m:t>a</m:t>
        </m:r>
        <m:r>
          <m:t>n</m:t>
        </m:r>
        <m:r>
          <m:t>a</m:t>
        </m:r>
        <m:r>
          <m:t>d</m:t>
        </m:r>
        <m:r>
          <m:t>d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l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200 million** over six months beginning around May 1. Investors should look for the amount completed, average purchase price and management’s remaining U.S. cash flexibility. (</w:t>
      </w:r>
      <w:hyperlink r:id="rId13">
        <w:r>
          <w:rPr>
            <w:rStyle w:val="Hyperlink"/>
          </w:rPr>
          <w:t xml:space="preserve">sec.gov</w:t>
        </w:r>
      </w:hyperlink>
      <w:r>
        <w:t xml:space="preserve">)</w:t>
      </w:r>
    </w:p>
    <w:bookmarkEnd w:id="23"/>
    <w:bookmarkStart w:id="25" w:name="european-commission-investigation"/>
    <w:p>
      <w:pPr>
        <w:pStyle w:val="Heading3"/>
      </w:pPr>
      <w:r>
        <w:t xml:space="preserve">European Commission investigation</w:t>
      </w:r>
    </w:p>
    <w:p>
      <w:pPr>
        <w:pStyle w:val="FirstParagraph"/>
      </w:pPr>
      <w:r>
        <w:t xml:space="preserve">The European Commission opened an investigation concerning Align’s scanner and scan-acceptance policies following a competitor complaint. Align disputes any suggestion of wrongdoing and notes that opening an investigation is procedural rather than a finding on the merits. This is unlikely to affect Q2 numbers materially, but management may face questions regarding potential remedies, legal costs and whether the matter could affect iTero/Invisalign integration in Europe. (</w:t>
      </w:r>
      <w:hyperlink r:id="rId24">
        <w:r>
          <w:rPr>
            <w:rStyle w:val="Hyperlink"/>
          </w:rPr>
          <w:t xml:space="preserve">businesswire.com</w:t>
        </w:r>
      </w:hyperlink>
      <w:r>
        <w:t xml:space="preserve">)</w:t>
      </w:r>
    </w:p>
    <w:bookmarkEnd w:id="25"/>
    <w:bookmarkStart w:id="26" w:name="capital-allocation-and-leadership"/>
    <w:p>
      <w:pPr>
        <w:pStyle w:val="Heading3"/>
      </w:pPr>
      <w:r>
        <w:t xml:space="preserve">Capital allocation and leadership</w:t>
      </w:r>
    </w:p>
    <w:p>
      <w:pPr>
        <w:pStyle w:val="FirstParagraph"/>
      </w:pPr>
      <w:r>
        <w:t xml:space="preserve">The recent board-chair transition is unlikely to affect the quarter, but investors may watch for changes in strategic or capital-allocation priorities under new Chairman Kevin Conroy.</w:t>
      </w:r>
    </w:p>
    <w:bookmarkEnd w:id="26"/>
    <w:bookmarkEnd w:id="27"/>
    <w:bookmarkStart w:id="31" w:name="scenario-framework"/>
    <w:p>
      <w:pPr>
        <w:pStyle w:val="Heading2"/>
      </w:pPr>
      <w:r>
        <w:t xml:space="preserve">Scenario framework</w:t>
      </w:r>
    </w:p>
    <w:bookmarkStart w:id="28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Revenue above $1.06 billion</w:t>
      </w:r>
    </w:p>
    <w:p>
      <w:pPr>
        <w:pStyle w:val="Compact"/>
        <w:numPr>
          <w:ilvl w:val="0"/>
          <w:numId w:val="1010"/>
        </w:numPr>
      </w:pPr>
      <w:r>
        <w:t xml:space="preserve">Shipments near or above 700 thousand</w:t>
      </w:r>
    </w:p>
    <w:p>
      <w:pPr>
        <w:pStyle w:val="Compact"/>
        <w:numPr>
          <w:ilvl w:val="0"/>
          <w:numId w:val="1010"/>
        </w:numPr>
      </w:pPr>
      <w:r>
        <w:t xml:space="preserve">North America returns to growth</w:t>
      </w:r>
    </w:p>
    <w:p>
      <w:pPr>
        <w:pStyle w:val="Compact"/>
        <w:numPr>
          <w:ilvl w:val="0"/>
          <w:numId w:val="1010"/>
        </w:numPr>
      </w:pPr>
      <w:r>
        <w:t xml:space="preserve">Systems revenue recovers with strong full-system placements</w:t>
      </w:r>
    </w:p>
    <w:p>
      <w:pPr>
        <w:pStyle w:val="Compact"/>
        <w:numPr>
          <w:ilvl w:val="0"/>
          <w:numId w:val="1010"/>
        </w:numPr>
      </w:pPr>
      <w:r>
        <w:t xml:space="preserve">Non-GAAP margin exceeds 21.5%</w:t>
      </w:r>
    </w:p>
    <w:p>
      <w:pPr>
        <w:pStyle w:val="Compact"/>
        <w:numPr>
          <w:ilvl w:val="0"/>
          <w:numId w:val="1010"/>
        </w:numPr>
      </w:pPr>
      <w:r>
        <w:t xml:space="preserve">Full-year guidance raised or management signals performance toward the upper end</w:t>
      </w:r>
    </w:p>
    <w:bookmarkEnd w:id="28"/>
    <w:bookmarkStart w:id="29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Revenue of approximately $1.05 billion</w:t>
      </w:r>
    </w:p>
    <w:p>
      <w:pPr>
        <w:pStyle w:val="Compact"/>
        <w:numPr>
          <w:ilvl w:val="0"/>
          <w:numId w:val="1011"/>
        </w:numPr>
      </w:pPr>
      <w:r>
        <w:t xml:space="preserve">Shipments modestly above Q1</w:t>
      </w:r>
    </w:p>
    <w:p>
      <w:pPr>
        <w:pStyle w:val="Compact"/>
        <w:numPr>
          <w:ilvl w:val="0"/>
          <w:numId w:val="1011"/>
        </w:numPr>
      </w:pPr>
      <w:r>
        <w:t xml:space="preserve">International growth remains strong; North America stable</w:t>
      </w:r>
    </w:p>
    <w:p>
      <w:pPr>
        <w:pStyle w:val="Compact"/>
        <w:numPr>
          <w:ilvl w:val="0"/>
          <w:numId w:val="1011"/>
        </w:numPr>
      </w:pPr>
      <w:r>
        <w:t xml:space="preserve">Systems improve sequentially</w:t>
      </w:r>
    </w:p>
    <w:p>
      <w:pPr>
        <w:pStyle w:val="Compact"/>
        <w:numPr>
          <w:ilvl w:val="0"/>
          <w:numId w:val="1011"/>
        </w:numPr>
      </w:pPr>
      <w:r>
        <w:t xml:space="preserve">Margins approximately in line</w:t>
      </w:r>
    </w:p>
    <w:p>
      <w:pPr>
        <w:pStyle w:val="Compact"/>
        <w:numPr>
          <w:ilvl w:val="0"/>
          <w:numId w:val="1011"/>
        </w:numPr>
      </w:pPr>
      <w:r>
        <w:t xml:space="preserve">Full-year guidance reaffirmed</w:t>
      </w:r>
    </w:p>
    <w:bookmarkEnd w:id="29"/>
    <w:bookmarkStart w:id="30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Revenue below $1.04 billion</w:t>
      </w:r>
    </w:p>
    <w:p>
      <w:pPr>
        <w:pStyle w:val="Compact"/>
        <w:numPr>
          <w:ilvl w:val="0"/>
          <w:numId w:val="1012"/>
        </w:numPr>
      </w:pPr>
      <w:r>
        <w:t xml:space="preserve">Clear-aligner shipments fail to increase sequentially</w:t>
      </w:r>
    </w:p>
    <w:p>
      <w:pPr>
        <w:pStyle w:val="Compact"/>
        <w:numPr>
          <w:ilvl w:val="0"/>
          <w:numId w:val="1012"/>
        </w:numPr>
      </w:pPr>
      <w:r>
        <w:t xml:space="preserve">U.S. case conversion deteriorates</w:t>
      </w:r>
    </w:p>
    <w:p>
      <w:pPr>
        <w:pStyle w:val="Compact"/>
        <w:numPr>
          <w:ilvl w:val="0"/>
          <w:numId w:val="1012"/>
        </w:numPr>
      </w:pPr>
      <w:r>
        <w:t xml:space="preserve">Scanner recovery depends mainly on lower-priced offerings</w:t>
      </w:r>
    </w:p>
    <w:p>
      <w:pPr>
        <w:pStyle w:val="Compact"/>
        <w:numPr>
          <w:ilvl w:val="0"/>
          <w:numId w:val="1012"/>
        </w:numPr>
      </w:pPr>
      <w:r>
        <w:t xml:space="preserve">Non-GAAP margin falls below 21%</w:t>
      </w:r>
    </w:p>
    <w:p>
      <w:pPr>
        <w:pStyle w:val="Compact"/>
        <w:numPr>
          <w:ilvl w:val="0"/>
          <w:numId w:val="1012"/>
        </w:numPr>
      </w:pPr>
      <w:r>
        <w:t xml:space="preserve">Management reduces revenue, volume or margin guidance</w:t>
      </w:r>
    </w:p>
    <w:bookmarkEnd w:id="30"/>
    <w:bookmarkEnd w:id="31"/>
    <w:bookmarkStart w:id="3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bar for an acceptable Q2 is straightforward:</w:t>
      </w:r>
      <w:r>
        <w:t xml:space="preserve"> </w:t>
      </w:r>
      <w:r>
        <w:rPr>
          <w:b/>
          <w:bCs/>
        </w:rPr>
        <w:t xml:space="preserve">revenue around $1.05 billion, clear-aligner volume above Q1, sequential Systems improvement, a 21.5% non-GAAP margin and maintained full-year guidance</w:t>
      </w:r>
      <w:r>
        <w:t xml:space="preserve">.</w:t>
      </w:r>
    </w:p>
    <w:p>
      <w:pPr>
        <w:pStyle w:val="BodyText"/>
      </w:pPr>
      <w:r>
        <w:t xml:space="preserve">But the stock’s longer-term direction will depend on more than meeting those targets. Investors need evidence that:</w:t>
      </w:r>
    </w:p>
    <w:p>
      <w:pPr>
        <w:pStyle w:val="Compact"/>
        <w:numPr>
          <w:ilvl w:val="0"/>
          <w:numId w:val="1013"/>
        </w:numPr>
      </w:pPr>
      <w:r>
        <w:t xml:space="preserve">North America is stabilizing for the right reasons,</w:t>
      </w:r>
    </w:p>
    <w:p>
      <w:pPr>
        <w:pStyle w:val="Compact"/>
        <w:numPr>
          <w:ilvl w:val="0"/>
          <w:numId w:val="1013"/>
        </w:numPr>
      </w:pPr>
      <w:r>
        <w:t xml:space="preserve">Volume growth is broad rather than concentrated in discounted products,</w:t>
      </w:r>
    </w:p>
    <w:p>
      <w:pPr>
        <w:pStyle w:val="Compact"/>
        <w:numPr>
          <w:ilvl w:val="0"/>
          <w:numId w:val="1013"/>
        </w:numPr>
      </w:pPr>
      <w:r>
        <w:t xml:space="preserve">Lower-priced offerings are genuinely margin-accretive,</w:t>
      </w:r>
    </w:p>
    <w:p>
      <w:pPr>
        <w:pStyle w:val="Compact"/>
        <w:numPr>
          <w:ilvl w:val="0"/>
          <w:numId w:val="1013"/>
        </w:numPr>
      </w:pPr>
      <w:r>
        <w:t xml:space="preserve">Scanner growth is creating new platform users, and</w:t>
      </w:r>
    </w:p>
    <w:p>
      <w:pPr>
        <w:pStyle w:val="Compact"/>
        <w:numPr>
          <w:ilvl w:val="0"/>
          <w:numId w:val="1013"/>
        </w:numPr>
      </w:pPr>
      <w:r>
        <w:t xml:space="preserve">The company can produce the significant second-half operating leverage embedded in its 23.7% full-year margin target.</w:t>
      </w:r>
    </w:p>
    <w:p>
      <w:pPr>
        <w:pStyle w:val="FirstParagraph"/>
      </w:pPr>
      <w:r>
        <w:t xml:space="preserve">A modest numerical beat without improved U.S. commentary or a credible margin bridge may not be enough. Conversely, evidence of positive North American growth and continued cost leverage could materially strengthen the recovery thesis.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or.aligntech.com/news-releases/news-release-details/align-technology-announce-second-quarter-2026-results-july-29/?utm_source=openai" TargetMode="External" /><Relationship Type="http://schemas.openxmlformats.org/officeDocument/2006/relationships/hyperlink" Id="rId14" Target="https://investor.aligntech.com/news-releases/news-release-details/align-technology-announces-second-quarter-2025-financial-results/?utm_source=openai" TargetMode="External" /><Relationship Type="http://schemas.openxmlformats.org/officeDocument/2006/relationships/hyperlink" Id="rId20" Target="https://investor.aligntech.com/static-files/a15fadce-cc2f-4435-9754-b1f560f3baa2" TargetMode="External" /><Relationship Type="http://schemas.openxmlformats.org/officeDocument/2006/relationships/hyperlink" Id="rId11" Target="https://www.benzinga.com/quote/ALGN/earnings" TargetMode="External" /><Relationship Type="http://schemas.openxmlformats.org/officeDocument/2006/relationships/hyperlink" Id="rId24" Target="https://www.businesswire.com/news/home/20260630727149/en/Align-Technology-Statement-on-European-Commission-Proceeding" TargetMode="External" /><Relationship Type="http://schemas.openxmlformats.org/officeDocument/2006/relationships/hyperlink" Id="rId18" Target="https://www.businesswire.com/news/home/20260723069949/en/align-technology-announces-new-innovations-to-advance-invisalign%C2%AE-treatment-planning-and-enhance-patient-engagement-through-its-integrated-align%E2%84%A2-digital-platform/" TargetMode="External" /><Relationship Type="http://schemas.openxmlformats.org/officeDocument/2006/relationships/hyperlink" Id="rId13" Target="https://www.sec.gov/Archives/edgar/data/1097149/000109714926000033/algn-q126earningspressrele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or.aligntech.com/news-releases/news-release-details/align-technology-announce-second-quarter-2026-results-july-29/?utm_source=openai" TargetMode="External" /><Relationship Type="http://schemas.openxmlformats.org/officeDocument/2006/relationships/hyperlink" Id="rId14" Target="https://investor.aligntech.com/news-releases/news-release-details/align-technology-announces-second-quarter-2025-financial-results/?utm_source=openai" TargetMode="External" /><Relationship Type="http://schemas.openxmlformats.org/officeDocument/2006/relationships/hyperlink" Id="rId20" Target="https://investor.aligntech.com/static-files/a15fadce-cc2f-4435-9754-b1f560f3baa2" TargetMode="External" /><Relationship Type="http://schemas.openxmlformats.org/officeDocument/2006/relationships/hyperlink" Id="rId11" Target="https://www.benzinga.com/quote/ALGN/earnings" TargetMode="External" /><Relationship Type="http://schemas.openxmlformats.org/officeDocument/2006/relationships/hyperlink" Id="rId24" Target="https://www.businesswire.com/news/home/20260630727149/en/Align-Technology-Statement-on-European-Commission-Proceeding" TargetMode="External" /><Relationship Type="http://schemas.openxmlformats.org/officeDocument/2006/relationships/hyperlink" Id="rId18" Target="https://www.businesswire.com/news/home/20260723069949/en/align-technology-announces-new-innovations-to-advance-invisalign%C2%AE-treatment-planning-and-enhance-patient-engagement-through-its-integrated-align%E2%84%A2-digital-platform/" TargetMode="External" /><Relationship Type="http://schemas.openxmlformats.org/officeDocument/2006/relationships/hyperlink" Id="rId13" Target="https://www.sec.gov/Archives/edgar/data/1097149/000109714926000033/algn-q126earningspressrele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2026-07-29T01:22:12Z</dcterms:created>
  <dcterms:modified xsi:type="dcterms:W3CDTF">2026-07-29T01:22:12Z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