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Align Technology (ALGN) — Q2 2026 Earnings Preview</w:t>
      </w:r>
    </w:p>
    <w:p>
      <w:r>
        <w:rPr>
          <w:rFonts w:ascii="Calibri" w:hAnsi="Calibri"/>
          <w:b/>
          <w:color w:val="525866"/>
          <w:sz w:val="22"/>
        </w:rPr>
        <w:t xml:space="preserve">Earnings Date: </w:t>
      </w:r>
      <w:r>
        <w:rPr>
          <w:rFonts w:ascii="Calibri" w:hAnsi="Calibri"/>
          <w:color w:val="525866"/>
          <w:sz w:val="22"/>
        </w:rPr>
        <w:t xml:space="preserve">July 29, 2026 (After Market Close)   </w:t>
      </w:r>
      <w:r>
        <w:rPr>
          <w:rFonts w:ascii="Calibri" w:hAnsi="Calibri"/>
          <w:b/>
          <w:color w:val="525866"/>
          <w:sz w:val="22"/>
        </w:rPr>
        <w:t xml:space="preserve">Prepared: </w:t>
      </w:r>
      <w:r>
        <w:rPr>
          <w:rFonts w:ascii="Calibri" w:hAnsi="Calibri"/>
          <w:color w:val="525866"/>
          <w:sz w:val="22"/>
        </w:rPr>
        <w:t xml:space="preserve">July 28, 2026   </w:t>
      </w:r>
      <w:r>
        <w:rPr>
          <w:rFonts w:ascii="Calibri" w:hAnsi="Calibri"/>
          <w:b/>
          <w:color w:val="525866"/>
          <w:sz w:val="22"/>
        </w:rPr>
        <w:t xml:space="preserve">Reporting Period: </w:t>
      </w:r>
      <w:r>
        <w:rPr>
          <w:rFonts w:ascii="Calibri" w:hAnsi="Calibri"/>
          <w:color w:val="525866"/>
          <w:sz w:val="22"/>
        </w:rPr>
        <w:t>Q2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modestly constructive — consensus is a manageable bar given deliberate conservatism baked into guidance, but the single biggest swing factor is whether </w:t>
      </w:r>
      <w:r>
        <w:rPr>
          <w:rFonts w:ascii="Calibri" w:hAnsi="Calibri"/>
          <w:b/>
          <w:color w:val="525866"/>
          <w:sz w:val="22"/>
        </w:rPr>
        <w:t>North America retail patient traffic</w:t>
      </w:r>
      <w:r>
        <w:rPr>
          <w:rFonts w:ascii="Calibri" w:hAnsi="Calibri"/>
          <w:color w:val="525866"/>
          <w:sz w:val="22"/>
        </w:rPr>
        <w:t xml:space="preserve"> showed any sequential improvement or continued to drag.</w:t>
      </w:r>
    </w:p>
    <w:p>
      <w:r>
        <w:rPr>
          <w:rFonts w:ascii="Calibri" w:hAnsi="Calibri"/>
          <w:color w:val="525866"/>
          <w:sz w:val="22"/>
        </w:rPr>
        <w:t xml:space="preserve">Heading into Q2 2026, the bar for ALGN looks achievable: management guided revenue of $1.04–$1.06B (+3–5% YoY) and non-GAAP operating margin of ~21.5%, with the CFO explicitly flagging at the Goldman Sachs Healthcare Conference (June 8) that the guidance midpoint implies only ~1% sequential revenue growth versus a typical seasonal step-up of ~3%+, reflecting </w:t>
      </w:r>
      <w:r>
        <w:rPr>
          <w:rFonts w:ascii="Calibri" w:hAnsi="Calibri"/>
          <w:b/>
          <w:color w:val="525866"/>
          <w:sz w:val="22"/>
        </w:rPr>
        <w:t>deliberate conservatism around Middle East uncertainty</w:t>
      </w:r>
      <w:r>
        <w:rPr>
          <w:rFonts w:ascii="Calibri" w:hAnsi="Calibri"/>
          <w:color w:val="525866"/>
          <w:sz w:val="22"/>
        </w:rPr>
        <w:t xml:space="preserve"> rather than any observed demand deterioration. Management's posture has been cautiously confident — Q1 2026 delivered a clean beat-and-reaffirm with record Clear Aligner volumes and meaningful margin expansion, and the full-year 2026 guidance (revenue +3–4% YoY, non-GAAP operating margin ~23.7%) was reaffirmed without change. Estimate revisions since the Q1 print have been essentially flat — consensus Q2 revenue sits at ~$1.051B vs. the guidance midpoint of $1.050B, suggesting the Street is tracking guidance closely with minimal cushion or risk. The stock has underperformed the MedTech peer average by ~9 percentage points since the Q1 print (ALGN –1.6% vs. peer avg +7.5%), trading at a meaningful discount to historical multiples, which means the stock has not priced in a beat — a clean delivery on guidance or a modest upside surprise could be a positive catalyst. The key wildcard is </w:t>
      </w:r>
      <w:r>
        <w:rPr>
          <w:rFonts w:ascii="Calibri" w:hAnsi="Calibri"/>
          <w:b/>
          <w:color w:val="525866"/>
          <w:sz w:val="22"/>
        </w:rPr>
        <w:t>North America retail</w:t>
      </w:r>
      <w:r>
        <w:rPr>
          <w:rFonts w:ascii="Calibri" w:hAnsi="Calibri"/>
          <w:color w:val="525866"/>
          <w:sz w:val="22"/>
        </w:rPr>
        <w:t>: any signal of stabilization or improvement in patient traffic and case conversion would be the most meaningful positive read-through, while a further deterioration — particularly if linked to broader consumer sentiment softening from Middle East-driven inflation — would be the primary downside risk.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low-to-manageable bar</w:t>
      </w:r>
      <w:r>
        <w:rPr>
          <w:rFonts w:ascii="Calibri" w:hAnsi="Calibri"/>
          <w:color w:val="525866"/>
          <w:sz w:val="22"/>
        </w:rPr>
        <w:t xml:space="preserve"> heading into Q2 — guidance was set conservatively and the Street is tracking near the midpoint. </w:t>
      </w:r>
      <w:r>
        <w:rPr>
          <w:rFonts w:ascii="Calibri" w:hAnsi="Calibri"/>
          <w:b/>
          <w:color w:val="525866"/>
          <w:sz w:val="22"/>
        </w:rPr>
        <w:t>Clear Aligner volume</w:t>
      </w:r>
      <w:r>
        <w:rPr>
          <w:rFonts w:ascii="Calibri" w:hAnsi="Calibri"/>
          <w:color w:val="525866"/>
          <w:sz w:val="22"/>
        </w:rPr>
        <w:t xml:space="preserve"> is the bigger swing factor; ASP is expected flat and margin is well-telegraphed.</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 vs. Guidance Midpoint</w:t>
            </w:r>
          </w:p>
        </w:tc>
      </w:tr>
      <w:tr>
        <w:tc>
          <w:tcPr>
            <w:tcW w:type="dxa" w:w="1234"/>
          </w:tcPr>
          <w:p>
            <w:r>
              <w:rPr>
                <w:rFonts w:ascii="Calibri" w:hAnsi="Calibri"/>
                <w:sz w:val="22"/>
              </w:rPr>
              <w:t>Total Revenue ($M)</w:t>
            </w:r>
          </w:p>
        </w:tc>
        <w:tc>
          <w:tcPr>
            <w:tcW w:type="dxa" w:w="1234"/>
          </w:tcPr>
          <w:p>
            <w:r>
              <w:rPr>
                <w:rFonts w:ascii="Calibri" w:hAnsi="Calibri"/>
                <w:sz w:val="22"/>
              </w:rPr>
              <w:t>$1,040.1</w:t>
            </w:r>
          </w:p>
        </w:tc>
        <w:tc>
          <w:tcPr>
            <w:tcW w:type="dxa" w:w="1234"/>
          </w:tcPr>
          <w:p>
            <w:r>
              <w:rPr>
                <w:rFonts w:ascii="Calibri" w:hAnsi="Calibri"/>
                <w:sz w:val="22"/>
              </w:rPr>
              <w:t>$1,012.5</w:t>
            </w:r>
          </w:p>
        </w:tc>
        <w:tc>
          <w:tcPr>
            <w:tcW w:type="dxa" w:w="1234"/>
          </w:tcPr>
          <w:p>
            <w:r>
              <w:rPr>
                <w:rFonts w:ascii="Calibri" w:hAnsi="Calibri"/>
                <w:sz w:val="22"/>
              </w:rPr>
              <w:t>$1,051.3</w:t>
            </w:r>
          </w:p>
        </w:tc>
        <w:tc>
          <w:tcPr>
            <w:tcW w:type="dxa" w:w="1234"/>
          </w:tcPr>
          <w:p>
            <w:r>
              <w:rPr>
                <w:rFonts w:ascii="Calibri" w:hAnsi="Calibri"/>
                <w:sz w:val="22"/>
              </w:rPr>
              <w:t>+3.8%</w:t>
            </w:r>
          </w:p>
        </w:tc>
        <w:tc>
          <w:tcPr>
            <w:tcW w:type="dxa" w:w="1234"/>
          </w:tcPr>
          <w:p>
            <w:r>
              <w:rPr>
                <w:rFonts w:ascii="Calibri" w:hAnsi="Calibri"/>
                <w:sz w:val="22"/>
              </w:rPr>
              <w:t>$1,040–$1,060M</w:t>
            </w:r>
          </w:p>
        </w:tc>
        <w:tc>
          <w:tcPr>
            <w:tcW w:type="dxa" w:w="1234"/>
          </w:tcPr>
          <w:p>
            <w:r>
              <w:rPr>
                <w:rFonts w:ascii="Calibri" w:hAnsi="Calibri"/>
                <w:sz w:val="22"/>
              </w:rPr>
              <w:t>+0.1% vs. $1,050M mid</w:t>
            </w:r>
          </w:p>
        </w:tc>
      </w:tr>
      <w:tr>
        <w:tc>
          <w:tcPr>
            <w:tcW w:type="dxa" w:w="1234"/>
          </w:tcPr>
          <w:p>
            <w:r>
              <w:rPr>
                <w:rFonts w:ascii="Calibri" w:hAnsi="Calibri"/>
                <w:sz w:val="22"/>
              </w:rPr>
              <w:t>Clear Aligner Revenue ($M)</w:t>
            </w:r>
          </w:p>
        </w:tc>
        <w:tc>
          <w:tcPr>
            <w:tcW w:type="dxa" w:w="1234"/>
          </w:tcPr>
          <w:p>
            <w:r>
              <w:rPr>
                <w:rFonts w:ascii="Calibri" w:hAnsi="Calibri"/>
                <w:sz w:val="22"/>
              </w:rPr>
              <w:t>$856.0</w:t>
            </w:r>
          </w:p>
        </w:tc>
        <w:tc>
          <w:tcPr>
            <w:tcW w:type="dxa" w:w="1234"/>
          </w:tcPr>
          <w:p>
            <w:r>
              <w:rPr>
                <w:rFonts w:ascii="Calibri" w:hAnsi="Calibri"/>
                <w:sz w:val="22"/>
              </w:rPr>
              <w:t>$804.6</w:t>
            </w:r>
          </w:p>
        </w:tc>
        <w:tc>
          <w:tcPr>
            <w:tcW w:type="dxa" w:w="1234"/>
          </w:tcPr>
          <w:p>
            <w:r>
              <w:rPr>
                <w:rFonts w:ascii="Calibri" w:hAnsi="Calibri"/>
                <w:sz w:val="22"/>
              </w:rPr>
              <w:t>$854.5</w:t>
            </w:r>
          </w:p>
        </w:tc>
        <w:tc>
          <w:tcPr>
            <w:tcW w:type="dxa" w:w="1234"/>
          </w:tcPr>
          <w:p>
            <w:r>
              <w:rPr>
                <w:rFonts w:ascii="Calibri" w:hAnsi="Calibri"/>
                <w:sz w:val="22"/>
              </w:rPr>
              <w:t>+6.2%</w:t>
            </w:r>
          </w:p>
        </w:tc>
        <w:tc>
          <w:tcPr>
            <w:tcW w:type="dxa" w:w="1234"/>
          </w:tcPr>
          <w:p>
            <w:r>
              <w:rPr>
                <w:rFonts w:ascii="Calibri" w:hAnsi="Calibri"/>
                <w:sz w:val="22"/>
              </w:rPr>
              <w:t>Up YoY (no $ range)</w:t>
            </w:r>
          </w:p>
        </w:tc>
        <w:tc>
          <w:tcPr>
            <w:tcW w:type="dxa" w:w="1234"/>
          </w:tcPr>
          <w:p>
            <w:r>
              <w:rPr>
                <w:rFonts w:ascii="Calibri" w:hAnsi="Calibri"/>
                <w:sz w:val="22"/>
              </w:rPr>
              <w:t>N/A — volume/ASP guided, not $ segment</w:t>
            </w:r>
          </w:p>
        </w:tc>
      </w:tr>
      <w:tr>
        <w:tc>
          <w:tcPr>
            <w:tcW w:type="dxa" w:w="1234"/>
          </w:tcPr>
          <w:p>
            <w:r>
              <w:rPr>
                <w:rFonts w:ascii="Calibri" w:hAnsi="Calibri"/>
                <w:sz w:val="22"/>
              </w:rPr>
              <w:t>Systems &amp; Services Revenue ($M)</w:t>
            </w:r>
          </w:p>
        </w:tc>
        <w:tc>
          <w:tcPr>
            <w:tcW w:type="dxa" w:w="1234"/>
          </w:tcPr>
          <w:p>
            <w:r>
              <w:rPr>
                <w:rFonts w:ascii="Calibri" w:hAnsi="Calibri"/>
                <w:sz w:val="22"/>
              </w:rPr>
              <w:t>$184.1</w:t>
            </w:r>
          </w:p>
        </w:tc>
        <w:tc>
          <w:tcPr>
            <w:tcW w:type="dxa" w:w="1234"/>
          </w:tcPr>
          <w:p>
            <w:r>
              <w:rPr>
                <w:rFonts w:ascii="Calibri" w:hAnsi="Calibri"/>
                <w:sz w:val="22"/>
              </w:rPr>
              <w:t>$207.8</w:t>
            </w:r>
          </w:p>
        </w:tc>
        <w:tc>
          <w:tcPr>
            <w:tcW w:type="dxa" w:w="1234"/>
          </w:tcPr>
          <w:p>
            <w:r>
              <w:rPr>
                <w:rFonts w:ascii="Calibri" w:hAnsi="Calibri"/>
                <w:sz w:val="22"/>
              </w:rPr>
              <w:t>$196.8</w:t>
            </w:r>
          </w:p>
        </w:tc>
        <w:tc>
          <w:tcPr>
            <w:tcW w:type="dxa" w:w="1234"/>
          </w:tcPr>
          <w:p>
            <w:r>
              <w:rPr>
                <w:rFonts w:ascii="Calibri" w:hAnsi="Calibri"/>
                <w:sz w:val="22"/>
              </w:rPr>
              <w:t>−5.3%</w:t>
            </w:r>
          </w:p>
        </w:tc>
        <w:tc>
          <w:tcPr>
            <w:tcW w:type="dxa" w:w="1234"/>
          </w:tcPr>
          <w:p>
            <w:r>
              <w:rPr>
                <w:rFonts w:ascii="Calibri" w:hAnsi="Calibri"/>
                <w:sz w:val="22"/>
              </w:rPr>
              <w:t>Up sequentially</w:t>
            </w:r>
          </w:p>
        </w:tc>
        <w:tc>
          <w:tcPr>
            <w:tcW w:type="dxa" w:w="1234"/>
          </w:tcPr>
          <w:p>
            <w:r>
              <w:rPr>
                <w:rFonts w:ascii="Calibri" w:hAnsi="Calibri"/>
                <w:sz w:val="22"/>
              </w:rPr>
              <w:t>N/A — directional only</w:t>
            </w:r>
          </w:p>
        </w:tc>
      </w:tr>
      <w:tr>
        <w:tc>
          <w:tcPr>
            <w:tcW w:type="dxa" w:w="1234"/>
          </w:tcPr>
          <w:p>
            <w:r>
              <w:rPr>
                <w:rFonts w:ascii="Calibri" w:hAnsi="Calibri"/>
                <w:sz w:val="22"/>
              </w:rPr>
              <w:t>Clear Aligner Cases Shipped (#)</w:t>
            </w:r>
          </w:p>
        </w:tc>
        <w:tc>
          <w:tcPr>
            <w:tcW w:type="dxa" w:w="1234"/>
          </w:tcPr>
          <w:p>
            <w:r>
              <w:rPr>
                <w:rFonts w:ascii="Calibri" w:hAnsi="Calibri"/>
                <w:sz w:val="22"/>
              </w:rPr>
              <w:t>685,650</w:t>
            </w:r>
          </w:p>
        </w:tc>
        <w:tc>
          <w:tcPr>
            <w:tcW w:type="dxa" w:w="1234"/>
          </w:tcPr>
          <w:p>
            <w:r>
              <w:rPr>
                <w:rFonts w:ascii="Calibri" w:hAnsi="Calibri"/>
                <w:sz w:val="22"/>
              </w:rPr>
              <w:t>644,370</w:t>
            </w:r>
          </w:p>
        </w:tc>
        <w:tc>
          <w:tcPr>
            <w:tcW w:type="dxa" w:w="1234"/>
          </w:tcPr>
          <w:p>
            <w:r>
              <w:rPr>
                <w:rFonts w:ascii="Calibri" w:hAnsi="Calibri"/>
                <w:sz w:val="22"/>
              </w:rPr>
              <w:t>683,201</w:t>
            </w:r>
          </w:p>
        </w:tc>
        <w:tc>
          <w:tcPr>
            <w:tcW w:type="dxa" w:w="1234"/>
          </w:tcPr>
          <w:p>
            <w:r>
              <w:rPr>
                <w:rFonts w:ascii="Calibri" w:hAnsi="Calibri"/>
                <w:sz w:val="22"/>
              </w:rPr>
              <w:t>+6.0%</w:t>
            </w:r>
          </w:p>
        </w:tc>
        <w:tc>
          <w:tcPr>
            <w:tcW w:type="dxa" w:w="1234"/>
          </w:tcPr>
          <w:p>
            <w:r>
              <w:rPr>
                <w:rFonts w:ascii="Calibri" w:hAnsi="Calibri"/>
                <w:sz w:val="22"/>
              </w:rPr>
              <w:t>Up seq. &amp; YoY</w:t>
            </w:r>
          </w:p>
        </w:tc>
        <w:tc>
          <w:tcPr>
            <w:tcW w:type="dxa" w:w="1234"/>
          </w:tcPr>
          <w:p>
            <w:r>
              <w:rPr>
                <w:rFonts w:ascii="Calibri" w:hAnsi="Calibri"/>
                <w:sz w:val="22"/>
              </w:rPr>
              <w:t>−0.4% vs. guidance direction</w:t>
            </w:r>
          </w:p>
        </w:tc>
      </w:tr>
      <w:tr>
        <w:tc>
          <w:tcPr>
            <w:tcW w:type="dxa" w:w="1234"/>
          </w:tcPr>
          <w:p>
            <w:r>
              <w:rPr>
                <w:rFonts w:ascii="Calibri" w:hAnsi="Calibri"/>
                <w:sz w:val="22"/>
              </w:rPr>
              <w:t>Clear Aligner ASP ($/case)</w:t>
            </w:r>
          </w:p>
        </w:tc>
        <w:tc>
          <w:tcPr>
            <w:tcW w:type="dxa" w:w="1234"/>
          </w:tcPr>
          <w:p>
            <w:r>
              <w:rPr>
                <w:rFonts w:ascii="Calibri" w:hAnsi="Calibri"/>
                <w:sz w:val="22"/>
              </w:rPr>
              <w:t>$1,250</w:t>
            </w:r>
          </w:p>
        </w:tc>
        <w:tc>
          <w:tcPr>
            <w:tcW w:type="dxa" w:w="1234"/>
          </w:tcPr>
          <w:p>
            <w:r>
              <w:rPr>
                <w:rFonts w:ascii="Calibri" w:hAnsi="Calibri"/>
                <w:sz w:val="22"/>
              </w:rPr>
              <w:t>$1,152</w:t>
            </w:r>
          </w:p>
        </w:tc>
        <w:tc>
          <w:tcPr>
            <w:tcW w:type="dxa" w:w="1234"/>
          </w:tcPr>
          <w:p>
            <w:r>
              <w:rPr>
                <w:rFonts w:ascii="Calibri" w:hAnsi="Calibri"/>
                <w:sz w:val="22"/>
              </w:rPr>
              <w:t>$1,157</w:t>
            </w:r>
          </w:p>
        </w:tc>
        <w:tc>
          <w:tcPr>
            <w:tcW w:type="dxa" w:w="1234"/>
          </w:tcPr>
          <w:p>
            <w:r>
              <w:rPr>
                <w:rFonts w:ascii="Calibri" w:hAnsi="Calibri"/>
                <w:sz w:val="22"/>
              </w:rPr>
              <w:t>+0.4%</w:t>
            </w:r>
          </w:p>
        </w:tc>
        <w:tc>
          <w:tcPr>
            <w:tcW w:type="dxa" w:w="1234"/>
          </w:tcPr>
          <w:p>
            <w:r>
              <w:rPr>
                <w:rFonts w:ascii="Calibri" w:hAnsi="Calibri"/>
                <w:sz w:val="22"/>
              </w:rPr>
              <w:t>Flat seq. &amp; YoY</w:t>
            </w:r>
          </w:p>
        </w:tc>
        <w:tc>
          <w:tcPr>
            <w:tcW w:type="dxa" w:w="1234"/>
          </w:tcPr>
          <w:p>
            <w:r>
              <w:rPr>
                <w:rFonts w:ascii="Calibri" w:hAnsi="Calibri"/>
                <w:sz w:val="22"/>
              </w:rPr>
              <w:t>~Flat vs. guidance</w:t>
            </w:r>
          </w:p>
        </w:tc>
      </w:tr>
      <w:tr>
        <w:tc>
          <w:tcPr>
            <w:tcW w:type="dxa" w:w="1234"/>
          </w:tcPr>
          <w:p>
            <w:r>
              <w:rPr>
                <w:rFonts w:ascii="Calibri" w:hAnsi="Calibri"/>
                <w:sz w:val="22"/>
              </w:rPr>
              <w:t>Non-GAAP Operating Margin (%)</w:t>
            </w:r>
          </w:p>
        </w:tc>
        <w:tc>
          <w:tcPr>
            <w:tcW w:type="dxa" w:w="1234"/>
          </w:tcPr>
          <w:p>
            <w:r>
              <w:rPr>
                <w:rFonts w:ascii="Calibri" w:hAnsi="Calibri"/>
                <w:sz w:val="22"/>
              </w:rPr>
              <w:t>~21.5% (Q1 actual)</w:t>
            </w:r>
          </w:p>
        </w:tc>
        <w:tc>
          <w:tcPr>
            <w:tcW w:type="dxa" w:w="1234"/>
          </w:tcPr>
          <w:p>
            <w:r>
              <w:rPr>
                <w:rFonts w:ascii="Calibri" w:hAnsi="Calibri"/>
                <w:sz w:val="22"/>
              </w:rPr>
              <w:t>~21.3% (Q2 2025)</w:t>
            </w:r>
          </w:p>
        </w:tc>
        <w:tc>
          <w:tcPr>
            <w:tcW w:type="dxa" w:w="1234"/>
          </w:tcPr>
          <w:p>
            <w:r>
              <w:rPr>
                <w:rFonts w:ascii="Calibri" w:hAnsi="Calibri"/>
                <w:sz w:val="22"/>
              </w:rPr>
              <w:t>~21.7% (implied)</w:t>
            </w:r>
          </w:p>
        </w:tc>
        <w:tc>
          <w:tcPr>
            <w:tcW w:type="dxa" w:w="1234"/>
          </w:tcPr>
          <w:p>
            <w:r>
              <w:rPr>
                <w:rFonts w:ascii="Calibri" w:hAnsi="Calibri"/>
                <w:sz w:val="22"/>
              </w:rPr>
              <w:t>+~20bps</w:t>
            </w:r>
          </w:p>
        </w:tc>
        <w:tc>
          <w:tcPr>
            <w:tcW w:type="dxa" w:w="1234"/>
          </w:tcPr>
          <w:p>
            <w:r>
              <w:rPr>
                <w:rFonts w:ascii="Calibri" w:hAnsi="Calibri"/>
                <w:sz w:val="22"/>
              </w:rPr>
              <w:t>~21.5%</w:t>
            </w:r>
          </w:p>
        </w:tc>
        <w:tc>
          <w:tcPr>
            <w:tcW w:type="dxa" w:w="1234"/>
          </w:tcPr>
          <w:p>
            <w:r>
              <w:rPr>
                <w:rFonts w:ascii="Calibri" w:hAnsi="Calibri"/>
                <w:sz w:val="22"/>
              </w:rPr>
              <w:t>~+20bps vs. midpoint</w:t>
            </w:r>
          </w:p>
        </w:tc>
      </w:tr>
      <w:tr>
        <w:tc>
          <w:tcPr>
            <w:tcW w:type="dxa" w:w="1234"/>
          </w:tcPr>
          <w:p>
            <w:r>
              <w:rPr>
                <w:rFonts w:ascii="Calibri" w:hAnsi="Calibri"/>
                <w:sz w:val="22"/>
              </w:rPr>
              <w:t>Non-GAAP Operating Income ($M)</w:t>
            </w:r>
          </w:p>
        </w:tc>
        <w:tc>
          <w:tcPr>
            <w:tcW w:type="dxa" w:w="1234"/>
          </w:tcPr>
          <w:p>
            <w:r>
              <w:rPr>
                <w:rFonts w:ascii="Calibri" w:hAnsi="Calibri"/>
                <w:sz w:val="22"/>
              </w:rPr>
              <w:t>$223.8</w:t>
            </w:r>
          </w:p>
        </w:tc>
        <w:tc>
          <w:tcPr>
            <w:tcW w:type="dxa" w:w="1234"/>
          </w:tcPr>
          <w:p>
            <w:r>
              <w:rPr>
                <w:rFonts w:ascii="Calibri" w:hAnsi="Calibri"/>
                <w:sz w:val="22"/>
              </w:rPr>
              <w:t>$215.9</w:t>
            </w:r>
          </w:p>
        </w:tc>
        <w:tc>
          <w:tcPr>
            <w:tcW w:type="dxa" w:w="1234"/>
          </w:tcPr>
          <w:p>
            <w:r>
              <w:rPr>
                <w:rFonts w:ascii="Calibri" w:hAnsi="Calibri"/>
                <w:sz w:val="22"/>
              </w:rPr>
              <w:t>$228.3</w:t>
            </w:r>
          </w:p>
        </w:tc>
        <w:tc>
          <w:tcPr>
            <w:tcW w:type="dxa" w:w="1234"/>
          </w:tcPr>
          <w:p>
            <w:r>
              <w:rPr>
                <w:rFonts w:ascii="Calibri" w:hAnsi="Calibri"/>
                <w:sz w:val="22"/>
              </w:rPr>
              <w:t>+5.7%</w:t>
            </w:r>
          </w:p>
        </w:tc>
        <w:tc>
          <w:tcPr>
            <w:tcW w:type="dxa" w:w="1234"/>
          </w:tcPr>
          <w:p>
            <w:r>
              <w:rPr>
                <w:rFonts w:ascii="Calibri" w:hAnsi="Calibri"/>
                <w:sz w:val="22"/>
              </w:rPr>
              <w:t>Implied by margin guide</w:t>
            </w:r>
          </w:p>
        </w:tc>
        <w:tc>
          <w:tcPr>
            <w:tcW w:type="dxa" w:w="1234"/>
          </w:tcPr>
          <w:p>
            <w:r>
              <w:rPr>
                <w:rFonts w:ascii="Calibri" w:hAnsi="Calibri"/>
                <w:sz w:val="22"/>
              </w:rPr>
              <w:t>~+$1.4M vs. implied midpoint</w:t>
            </w:r>
          </w:p>
        </w:tc>
      </w:tr>
      <w:tr>
        <w:tc>
          <w:tcPr>
            <w:tcW w:type="dxa" w:w="1234"/>
          </w:tcPr>
          <w:p>
            <w:r>
              <w:rPr>
                <w:rFonts w:ascii="Calibri" w:hAnsi="Calibri"/>
                <w:sz w:val="22"/>
              </w:rPr>
              <w:t>Non-GAAP Diluted EPS ($)</w:t>
            </w:r>
          </w:p>
        </w:tc>
        <w:tc>
          <w:tcPr>
            <w:tcW w:type="dxa" w:w="1234"/>
          </w:tcPr>
          <w:p>
            <w:r>
              <w:rPr>
                <w:rFonts w:ascii="Calibri" w:hAnsi="Calibri"/>
                <w:sz w:val="22"/>
              </w:rPr>
              <w:t>$2.58</w:t>
            </w:r>
          </w:p>
        </w:tc>
        <w:tc>
          <w:tcPr>
            <w:tcW w:type="dxa" w:w="1234"/>
          </w:tcPr>
          <w:p>
            <w:r>
              <w:rPr>
                <w:rFonts w:ascii="Calibri" w:hAnsi="Calibri"/>
                <w:sz w:val="22"/>
              </w:rPr>
              <w:t>$2.49</w:t>
            </w:r>
          </w:p>
        </w:tc>
        <w:tc>
          <w:tcPr>
            <w:tcW w:type="dxa" w:w="1234"/>
          </w:tcPr>
          <w:p>
            <w:r>
              <w:rPr>
                <w:rFonts w:ascii="Calibri" w:hAnsi="Calibri"/>
                <w:sz w:val="22"/>
              </w:rPr>
              <w:t>$2.59</w:t>
            </w:r>
          </w:p>
        </w:tc>
        <w:tc>
          <w:tcPr>
            <w:tcW w:type="dxa" w:w="1234"/>
          </w:tcPr>
          <w:p>
            <w:r>
              <w:rPr>
                <w:rFonts w:ascii="Calibri" w:hAnsi="Calibri"/>
                <w:sz w:val="22"/>
              </w:rPr>
              <w:t>+4.0%</w:t>
            </w:r>
          </w:p>
        </w:tc>
        <w:tc>
          <w:tcPr>
            <w:tcW w:type="dxa" w:w="1234"/>
          </w:tcPr>
          <w:p>
            <w:r>
              <w:rPr>
                <w:rFonts w:ascii="Calibri" w:hAnsi="Calibri"/>
                <w:sz w:val="22"/>
              </w:rPr>
              <w:t>N/A — not guided directly</w:t>
            </w:r>
          </w:p>
        </w:tc>
        <w:tc>
          <w:tcPr>
            <w:tcW w:type="dxa" w:w="1234"/>
          </w:tcPr>
          <w:p>
            <w:r>
              <w:rPr>
                <w:rFonts w:ascii="Calibri" w:hAnsi="Calibri"/>
                <w:sz w:val="22"/>
              </w:rPr>
              <w:t>N/A</w:t>
            </w:r>
          </w:p>
        </w:tc>
      </w:tr>
    </w:tbl>
    <w:p>
      <w:r>
        <w:rPr>
          <w:rFonts w:ascii="Calibri" w:hAnsi="Calibri"/>
          <w:i/>
          <w:color w:val="525866"/>
          <w:sz w:val="22"/>
        </w:rPr>
        <w:t>Sources: Visible Alpha Consensus and Actuals Data; ALGN Q1 2026 Earnings Call (April 29, 2026). Q2 2025 actuals and Q1 2026 actuals from Visible Alpha. Q2 2026 consensus as of July 28, 2026.</w:t>
      </w:r>
    </w:p>
    <w:p>
      <w:pPr>
        <w:pStyle w:val="Heading3"/>
      </w:pPr>
      <w:r>
        <w:rPr>
          <w:rFonts w:ascii="Calibri" w:hAnsi="Calibri"/>
          <w:b/>
          <w:color w:val="3B4259"/>
          <w:sz w:val="24"/>
        </w:rPr>
        <w:t>Table 2 — Beat/Miss History: Last 8 Quarters (Top 2 KPIs: Total Revenue &amp; Non-GAAP Diluted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 ($M)</w:t>
            </w:r>
          </w:p>
        </w:tc>
        <w:tc>
          <w:tcPr>
            <w:tcW w:type="dxa" w:w="1440"/>
          </w:tcPr>
          <w:p>
            <w:r>
              <w:rPr>
                <w:rFonts w:ascii="Calibri" w:hAnsi="Calibri"/>
                <w:sz w:val="22"/>
              </w:rPr>
              <w:t>$1,040.1</w:t>
            </w:r>
          </w:p>
        </w:tc>
        <w:tc>
          <w:tcPr>
            <w:tcW w:type="dxa" w:w="1440"/>
          </w:tcPr>
          <w:p>
            <w:r>
              <w:rPr>
                <w:rFonts w:ascii="Calibri" w:hAnsi="Calibri"/>
                <w:sz w:val="22"/>
              </w:rPr>
              <w:t>$1,021.9</w:t>
            </w:r>
          </w:p>
        </w:tc>
        <w:tc>
          <w:tcPr>
            <w:tcW w:type="dxa" w:w="1440"/>
          </w:tcPr>
          <w:p>
            <w:r>
              <w:rPr>
                <w:rFonts w:ascii="Calibri" w:hAnsi="Calibri"/>
                <w:b/>
                <w:color w:val="30A46C"/>
                <w:sz w:val="22"/>
              </w:rPr>
              <w:t>+1.8%</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Non-GAAP EPS ($)</w:t>
            </w:r>
          </w:p>
        </w:tc>
        <w:tc>
          <w:tcPr>
            <w:tcW w:type="dxa" w:w="1440"/>
          </w:tcPr>
          <w:p>
            <w:r>
              <w:rPr>
                <w:rFonts w:ascii="Calibri" w:hAnsi="Calibri"/>
                <w:sz w:val="22"/>
              </w:rPr>
              <w:t>$2.58</w:t>
            </w:r>
          </w:p>
        </w:tc>
        <w:tc>
          <w:tcPr>
            <w:tcW w:type="dxa" w:w="1440"/>
          </w:tcPr>
          <w:p>
            <w:r>
              <w:rPr>
                <w:rFonts w:ascii="Calibri" w:hAnsi="Calibri"/>
                <w:sz w:val="22"/>
              </w:rPr>
              <w:t>$2.26</w:t>
            </w:r>
          </w:p>
        </w:tc>
        <w:tc>
          <w:tcPr>
            <w:tcW w:type="dxa" w:w="1440"/>
          </w:tcPr>
          <w:p>
            <w:r>
              <w:rPr>
                <w:rFonts w:ascii="Calibri" w:hAnsi="Calibri"/>
                <w:b/>
                <w:color w:val="30A46C"/>
                <w:sz w:val="22"/>
              </w:rPr>
              <w:t>+14.2%</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 ($M)</w:t>
            </w:r>
          </w:p>
        </w:tc>
        <w:tc>
          <w:tcPr>
            <w:tcW w:type="dxa" w:w="1440"/>
          </w:tcPr>
          <w:p>
            <w:r>
              <w:rPr>
                <w:rFonts w:ascii="Calibri" w:hAnsi="Calibri"/>
                <w:sz w:val="22"/>
              </w:rPr>
              <w:t>$1,047.6</w:t>
            </w:r>
          </w:p>
        </w:tc>
        <w:tc>
          <w:tcPr>
            <w:tcW w:type="dxa" w:w="1440"/>
          </w:tcPr>
          <w:p>
            <w:r>
              <w:rPr>
                <w:rFonts w:ascii="Calibri" w:hAnsi="Calibri"/>
                <w:sz w:val="22"/>
              </w:rPr>
              <w:t>$1,034.8</w:t>
            </w:r>
          </w:p>
        </w:tc>
        <w:tc>
          <w:tcPr>
            <w:tcW w:type="dxa" w:w="1440"/>
          </w:tcPr>
          <w:p>
            <w:r>
              <w:rPr>
                <w:rFonts w:ascii="Calibri" w:hAnsi="Calibri"/>
                <w:b/>
                <w:color w:val="30A46C"/>
                <w:sz w:val="22"/>
              </w:rPr>
              <w:t>+1.2%</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Non-GAAP EPS ($)</w:t>
            </w:r>
          </w:p>
        </w:tc>
        <w:tc>
          <w:tcPr>
            <w:tcW w:type="dxa" w:w="1440"/>
          </w:tcPr>
          <w:p>
            <w:r>
              <w:rPr>
                <w:rFonts w:ascii="Calibri" w:hAnsi="Calibri"/>
                <w:sz w:val="22"/>
              </w:rPr>
              <w:t>$3.29</w:t>
            </w:r>
          </w:p>
        </w:tc>
        <w:tc>
          <w:tcPr>
            <w:tcW w:type="dxa" w:w="1440"/>
          </w:tcPr>
          <w:p>
            <w:r>
              <w:rPr>
                <w:rFonts w:ascii="Calibri" w:hAnsi="Calibri"/>
                <w:sz w:val="22"/>
              </w:rPr>
              <w:t>$2.99</w:t>
            </w:r>
          </w:p>
        </w:tc>
        <w:tc>
          <w:tcPr>
            <w:tcW w:type="dxa" w:w="1440"/>
          </w:tcPr>
          <w:p>
            <w:r>
              <w:rPr>
                <w:rFonts w:ascii="Calibri" w:hAnsi="Calibri"/>
                <w:b/>
                <w:color w:val="30A46C"/>
                <w:sz w:val="22"/>
              </w:rPr>
              <w:t>+10.0%</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 ($M)</w:t>
            </w:r>
          </w:p>
        </w:tc>
        <w:tc>
          <w:tcPr>
            <w:tcW w:type="dxa" w:w="1440"/>
          </w:tcPr>
          <w:p>
            <w:r>
              <w:rPr>
                <w:rFonts w:ascii="Calibri" w:hAnsi="Calibri"/>
                <w:sz w:val="22"/>
              </w:rPr>
              <w:t>$995.7</w:t>
            </w:r>
          </w:p>
        </w:tc>
        <w:tc>
          <w:tcPr>
            <w:tcW w:type="dxa" w:w="1440"/>
          </w:tcPr>
          <w:p>
            <w:r>
              <w:rPr>
                <w:rFonts w:ascii="Calibri" w:hAnsi="Calibri"/>
                <w:sz w:val="22"/>
              </w:rPr>
              <w:t>$974.4</w:t>
            </w:r>
          </w:p>
        </w:tc>
        <w:tc>
          <w:tcPr>
            <w:tcW w:type="dxa" w:w="1440"/>
          </w:tcPr>
          <w:p>
            <w:r>
              <w:rPr>
                <w:rFonts w:ascii="Calibri" w:hAnsi="Calibri"/>
                <w:b/>
                <w:color w:val="30A46C"/>
                <w:sz w:val="22"/>
              </w:rPr>
              <w:t>+2.2%</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Non-GAAP EPS ($)</w:t>
            </w:r>
          </w:p>
        </w:tc>
        <w:tc>
          <w:tcPr>
            <w:tcW w:type="dxa" w:w="1440"/>
          </w:tcPr>
          <w:p>
            <w:r>
              <w:rPr>
                <w:rFonts w:ascii="Calibri" w:hAnsi="Calibri"/>
                <w:sz w:val="22"/>
              </w:rPr>
              <w:t>$2.61</w:t>
            </w:r>
          </w:p>
        </w:tc>
        <w:tc>
          <w:tcPr>
            <w:tcW w:type="dxa" w:w="1440"/>
          </w:tcPr>
          <w:p>
            <w:r>
              <w:rPr>
                <w:rFonts w:ascii="Calibri" w:hAnsi="Calibri"/>
                <w:sz w:val="22"/>
              </w:rPr>
              <w:t>$2.39</w:t>
            </w:r>
          </w:p>
        </w:tc>
        <w:tc>
          <w:tcPr>
            <w:tcW w:type="dxa" w:w="1440"/>
          </w:tcPr>
          <w:p>
            <w:r>
              <w:rPr>
                <w:rFonts w:ascii="Calibri" w:hAnsi="Calibri"/>
                <w:b/>
                <w:color w:val="30A46C"/>
                <w:sz w:val="22"/>
              </w:rPr>
              <w:t>+9.2%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 ($M)</w:t>
            </w:r>
          </w:p>
        </w:tc>
        <w:tc>
          <w:tcPr>
            <w:tcW w:type="dxa" w:w="1440"/>
          </w:tcPr>
          <w:p>
            <w:r>
              <w:rPr>
                <w:rFonts w:ascii="Calibri" w:hAnsi="Calibri"/>
                <w:sz w:val="22"/>
              </w:rPr>
              <w:t>$1,012.5</w:t>
            </w:r>
          </w:p>
        </w:tc>
        <w:tc>
          <w:tcPr>
            <w:tcW w:type="dxa" w:w="1440"/>
          </w:tcPr>
          <w:p>
            <w:r>
              <w:rPr>
                <w:rFonts w:ascii="Calibri" w:hAnsi="Calibri"/>
                <w:sz w:val="22"/>
              </w:rPr>
              <w:t>$1,063.3</w:t>
            </w:r>
          </w:p>
        </w:tc>
        <w:tc>
          <w:tcPr>
            <w:tcW w:type="dxa" w:w="1440"/>
          </w:tcPr>
          <w:p>
            <w:r>
              <w:rPr>
                <w:rFonts w:ascii="Calibri" w:hAnsi="Calibri"/>
                <w:b/>
                <w:color w:val="E5484D"/>
                <w:sz w:val="22"/>
              </w:rPr>
              <w:t>−4.8%</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Non-GAAP EPS ($)</w:t>
            </w:r>
          </w:p>
        </w:tc>
        <w:tc>
          <w:tcPr>
            <w:tcW w:type="dxa" w:w="1440"/>
          </w:tcPr>
          <w:p>
            <w:r>
              <w:rPr>
                <w:rFonts w:ascii="Calibri" w:hAnsi="Calibri"/>
                <w:sz w:val="22"/>
              </w:rPr>
              <w:t>$2.49</w:t>
            </w:r>
          </w:p>
        </w:tc>
        <w:tc>
          <w:tcPr>
            <w:tcW w:type="dxa" w:w="1440"/>
          </w:tcPr>
          <w:p>
            <w:r>
              <w:rPr>
                <w:rFonts w:ascii="Calibri" w:hAnsi="Calibri"/>
                <w:sz w:val="22"/>
              </w:rPr>
              <w:t>$2.57</w:t>
            </w:r>
          </w:p>
        </w:tc>
        <w:tc>
          <w:tcPr>
            <w:tcW w:type="dxa" w:w="1440"/>
          </w:tcPr>
          <w:p>
            <w:r>
              <w:rPr>
                <w:rFonts w:ascii="Calibri" w:hAnsi="Calibri"/>
                <w:b/>
                <w:color w:val="E5484D"/>
                <w:sz w:val="22"/>
              </w:rPr>
              <w:t>−3.1%</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Revenue ($M)</w:t>
            </w:r>
          </w:p>
        </w:tc>
        <w:tc>
          <w:tcPr>
            <w:tcW w:type="dxa" w:w="1440"/>
          </w:tcPr>
          <w:p>
            <w:r>
              <w:rPr>
                <w:rFonts w:ascii="Calibri" w:hAnsi="Calibri"/>
                <w:sz w:val="22"/>
              </w:rPr>
              <w:t>$979.3</w:t>
            </w:r>
          </w:p>
        </w:tc>
        <w:tc>
          <w:tcPr>
            <w:tcW w:type="dxa" w:w="1440"/>
          </w:tcPr>
          <w:p>
            <w:r>
              <w:rPr>
                <w:rFonts w:ascii="Calibri" w:hAnsi="Calibri"/>
                <w:sz w:val="22"/>
              </w:rPr>
              <w:t>$975.0</w:t>
            </w:r>
          </w:p>
        </w:tc>
        <w:tc>
          <w:tcPr>
            <w:tcW w:type="dxa" w:w="1440"/>
          </w:tcPr>
          <w:p>
            <w:r>
              <w:rPr>
                <w:rFonts w:ascii="Calibri" w:hAnsi="Calibri"/>
                <w:b/>
                <w:color w:val="30A46C"/>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Non-GAAP EPS ($)</w:t>
            </w:r>
          </w:p>
        </w:tc>
        <w:tc>
          <w:tcPr>
            <w:tcW w:type="dxa" w:w="1440"/>
          </w:tcPr>
          <w:p>
            <w:r>
              <w:rPr>
                <w:rFonts w:ascii="Calibri" w:hAnsi="Calibri"/>
                <w:sz w:val="22"/>
              </w:rPr>
              <w:t>$2.13</w:t>
            </w:r>
          </w:p>
        </w:tc>
        <w:tc>
          <w:tcPr>
            <w:tcW w:type="dxa" w:w="1440"/>
          </w:tcPr>
          <w:p>
            <w:r>
              <w:rPr>
                <w:rFonts w:ascii="Calibri" w:hAnsi="Calibri"/>
                <w:sz w:val="22"/>
              </w:rPr>
              <w:t>$1.98</w:t>
            </w:r>
          </w:p>
        </w:tc>
        <w:tc>
          <w:tcPr>
            <w:tcW w:type="dxa" w:w="1440"/>
          </w:tcPr>
          <w:p>
            <w:r>
              <w:rPr>
                <w:rFonts w:ascii="Calibri" w:hAnsi="Calibri"/>
                <w:b/>
                <w:color w:val="30A46C"/>
                <w:sz w:val="22"/>
              </w:rPr>
              <w:t>+7.6%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 ($M)</w:t>
            </w:r>
          </w:p>
        </w:tc>
        <w:tc>
          <w:tcPr>
            <w:tcW w:type="dxa" w:w="1440"/>
          </w:tcPr>
          <w:p>
            <w:r>
              <w:rPr>
                <w:rFonts w:ascii="Calibri" w:hAnsi="Calibri"/>
                <w:sz w:val="22"/>
              </w:rPr>
              <w:t>$995.2</w:t>
            </w:r>
          </w:p>
        </w:tc>
        <w:tc>
          <w:tcPr>
            <w:tcW w:type="dxa" w:w="1440"/>
          </w:tcPr>
          <w:p>
            <w:r>
              <w:rPr>
                <w:rFonts w:ascii="Calibri" w:hAnsi="Calibri"/>
                <w:sz w:val="22"/>
              </w:rPr>
              <w:t>$998.3</w:t>
            </w:r>
          </w:p>
        </w:tc>
        <w:tc>
          <w:tcPr>
            <w:tcW w:type="dxa" w:w="1440"/>
          </w:tcPr>
          <w:p>
            <w:r>
              <w:rPr>
                <w:rFonts w:ascii="Calibri" w:hAnsi="Calibri"/>
                <w:b/>
                <w:color w:val="E5484D"/>
                <w:sz w:val="22"/>
              </w:rPr>
              <w:t>−0.3%</w:t>
            </w:r>
          </w:p>
        </w:tc>
        <w:tc>
          <w:tcPr>
            <w:tcW w:type="dxa" w:w="1440"/>
          </w:tcPr>
          <w:p>
            <w:r>
              <w:rPr>
                <w:rFonts w:ascii="Calibri" w:hAnsi="Calibri"/>
                <w:b/>
                <w:color w:val="E5484D"/>
                <w:sz w:val="22"/>
              </w:rPr>
              <w:t>Slight Miss</w:t>
            </w:r>
          </w:p>
        </w:tc>
      </w:tr>
      <w:tr>
        <w:tc>
          <w:tcPr>
            <w:tcW w:type="dxa" w:w="1440"/>
          </w:tcPr>
          <w:p>
            <w:r>
              <w:rPr>
                <w:rFonts w:ascii="Calibri" w:hAnsi="Calibri"/>
                <w:sz w:val="22"/>
              </w:rPr>
              <w:t>Q4 2024</w:t>
            </w:r>
          </w:p>
        </w:tc>
        <w:tc>
          <w:tcPr>
            <w:tcW w:type="dxa" w:w="1440"/>
          </w:tcPr>
          <w:p>
            <w:r>
              <w:rPr>
                <w:rFonts w:ascii="Calibri" w:hAnsi="Calibri"/>
                <w:sz w:val="22"/>
              </w:rPr>
              <w:t>Non-GAAP EPS ($)</w:t>
            </w:r>
          </w:p>
        </w:tc>
        <w:tc>
          <w:tcPr>
            <w:tcW w:type="dxa" w:w="1440"/>
          </w:tcPr>
          <w:p>
            <w:r>
              <w:rPr>
                <w:rFonts w:ascii="Calibri" w:hAnsi="Calibri"/>
                <w:sz w:val="22"/>
              </w:rPr>
              <w:t>$2.44</w:t>
            </w:r>
          </w:p>
        </w:tc>
        <w:tc>
          <w:tcPr>
            <w:tcW w:type="dxa" w:w="1440"/>
          </w:tcPr>
          <w:p>
            <w:r>
              <w:rPr>
                <w:rFonts w:ascii="Calibri" w:hAnsi="Calibri"/>
                <w:sz w:val="22"/>
              </w:rPr>
              <w:t>$2.43</w:t>
            </w:r>
          </w:p>
        </w:tc>
        <w:tc>
          <w:tcPr>
            <w:tcW w:type="dxa" w:w="1440"/>
          </w:tcPr>
          <w:p>
            <w:r>
              <w:rPr>
                <w:rFonts w:ascii="Calibri" w:hAnsi="Calibri"/>
                <w:b/>
                <w:color w:val="30A46C"/>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 ($M)</w:t>
            </w:r>
          </w:p>
        </w:tc>
        <w:tc>
          <w:tcPr>
            <w:tcW w:type="dxa" w:w="1440"/>
          </w:tcPr>
          <w:p>
            <w:r>
              <w:rPr>
                <w:rFonts w:ascii="Calibri" w:hAnsi="Calibri"/>
                <w:sz w:val="22"/>
              </w:rPr>
              <w:t>$977.9</w:t>
            </w:r>
          </w:p>
        </w:tc>
        <w:tc>
          <w:tcPr>
            <w:tcW w:type="dxa" w:w="1440"/>
          </w:tcPr>
          <w:p>
            <w:r>
              <w:rPr>
                <w:rFonts w:ascii="Calibri" w:hAnsi="Calibri"/>
                <w:sz w:val="22"/>
              </w:rPr>
              <w:t>$990.7</w:t>
            </w:r>
          </w:p>
        </w:tc>
        <w:tc>
          <w:tcPr>
            <w:tcW w:type="dxa" w:w="1440"/>
          </w:tcPr>
          <w:p>
            <w:r>
              <w:rPr>
                <w:rFonts w:ascii="Calibri" w:hAnsi="Calibri"/>
                <w:b/>
                <w:color w:val="E5484D"/>
                <w:sz w:val="22"/>
              </w:rPr>
              <w:t>−1.3%</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Non-GAAP EPS ($)</w:t>
            </w:r>
          </w:p>
        </w:tc>
        <w:tc>
          <w:tcPr>
            <w:tcW w:type="dxa" w:w="1440"/>
          </w:tcPr>
          <w:p>
            <w:r>
              <w:rPr>
                <w:rFonts w:ascii="Calibri" w:hAnsi="Calibri"/>
                <w:sz w:val="22"/>
              </w:rPr>
              <w:t>$2.35</w:t>
            </w:r>
          </w:p>
        </w:tc>
        <w:tc>
          <w:tcPr>
            <w:tcW w:type="dxa" w:w="1440"/>
          </w:tcPr>
          <w:p>
            <w:r>
              <w:rPr>
                <w:rFonts w:ascii="Calibri" w:hAnsi="Calibri"/>
                <w:sz w:val="22"/>
              </w:rPr>
              <w:t>$2.30</w:t>
            </w:r>
          </w:p>
        </w:tc>
        <w:tc>
          <w:tcPr>
            <w:tcW w:type="dxa" w:w="1440"/>
          </w:tcPr>
          <w:p>
            <w:r>
              <w:rPr>
                <w:rFonts w:ascii="Calibri" w:hAnsi="Calibri"/>
                <w:b/>
                <w:color w:val="30A46C"/>
                <w:sz w:val="22"/>
              </w:rPr>
              <w:t>+2.2%</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Revenue ($M)</w:t>
            </w:r>
          </w:p>
        </w:tc>
        <w:tc>
          <w:tcPr>
            <w:tcW w:type="dxa" w:w="1440"/>
          </w:tcPr>
          <w:p>
            <w:r>
              <w:rPr>
                <w:rFonts w:ascii="Calibri" w:hAnsi="Calibri"/>
                <w:sz w:val="22"/>
              </w:rPr>
              <w:t>$1,028.5</w:t>
            </w:r>
          </w:p>
        </w:tc>
        <w:tc>
          <w:tcPr>
            <w:tcW w:type="dxa" w:w="1440"/>
          </w:tcPr>
          <w:p>
            <w:r>
              <w:rPr>
                <w:rFonts w:ascii="Calibri" w:hAnsi="Calibri"/>
                <w:sz w:val="22"/>
              </w:rPr>
              <w:t>$1,040.9</w:t>
            </w:r>
          </w:p>
        </w:tc>
        <w:tc>
          <w:tcPr>
            <w:tcW w:type="dxa" w:w="1440"/>
          </w:tcPr>
          <w:p>
            <w:r>
              <w:rPr>
                <w:rFonts w:ascii="Calibri" w:hAnsi="Calibri"/>
                <w:b/>
                <w:color w:val="E5484D"/>
                <w:sz w:val="22"/>
              </w:rPr>
              <w:t>−1.2%</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Non-GAAP EPS ($)</w:t>
            </w:r>
          </w:p>
        </w:tc>
        <w:tc>
          <w:tcPr>
            <w:tcW w:type="dxa" w:w="1440"/>
          </w:tcPr>
          <w:p>
            <w:r>
              <w:rPr>
                <w:rFonts w:ascii="Calibri" w:hAnsi="Calibri"/>
                <w:sz w:val="22"/>
              </w:rPr>
              <w:t>$2.41</w:t>
            </w:r>
          </w:p>
        </w:tc>
        <w:tc>
          <w:tcPr>
            <w:tcW w:type="dxa" w:w="1440"/>
          </w:tcPr>
          <w:p>
            <w:r>
              <w:rPr>
                <w:rFonts w:ascii="Calibri" w:hAnsi="Calibri"/>
                <w:sz w:val="22"/>
              </w:rPr>
              <w:t>$2.32</w:t>
            </w:r>
          </w:p>
        </w:tc>
        <w:tc>
          <w:tcPr>
            <w:tcW w:type="dxa" w:w="1440"/>
          </w:tcPr>
          <w:p>
            <w:r>
              <w:rPr>
                <w:rFonts w:ascii="Calibri" w:hAnsi="Calibri"/>
                <w:b/>
                <w:color w:val="30A46C"/>
                <w:sz w:val="22"/>
              </w:rPr>
              <w:t>+3.9%</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ALGN has beaten non-GAAP EPS in 7 of the last 8 quarters (avg. surprise ~+6%), while revenue beats have been more mixed — 4 beats and 4 misses over the same period. The Q2 2025 double-miss (revenue −4.8%, EPS −3.1%) was the anomaly driven by the patient scan-to-start conversion dislocation, which has since normalized. The consistent EPS beat pattern reflects management's conservative margin guidance approach.</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unchanged since the Q1 2026 earnings call</w:t>
      </w:r>
      <w:r>
        <w:rPr>
          <w:rFonts w:ascii="Calibri" w:hAnsi="Calibri"/>
          <w:color w:val="525866"/>
          <w:sz w:val="22"/>
        </w:rPr>
        <w:t xml:space="preserve"> — no formal revisions via 8-K or conference. The CFO's June 8 Goldman Sachs Healthcare Conference commentary reinforced that the Q2 guidance midpoint is deliberately conservative, and that underlying demand trends have not deteriorated.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$1,040–$1,060M (+3–5% YoY)</w:t>
            </w:r>
          </w:p>
        </w:tc>
        <w:tc>
          <w:tcPr>
            <w:tcW w:type="dxa" w:w="1728"/>
          </w:tcPr>
          <w:p>
            <w:r>
              <w:rPr>
                <w:rFonts w:ascii="Calibri" w:hAnsi="Calibri"/>
                <w:sz w:val="22"/>
              </w:rPr>
              <w:t>—</w:t>
            </w:r>
          </w:p>
        </w:tc>
        <w:tc>
          <w:tcPr>
            <w:tcW w:type="dxa" w:w="1728"/>
          </w:tcPr>
          <w:p>
            <w:r>
              <w:rPr>
                <w:rFonts w:ascii="Calibri" w:hAnsi="Calibri"/>
                <w:sz w:val="22"/>
              </w:rPr>
              <w:t>$1,051M</w:t>
            </w:r>
          </w:p>
        </w:tc>
        <w:tc>
          <w:tcPr>
            <w:tcW w:type="dxa" w:w="1728"/>
          </w:tcPr>
          <w:p>
            <w:r>
              <w:rPr>
                <w:rFonts w:ascii="Calibri" w:hAnsi="Calibri"/>
                <w:sz w:val="22"/>
              </w:rPr>
              <w:t>Unchanged. CFO at GS Healthcare Conf (Jun 8) noted typical Q1→Q2 step-up is ~3%+; guidance midpoint of ~1% reflects deliberate conservatism on Middle East/freight, not demand deterioration.</w:t>
            </w:r>
          </w:p>
        </w:tc>
      </w:tr>
      <w:tr>
        <w:tc>
          <w:tcPr>
            <w:tcW w:type="dxa" w:w="1728"/>
          </w:tcPr>
          <w:p>
            <w:r>
              <w:rPr>
                <w:rFonts w:ascii="Calibri" w:hAnsi="Calibri"/>
                <w:sz w:val="22"/>
              </w:rPr>
              <w:t>Q2 2026 Non-GAAP Op. Margin</w:t>
            </w:r>
          </w:p>
        </w:tc>
        <w:tc>
          <w:tcPr>
            <w:tcW w:type="dxa" w:w="1728"/>
          </w:tcPr>
          <w:p>
            <w:r>
              <w:rPr>
                <w:rFonts w:ascii="Calibri" w:hAnsi="Calibri"/>
                <w:sz w:val="22"/>
              </w:rPr>
              <w:t>~21.5%</w:t>
            </w:r>
          </w:p>
        </w:tc>
        <w:tc>
          <w:tcPr>
            <w:tcW w:type="dxa" w:w="1728"/>
          </w:tcPr>
          <w:p>
            <w:r>
              <w:rPr>
                <w:rFonts w:ascii="Calibri" w:hAnsi="Calibri"/>
                <w:sz w:val="22"/>
              </w:rPr>
              <w:t>—</w:t>
            </w:r>
          </w:p>
        </w:tc>
        <w:tc>
          <w:tcPr>
            <w:tcW w:type="dxa" w:w="1728"/>
          </w:tcPr>
          <w:p>
            <w:r>
              <w:rPr>
                <w:rFonts w:ascii="Calibri" w:hAnsi="Calibri"/>
                <w:sz w:val="22"/>
              </w:rPr>
              <w:t>~21.7% (implied)</w:t>
            </w:r>
          </w:p>
        </w:tc>
        <w:tc>
          <w:tcPr>
            <w:tcW w:type="dxa" w:w="1728"/>
          </w:tcPr>
          <w:p>
            <w:r>
              <w:rPr>
                <w:rFonts w:ascii="Calibri" w:hAnsi="Calibri"/>
                <w:sz w:val="22"/>
              </w:rPr>
              <w:t>Unchanged. Consensus tracking slightly above guidance midpoint.</w:t>
            </w:r>
          </w:p>
        </w:tc>
      </w:tr>
      <w:tr>
        <w:tc>
          <w:tcPr>
            <w:tcW w:type="dxa" w:w="1728"/>
          </w:tcPr>
          <w:p>
            <w:r>
              <w:rPr>
                <w:rFonts w:ascii="Calibri" w:hAnsi="Calibri"/>
                <w:sz w:val="22"/>
              </w:rPr>
              <w:t>Q2 2026 Clear Aligner Volume</w:t>
            </w:r>
          </w:p>
        </w:tc>
        <w:tc>
          <w:tcPr>
            <w:tcW w:type="dxa" w:w="1728"/>
          </w:tcPr>
          <w:p>
            <w:r>
              <w:rPr>
                <w:rFonts w:ascii="Calibri" w:hAnsi="Calibri"/>
                <w:sz w:val="22"/>
              </w:rPr>
              <w:t>Up sequentially and YoY</w:t>
            </w:r>
          </w:p>
        </w:tc>
        <w:tc>
          <w:tcPr>
            <w:tcW w:type="dxa" w:w="1728"/>
          </w:tcPr>
          <w:p>
            <w:r>
              <w:rPr>
                <w:rFonts w:ascii="Calibri" w:hAnsi="Calibri"/>
                <w:sz w:val="22"/>
              </w:rPr>
              <w:t>—</w:t>
            </w:r>
          </w:p>
        </w:tc>
        <w:tc>
          <w:tcPr>
            <w:tcW w:type="dxa" w:w="1728"/>
          </w:tcPr>
          <w:p>
            <w:r>
              <w:rPr>
                <w:rFonts w:ascii="Calibri" w:hAnsi="Calibri"/>
                <w:sz w:val="22"/>
              </w:rPr>
              <w:t>683,201 cases (+6.0% YoY)</w:t>
            </w:r>
          </w:p>
        </w:tc>
        <w:tc>
          <w:tcPr>
            <w:tcW w:type="dxa" w:w="1728"/>
          </w:tcPr>
          <w:p>
            <w:r>
              <w:rPr>
                <w:rFonts w:ascii="Calibri" w:hAnsi="Calibri"/>
                <w:sz w:val="22"/>
              </w:rPr>
              <w:t>Unchanged. Consensus implies modest sequential decline from Q1’s 685,650 — slightly below the “up sequentially” guidance direction; a risk to watch.</w:t>
            </w:r>
          </w:p>
        </w:tc>
      </w:tr>
      <w:tr>
        <w:tc>
          <w:tcPr>
            <w:tcW w:type="dxa" w:w="1728"/>
          </w:tcPr>
          <w:p>
            <w:r>
              <w:rPr>
                <w:rFonts w:ascii="Calibri" w:hAnsi="Calibri"/>
                <w:sz w:val="22"/>
              </w:rPr>
              <w:t>Q2 2026 Clear Aligner ASP</w:t>
            </w:r>
          </w:p>
        </w:tc>
        <w:tc>
          <w:tcPr>
            <w:tcW w:type="dxa" w:w="1728"/>
          </w:tcPr>
          <w:p>
            <w:r>
              <w:rPr>
                <w:rFonts w:ascii="Calibri" w:hAnsi="Calibri"/>
                <w:sz w:val="22"/>
              </w:rPr>
              <w:t>Flat sequentially and YoY</w:t>
            </w:r>
          </w:p>
        </w:tc>
        <w:tc>
          <w:tcPr>
            <w:tcW w:type="dxa" w:w="1728"/>
          </w:tcPr>
          <w:p>
            <w:r>
              <w:rPr>
                <w:rFonts w:ascii="Calibri" w:hAnsi="Calibri"/>
                <w:sz w:val="22"/>
              </w:rPr>
              <w:t>—</w:t>
            </w:r>
          </w:p>
        </w:tc>
        <w:tc>
          <w:tcPr>
            <w:tcW w:type="dxa" w:w="1728"/>
          </w:tcPr>
          <w:p>
            <w:r>
              <w:rPr>
                <w:rFonts w:ascii="Calibri" w:hAnsi="Calibri"/>
                <w:sz w:val="22"/>
              </w:rPr>
              <w:t>$1,157/case</w:t>
            </w:r>
          </w:p>
        </w:tc>
        <w:tc>
          <w:tcPr>
            <w:tcW w:type="dxa" w:w="1728"/>
          </w:tcPr>
          <w:p>
            <w:r>
              <w:rPr>
                <w:rFonts w:ascii="Calibri" w:hAnsi="Calibri"/>
                <w:sz w:val="22"/>
              </w:rPr>
              <w:t>Unchanged. Consensus at $1,157 vs. Q1 actual of $1,250 — note Q1 ASP was elevated by FX and lower deferrals; flat YoY vs. Q2 2025’s $1,152 is consistent with guidance.</w:t>
            </w:r>
          </w:p>
        </w:tc>
      </w:tr>
      <w:tr>
        <w:tc>
          <w:tcPr>
            <w:tcW w:type="dxa" w:w="1728"/>
          </w:tcPr>
          <w:p>
            <w:r>
              <w:rPr>
                <w:rFonts w:ascii="Calibri" w:hAnsi="Calibri"/>
                <w:sz w:val="22"/>
              </w:rPr>
              <w:t>FY 2026 Revenue Growth</w:t>
            </w:r>
          </w:p>
        </w:tc>
        <w:tc>
          <w:tcPr>
            <w:tcW w:type="dxa" w:w="1728"/>
          </w:tcPr>
          <w:p>
            <w:r>
              <w:rPr>
                <w:rFonts w:ascii="Calibri" w:hAnsi="Calibri"/>
                <w:sz w:val="22"/>
              </w:rPr>
              <w:t>+3–4% YoY</w:t>
            </w:r>
          </w:p>
        </w:tc>
        <w:tc>
          <w:tcPr>
            <w:tcW w:type="dxa" w:w="1728"/>
          </w:tcPr>
          <w:p>
            <w:r>
              <w:rPr>
                <w:rFonts w:ascii="Calibri" w:hAnsi="Calibri"/>
                <w:sz w:val="22"/>
              </w:rPr>
              <w:t>—</w:t>
            </w:r>
          </w:p>
        </w:tc>
        <w:tc>
          <w:tcPr>
            <w:tcW w:type="dxa" w:w="1728"/>
          </w:tcPr>
          <w:p>
            <w:r>
              <w:rPr>
                <w:rFonts w:ascii="Calibri" w:hAnsi="Calibri"/>
                <w:sz w:val="22"/>
              </w:rPr>
              <w:t>$4,180M (+~3.5% YoY)</w:t>
            </w:r>
          </w:p>
        </w:tc>
        <w:tc>
          <w:tcPr>
            <w:tcW w:type="dxa" w:w="1728"/>
          </w:tcPr>
          <w:p>
            <w:r>
              <w:rPr>
                <w:rFonts w:ascii="Calibri" w:hAnsi="Calibri"/>
                <w:sz w:val="22"/>
              </w:rPr>
              <w:t>Reaffirmed at Q1 earnings. Consensus tracking near midpoint. No post-earnings revision.</w:t>
            </w:r>
          </w:p>
        </w:tc>
      </w:tr>
      <w:tr>
        <w:tc>
          <w:tcPr>
            <w:tcW w:type="dxa" w:w="1728"/>
          </w:tcPr>
          <w:p>
            <w:r>
              <w:rPr>
                <w:rFonts w:ascii="Calibri" w:hAnsi="Calibri"/>
                <w:sz w:val="22"/>
              </w:rPr>
              <w:t>FY 2026 Non-GAAP Op. Margin</w:t>
            </w:r>
          </w:p>
        </w:tc>
        <w:tc>
          <w:tcPr>
            <w:tcW w:type="dxa" w:w="1728"/>
          </w:tcPr>
          <w:p>
            <w:r>
              <w:rPr>
                <w:rFonts w:ascii="Calibri" w:hAnsi="Calibri"/>
                <w:sz w:val="22"/>
              </w:rPr>
              <w:t>~23.7% (~+100bps YoY)</w:t>
            </w:r>
          </w:p>
        </w:tc>
        <w:tc>
          <w:tcPr>
            <w:tcW w:type="dxa" w:w="1728"/>
          </w:tcPr>
          <w:p>
            <w:r>
              <w:rPr>
                <w:rFonts w:ascii="Calibri" w:hAnsi="Calibri"/>
                <w:sz w:val="22"/>
              </w:rPr>
              <w:t>—</w:t>
            </w:r>
          </w:p>
        </w:tc>
        <w:tc>
          <w:tcPr>
            <w:tcW w:type="dxa" w:w="1728"/>
          </w:tcPr>
          <w:p>
            <w:r>
              <w:rPr>
                <w:rFonts w:ascii="Calibri" w:hAnsi="Calibri"/>
                <w:sz w:val="22"/>
              </w:rPr>
              <w:t>~23.7% (implied: $989M / $4,180M)</w:t>
            </w:r>
          </w:p>
        </w:tc>
        <w:tc>
          <w:tcPr>
            <w:tcW w:type="dxa" w:w="1728"/>
          </w:tcPr>
          <w:p>
            <w:r>
              <w:rPr>
                <w:rFonts w:ascii="Calibri" w:hAnsi="Calibri"/>
                <w:sz w:val="22"/>
              </w:rPr>
              <w:t>Reaffirmed. Consensus aligned with guidance. Restructuring benefits flowing through; direct-fab dilution expected offset by other productivity initiatives.</w:t>
            </w:r>
          </w:p>
        </w:tc>
      </w:tr>
      <w:tr>
        <w:tc>
          <w:tcPr>
            <w:tcW w:type="dxa" w:w="1728"/>
          </w:tcPr>
          <w:p>
            <w:r>
              <w:rPr>
                <w:rFonts w:ascii="Calibri" w:hAnsi="Calibri"/>
                <w:sz w:val="22"/>
              </w:rPr>
              <w:t>FY 2026 Clear Aligner Volume</w:t>
            </w:r>
          </w:p>
        </w:tc>
        <w:tc>
          <w:tcPr>
            <w:tcW w:type="dxa" w:w="1728"/>
          </w:tcPr>
          <w:p>
            <w:r>
              <w:rPr>
                <w:rFonts w:ascii="Calibri" w:hAnsi="Calibri"/>
                <w:sz w:val="22"/>
              </w:rPr>
              <w:t>Up mid-single digits YoY</w:t>
            </w:r>
          </w:p>
        </w:tc>
        <w:tc>
          <w:tcPr>
            <w:tcW w:type="dxa" w:w="1728"/>
          </w:tcPr>
          <w:p>
            <w:r>
              <w:rPr>
                <w:rFonts w:ascii="Calibri" w:hAnsi="Calibri"/>
                <w:sz w:val="22"/>
              </w:rPr>
              <w:t>—</w:t>
            </w:r>
          </w:p>
        </w:tc>
        <w:tc>
          <w:tcPr>
            <w:tcW w:type="dxa" w:w="1728"/>
          </w:tcPr>
          <w:p>
            <w:r>
              <w:rPr>
                <w:rFonts w:ascii="Calibri" w:hAnsi="Calibri"/>
                <w:sz w:val="22"/>
              </w:rPr>
              <w:t>~2.72M cases</w:t>
            </w:r>
          </w:p>
        </w:tc>
        <w:tc>
          <w:tcPr>
            <w:tcW w:type="dxa" w:w="1728"/>
          </w:tcPr>
          <w:p>
            <w:r>
              <w:rPr>
                <w:rFonts w:ascii="Calibri" w:hAnsi="Calibri"/>
                <w:sz w:val="22"/>
              </w:rPr>
              <w:t>Reaffirmed. Consensus implies ~+5% YoY growth, consistent with mid-single digit guidance.</w:t>
            </w:r>
          </w:p>
        </w:tc>
      </w:tr>
    </w:tbl>
    <w:p>
      <w:r>
        <w:rPr>
          <w:rFonts w:ascii="Calibri" w:hAnsi="Calibri"/>
          <w:i/>
          <w:color w:val="525866"/>
          <w:sz w:val="22"/>
        </w:rPr>
        <w:t>Source: ALGN Q1 2026 Earnings Call (April 29, 2026); Goldman Sachs Healthcare Conference (June 8,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essentially flat since the Q1 2026 print</w:t>
      </w:r>
      <w:r>
        <w:rPr>
          <w:rFonts w:ascii="Calibri" w:hAnsi="Calibri"/>
          <w:color w:val="525866"/>
          <w:sz w:val="22"/>
        </w:rPr>
        <w:t xml:space="preserve"> — the Street is tracking guidance closely with no meaningful upward or downward drift. The lack of revision momentum means the stock is not benefiting from estimate upgrades, but also means there is no elevated bar to clear.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$1,053.3M</w:t>
            </w:r>
          </w:p>
        </w:tc>
        <w:tc>
          <w:tcPr>
            <w:tcW w:type="dxa" w:w="1080"/>
          </w:tcPr>
          <w:p>
            <w:r>
              <w:rPr>
                <w:rFonts w:ascii="Calibri" w:hAnsi="Calibri"/>
                <w:sz w:val="22"/>
              </w:rPr>
              <w:t>$1,051.3M</w:t>
            </w:r>
          </w:p>
        </w:tc>
        <w:tc>
          <w:tcPr>
            <w:tcW w:type="dxa" w:w="1080"/>
          </w:tcPr>
          <w:p>
            <w:r>
              <w:rPr>
                <w:rFonts w:ascii="Calibri" w:hAnsi="Calibri"/>
                <w:sz w:val="22"/>
              </w:rPr>
              <w:t>−0.2%</w:t>
            </w:r>
          </w:p>
        </w:tc>
        <w:tc>
          <w:tcPr>
            <w:tcW w:type="dxa" w:w="1080"/>
          </w:tcPr>
          <w:p>
            <w:r>
              <w:rPr>
                <w:rFonts w:ascii="Calibri" w:hAnsi="Calibri"/>
                <w:sz w:val="22"/>
              </w:rPr>
              <w:t>$1,040–$1,060M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$1,050M mid</w:t>
            </w:r>
          </w:p>
        </w:tc>
      </w:tr>
      <w:tr>
        <w:tc>
          <w:tcPr>
            <w:tcW w:type="dxa" w:w="1080"/>
          </w:tcPr>
          <w:p>
            <w:r>
              <w:rPr>
                <w:rFonts w:ascii="Calibri" w:hAnsi="Calibri"/>
                <w:sz w:val="22"/>
              </w:rPr>
              <w:t>Total Revenue — FY 2026</w:t>
            </w:r>
          </w:p>
        </w:tc>
        <w:tc>
          <w:tcPr>
            <w:tcW w:type="dxa" w:w="1080"/>
          </w:tcPr>
          <w:p>
            <w:r>
              <w:rPr>
                <w:rFonts w:ascii="Calibri" w:hAnsi="Calibri"/>
                <w:sz w:val="22"/>
              </w:rPr>
              <w:t>$4,184.1M</w:t>
            </w:r>
          </w:p>
        </w:tc>
        <w:tc>
          <w:tcPr>
            <w:tcW w:type="dxa" w:w="1080"/>
          </w:tcPr>
          <w:p>
            <w:r>
              <w:rPr>
                <w:rFonts w:ascii="Calibri" w:hAnsi="Calibri"/>
                <w:sz w:val="22"/>
              </w:rPr>
              <w:t>$4,180.3M</w:t>
            </w:r>
          </w:p>
        </w:tc>
        <w:tc>
          <w:tcPr>
            <w:tcW w:type="dxa" w:w="1080"/>
          </w:tcPr>
          <w:p>
            <w:r>
              <w:rPr>
                <w:rFonts w:ascii="Calibri" w:hAnsi="Calibri"/>
                <w:sz w:val="22"/>
              </w:rPr>
              <w:t>−0.1%</w:t>
            </w:r>
          </w:p>
        </w:tc>
        <w:tc>
          <w:tcPr>
            <w:tcW w:type="dxa" w:w="1080"/>
          </w:tcPr>
          <w:p>
            <w:r>
              <w:rPr>
                <w:rFonts w:ascii="Calibri" w:hAnsi="Calibri"/>
                <w:sz w:val="22"/>
              </w:rPr>
              <w:t>+3–4% YoY (~$4,140–$4,180M)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midpoint</w:t>
            </w:r>
          </w:p>
        </w:tc>
      </w:tr>
      <w:tr>
        <w:tc>
          <w:tcPr>
            <w:tcW w:type="dxa" w:w="1080"/>
          </w:tcPr>
          <w:p>
            <w:r>
              <w:rPr>
                <w:rFonts w:ascii="Calibri" w:hAnsi="Calibri"/>
                <w:sz w:val="22"/>
              </w:rPr>
              <w:t>Clear Aligner Cases — Q2 2026</w:t>
            </w:r>
          </w:p>
        </w:tc>
        <w:tc>
          <w:tcPr>
            <w:tcW w:type="dxa" w:w="1080"/>
          </w:tcPr>
          <w:p>
            <w:r>
              <w:rPr>
                <w:rFonts w:ascii="Calibri" w:hAnsi="Calibri"/>
                <w:sz w:val="22"/>
              </w:rPr>
              <w:t>681,992</w:t>
            </w:r>
          </w:p>
        </w:tc>
        <w:tc>
          <w:tcPr>
            <w:tcW w:type="dxa" w:w="1080"/>
          </w:tcPr>
          <w:p>
            <w:r>
              <w:rPr>
                <w:rFonts w:ascii="Calibri" w:hAnsi="Calibri"/>
                <w:sz w:val="22"/>
              </w:rPr>
              <w:t>683,201</w:t>
            </w:r>
          </w:p>
        </w:tc>
        <w:tc>
          <w:tcPr>
            <w:tcW w:type="dxa" w:w="1080"/>
          </w:tcPr>
          <w:p>
            <w:r>
              <w:rPr>
                <w:rFonts w:ascii="Calibri" w:hAnsi="Calibri"/>
                <w:sz w:val="22"/>
              </w:rPr>
              <w:t>+0.2%</w:t>
            </w:r>
          </w:p>
        </w:tc>
        <w:tc>
          <w:tcPr>
            <w:tcW w:type="dxa" w:w="1080"/>
          </w:tcPr>
          <w:p>
            <w:r>
              <w:rPr>
                <w:rFonts w:ascii="Calibri" w:hAnsi="Calibri"/>
                <w:sz w:val="22"/>
              </w:rPr>
              <w:t>Up seq. &amp;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Slightly below “up seq.” direction (vs. Q1’s 685,650)</w:t>
            </w:r>
          </w:p>
        </w:tc>
      </w:tr>
      <w:tr>
        <w:tc>
          <w:tcPr>
            <w:tcW w:type="dxa" w:w="1080"/>
          </w:tcPr>
          <w:p>
            <w:r>
              <w:rPr>
                <w:rFonts w:ascii="Calibri" w:hAnsi="Calibri"/>
                <w:sz w:val="22"/>
              </w:rPr>
              <w:t>Clear Aligner Cases — FY 2026</w:t>
            </w:r>
          </w:p>
        </w:tc>
        <w:tc>
          <w:tcPr>
            <w:tcW w:type="dxa" w:w="1080"/>
          </w:tcPr>
          <w:p>
            <w:r>
              <w:rPr>
                <w:rFonts w:ascii="Calibri" w:hAnsi="Calibri"/>
                <w:sz w:val="22"/>
              </w:rPr>
              <w:t>2,712,020</w:t>
            </w:r>
          </w:p>
        </w:tc>
        <w:tc>
          <w:tcPr>
            <w:tcW w:type="dxa" w:w="1080"/>
          </w:tcPr>
          <w:p>
            <w:r>
              <w:rPr>
                <w:rFonts w:ascii="Calibri" w:hAnsi="Calibri"/>
                <w:sz w:val="22"/>
              </w:rPr>
              <w:t>2,722,240</w:t>
            </w:r>
          </w:p>
        </w:tc>
        <w:tc>
          <w:tcPr>
            <w:tcW w:type="dxa" w:w="1080"/>
          </w:tcPr>
          <w:p>
            <w:r>
              <w:rPr>
                <w:rFonts w:ascii="Calibri" w:hAnsi="Calibri"/>
                <w:sz w:val="22"/>
              </w:rPr>
              <w:t>+0.4%</w:t>
            </w:r>
          </w:p>
        </w:tc>
        <w:tc>
          <w:tcPr>
            <w:tcW w:type="dxa" w:w="1080"/>
          </w:tcPr>
          <w:p>
            <w:r>
              <w:rPr>
                <w:rFonts w:ascii="Calibri" w:hAnsi="Calibri"/>
                <w:sz w:val="22"/>
              </w:rPr>
              <w:t>Up mid-single digits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~+5% YoY; consistent with guidance</w:t>
            </w:r>
          </w:p>
        </w:tc>
      </w:tr>
      <w:tr>
        <w:tc>
          <w:tcPr>
            <w:tcW w:type="dxa" w:w="1080"/>
          </w:tcPr>
          <w:p>
            <w:r>
              <w:rPr>
                <w:rFonts w:ascii="Calibri" w:hAnsi="Calibri"/>
                <w:sz w:val="22"/>
              </w:rPr>
              <w:t>Non-GAAP EPS — Q2 2026</w:t>
            </w:r>
          </w:p>
        </w:tc>
        <w:tc>
          <w:tcPr>
            <w:tcW w:type="dxa" w:w="1080"/>
          </w:tcPr>
          <w:p>
            <w:r>
              <w:rPr>
                <w:rFonts w:ascii="Calibri" w:hAnsi="Calibri"/>
                <w:sz w:val="22"/>
              </w:rPr>
              <w:t>$2.58</w:t>
            </w:r>
          </w:p>
        </w:tc>
        <w:tc>
          <w:tcPr>
            <w:tcW w:type="dxa" w:w="1080"/>
          </w:tcPr>
          <w:p>
            <w:r>
              <w:rPr>
                <w:rFonts w:ascii="Calibri" w:hAnsi="Calibri"/>
                <w:sz w:val="22"/>
              </w:rPr>
              <w:t>$2.59</w:t>
            </w:r>
          </w:p>
        </w:tc>
        <w:tc>
          <w:tcPr>
            <w:tcW w:type="dxa" w:w="1080"/>
          </w:tcPr>
          <w:p>
            <w:r>
              <w:rPr>
                <w:rFonts w:ascii="Calibri" w:hAnsi="Calibri"/>
                <w:sz w:val="22"/>
              </w:rPr>
              <w:t>+0.4%</w:t>
            </w:r>
          </w:p>
        </w:tc>
        <w:tc>
          <w:tcPr>
            <w:tcW w:type="dxa" w:w="1080"/>
          </w:tcPr>
          <w:p>
            <w:r>
              <w:rPr>
                <w:rFonts w:ascii="Calibri" w:hAnsi="Calibri"/>
                <w:sz w:val="22"/>
              </w:rPr>
              <w:t>N/A (not guided directly)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FY 2026</w:t>
            </w:r>
          </w:p>
        </w:tc>
        <w:tc>
          <w:tcPr>
            <w:tcW w:type="dxa" w:w="1080"/>
          </w:tcPr>
          <w:p>
            <w:r>
              <w:rPr>
                <w:rFonts w:ascii="Calibri" w:hAnsi="Calibri"/>
                <w:sz w:val="22"/>
              </w:rPr>
              <w:t>$11.30</w:t>
            </w:r>
          </w:p>
        </w:tc>
        <w:tc>
          <w:tcPr>
            <w:tcW w:type="dxa" w:w="1080"/>
          </w:tcPr>
          <w:p>
            <w:r>
              <w:rPr>
                <w:rFonts w:ascii="Calibri" w:hAnsi="Calibri"/>
                <w:sz w:val="22"/>
              </w:rPr>
              <w:t>$11.34</w:t>
            </w:r>
          </w:p>
        </w:tc>
        <w:tc>
          <w:tcPr>
            <w:tcW w:type="dxa" w:w="1080"/>
          </w:tcPr>
          <w:p>
            <w:r>
              <w:rPr>
                <w:rFonts w:ascii="Calibri" w:hAnsi="Calibri"/>
                <w:sz w:val="22"/>
              </w:rPr>
              <w:t>+0.4%</w:t>
            </w:r>
          </w:p>
        </w:tc>
        <w:tc>
          <w:tcPr>
            <w:tcW w:type="dxa" w:w="1080"/>
          </w:tcPr>
          <w:p>
            <w:r>
              <w:rPr>
                <w:rFonts w:ascii="Calibri" w:hAnsi="Calibri"/>
                <w:sz w:val="22"/>
              </w:rPr>
              <w:t>N/A (not guided directly)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barely moved since the Q1 2026 print — all key metrics are within 0.5% of where they stood five days post-earnings. This flat revision trajectory reflects a Street that is anchored to guidance rather than building in incremental optimism or pessimism. The slight downward drift in Q2 revenue consensus (−0.2%) and the fact that volume consensus implies a modest sequential decline (vs. guidance for sequential growth) represent the only minor divergence from guidance — a potential source of upside if volumes track the guidance direction.</w:t>
      </w:r>
    </w:p>
    <w:p>
      <w:r>
        <w:rPr>
          <w:rFonts w:ascii="Calibri" w:hAnsi="Calibri"/>
          <w:i/>
          <w:color w:val="525866"/>
          <w:sz w:val="22"/>
        </w:rPr>
        <w:t>Source: Visible Alpha Consensus and Actuals Data (as-of dates: May 5, 2026 and July 28,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ALGN has </w:t>
      </w:r>
      <w:r>
        <w:rPr>
          <w:rFonts w:ascii="Calibri" w:hAnsi="Calibri"/>
          <w:b/>
          <w:color w:val="525866"/>
          <w:sz w:val="22"/>
        </w:rPr>
        <w:t>significantly underperformed</w:t>
      </w:r>
      <w:r>
        <w:rPr>
          <w:rFonts w:ascii="Calibri" w:hAnsi="Calibri"/>
          <w:color w:val="525866"/>
          <w:sz w:val="22"/>
        </w:rPr>
        <w:t xml:space="preserve"> the MedTech peer average since the Q1 2026 earnings print (−1.6% vs. peer avg +7.5%), suggesting the stock has not priced in a beat — performance has been driven by </w:t>
      </w:r>
      <w:r>
        <w:rPr>
          <w:rFonts w:ascii="Calibri" w:hAnsi="Calibri"/>
          <w:b/>
          <w:color w:val="525866"/>
          <w:sz w:val="22"/>
        </w:rPr>
        <w:t>multiple compression and macro sentiment</w:t>
      </w:r>
      <w:r>
        <w:rPr>
          <w:rFonts w:ascii="Calibri" w:hAnsi="Calibri"/>
          <w:color w:val="525866"/>
          <w:sz w:val="22"/>
        </w:rPr>
        <w:t xml:space="preserve"> rather than estimate revisions, which have been flat.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ALGN vs. MedTech Peers (EW, SYK, MDT avg) vs. ISRG — Indexed to 100 at Q1 2026 Earnings (Apr 29, 2026). Source: Stock Price Data.</w:t>
      </w:r>
    </w:p>
    <w:p>
      <w:r>
        <w:rPr>
          <w:rFonts w:ascii="Calibri" w:hAnsi="Calibri"/>
          <w:b/>
          <w:color w:val="525866"/>
          <w:sz w:val="22"/>
        </w:rPr>
        <w:t xml:space="preserve">Sector ETF note: </w:t>
      </w:r>
      <w:r>
        <w:rPr>
          <w:rFonts w:ascii="Calibri" w:hAnsi="Calibri"/>
          <w:color w:val="525866"/>
          <w:sz w:val="22"/>
        </w:rPr>
        <w:t>Given ALGN’s medical device sub-sector positioning, the peer basket uses EW (Edwards Lifesciences), SYK (Stryker), and MDT (Medtronic) as the MedTech peer average, with ISRG (Intuitive Surgical) shown separately as the closest high-growth medtech analog. No single sector ETF perfectly captures ALGN’s dental/orthodontic niche.</w:t>
      </w:r>
    </w:p>
    <w:p>
      <w:r>
        <w:rPr>
          <w:rFonts w:ascii="Calibri" w:hAnsi="Calibri"/>
          <w:color w:val="525866"/>
          <w:sz w:val="22"/>
        </w:rPr>
        <w:t xml:space="preserve">Since the Q1 2026 earnings print on April 29, ALGN has returned −1.6% while the MedTech peer average (EW, SYK, MDT) returned +7.5% and ISRG declined −20.3% (driven by its own Q2 2026 earnings miss on July 17). ALGN’s underperformance vs. the broader MedTech peer group reflects persistent investor skepticism around North America retail recovery and the macro/Middle East overhang, despite the clean Q1 beat. Key events marked on the chart: the May 27 Technology Update Event (product portfolio highlights including Invisalign Palate Expander and ART), the June 8 Goldman Sachs Healthcare Conference (CFO confirmed no demand deterioration), the June 18 Chairman retirement announcement (C. Raymond Larkin Jr. retiring, Kevin Conroy appointed), and the July 8 CLO resignation (Julie Coletti departing for Illumina). None of these events triggered a sustained re-rating. The stock’s flat-to-down performance despite flat estimates and a conservative guidance bar suggests </w:t>
      </w:r>
      <w:r>
        <w:rPr>
          <w:rFonts w:ascii="Calibri" w:hAnsi="Calibri"/>
          <w:b/>
          <w:color w:val="525866"/>
          <w:sz w:val="22"/>
        </w:rPr>
        <w:t>valuation is not stretched</w:t>
      </w:r>
      <w:r>
        <w:rPr>
          <w:rFonts w:ascii="Calibri" w:hAnsi="Calibri"/>
          <w:color w:val="525866"/>
          <w:sz w:val="22"/>
        </w:rPr>
        <w:t xml:space="preserve"> and a clean Q2 delivery could be a positive catalyst.</w:t>
      </w:r>
    </w:p>
    <w:p>
      <w:r>
        <w:br w:type="page"/>
      </w:r>
    </w:p>
    <w:p>
      <w:pPr>
        <w:pStyle w:val="Heading2"/>
      </w:pPr>
      <w:r>
        <w:rPr>
          <w:rFonts w:ascii="Calibri" w:hAnsi="Calibri"/>
          <w:b/>
          <w:color w:val="3B4259"/>
          <w:sz w:val="28"/>
        </w:rPr>
        <w:t>6. Peer Commentaries — Read-Through for Q2 2026</w:t>
      </w:r>
    </w:p>
    <w:p>
      <w:r>
        <w:rPr>
          <w:rFonts w:ascii="Calibri" w:hAnsi="Calibri"/>
          <w:b/>
          <w:color w:val="525866"/>
          <w:sz w:val="22"/>
        </w:rPr>
        <w:t xml:space="preserve">Key Takeaway: </w:t>
      </w:r>
      <w:r>
        <w:rPr>
          <w:rFonts w:ascii="Calibri" w:hAnsi="Calibri"/>
          <w:color w:val="525866"/>
          <w:sz w:val="22"/>
        </w:rPr>
        <w:t xml:space="preserve">Peer commentary from Q2 2026 earnings (ISRG, EW) and MDT’s fiscal Q4 2026 (ended April 2026) offers </w:t>
      </w:r>
      <w:r>
        <w:rPr>
          <w:rFonts w:ascii="Calibri" w:hAnsi="Calibri"/>
          <w:b/>
          <w:color w:val="525866"/>
          <w:sz w:val="22"/>
        </w:rPr>
        <w:t>mixed but net-cautious read-throughs</w:t>
      </w:r>
      <w:r>
        <w:rPr>
          <w:rFonts w:ascii="Calibri" w:hAnsi="Calibri"/>
          <w:color w:val="525866"/>
          <w:sz w:val="22"/>
        </w:rPr>
        <w:t xml:space="preserve"> for ALGN: elective/deferrable procedure softness in the U.S. (ISRG) is a headwind read-through, while strong international procedure volumes (ISRG, EW) and stable macro in MedTech (MDT) are constructive. None of the peers operate in dental/orthodontics directly, so read-throughs are thematic rather than direct.</w:t>
      </w:r>
    </w:p>
    <w:p>
      <w:pPr>
        <w:pStyle w:val="Heading3"/>
      </w:pPr>
      <w:r>
        <w:rPr>
          <w:rFonts w:ascii="Calibri" w:hAnsi="Calibri"/>
          <w:b/>
          <w:color w:val="3B4259"/>
          <w:sz w:val="24"/>
        </w:rPr>
        <w:t>Intuitive Surgical (ISRG) — Q2 2026 Earnings (Reported July 16, 2026)</w:t>
      </w:r>
    </w:p>
    <w:p>
      <w:r>
        <w:rPr>
          <w:rFonts w:ascii="Calibri" w:hAnsi="Calibri"/>
          <w:b/>
          <w:color w:val="525866"/>
          <w:sz w:val="22"/>
        </w:rPr>
        <w:t xml:space="preserve">Relevance to ALGN: </w:t>
      </w:r>
      <w:r>
        <w:rPr>
          <w:rFonts w:ascii="Calibri" w:hAnsi="Calibri"/>
          <w:color w:val="525866"/>
          <w:sz w:val="22"/>
        </w:rPr>
        <w:t>ISRG is the closest high-growth medtech analog to ALGN in terms of premium valuation, procedure-volume sensitivity, and consumer/patient behavior dynamics. ISRG’s commentary on U.S. elective procedure softness and ACA subsidy expiration is the most directly relevant peer read-through for ALGN’s North America retail channel.</w:t>
      </w:r>
    </w:p>
    <w:p>
      <w:pPr>
        <w:pStyle w:val="ListBullet"/>
        <w:ind w:left="360" w:hanging="360"/>
      </w:pPr>
      <w:r>
        <w:rPr>
          <w:rFonts w:ascii="Calibri" w:hAnsi="Calibri"/>
          <w:b/>
          <w:color w:val="525866"/>
          <w:sz w:val="22"/>
        </w:rPr>
        <w:t xml:space="preserve">U.S. elective/deferrable procedure softness — NEGATIVE read-through: </w:t>
      </w:r>
      <w:r>
        <w:rPr>
          <w:rFonts w:ascii="Calibri" w:hAnsi="Calibri"/>
          <w:color w:val="525866"/>
          <w:sz w:val="22"/>
        </w:rPr>
        <w:t xml:space="preserve">ISRG flagged that U.S. Da Vinci procedure growth “moderated from recent trends and our expectations at the start of the year, predominantly in procedures that can be deferred.” Customer conversations suggest “changes in patient coverage and premium dynamics may be affecting when patients seek care and move forward with treatment.” ISRG specifically cited “a modest adverse impact to Q2 U.S. Da Vinci procedure growth from those patients impacted by the expiration of subsidies for ACA enhanced premiums.” </w:t>
      </w:r>
    </w:p>
    <w:p>
      <w:pPr>
        <w:pStyle w:val="ListBullet"/>
        <w:ind w:left="360" w:hanging="360"/>
      </w:pPr>
      <w:r>
        <w:rPr>
          <w:rFonts w:ascii="Calibri" w:hAnsi="Calibri"/>
          <w:b/>
          <w:color w:val="525866"/>
          <w:sz w:val="22"/>
        </w:rPr>
        <w:t xml:space="preserve">Implication for ALGN: </w:t>
      </w:r>
      <w:r>
        <w:rPr>
          <w:rFonts w:ascii="Calibri" w:hAnsi="Calibri"/>
          <w:color w:val="525866"/>
          <w:sz w:val="22"/>
        </w:rPr>
        <w:t>Orthodontic treatment is an elective, consumer-discretionary spend. If patients are deferring surgical procedures due to coverage/premium concerns, the same dynamic could weigh on Invisalign case starts in the North America retail channel — consistent with ALGN management’s own commentary about “less patient traffic” in Q1 2026.</w:t>
      </w:r>
    </w:p>
    <w:p>
      <w:pPr>
        <w:pStyle w:val="ListBullet"/>
        <w:ind w:left="360" w:hanging="360"/>
      </w:pPr>
      <w:r>
        <w:rPr>
          <w:rFonts w:ascii="Calibri" w:hAnsi="Calibri"/>
          <w:b/>
          <w:color w:val="525866"/>
          <w:sz w:val="22"/>
        </w:rPr>
        <w:t xml:space="preserve">Benign procedure moderation started in Q1 — NEGATIVE read-through: </w:t>
      </w:r>
      <w:r>
        <w:rPr>
          <w:rFonts w:ascii="Calibri" w:hAnsi="Calibri"/>
          <w:color w:val="525866"/>
          <w:sz w:val="22"/>
        </w:rPr>
        <w:t>ISRG noted “a slight moderation in procedure growth rate that started in Q1” for benign procedures (a subset of which can be deferred). This suggests the softness in deferrable procedures is not a new Q2 phenomenon but a trend that began earlier, which may mean ALGN’s North America retail headwind is also not a new deterioration but a continuation.</w:t>
      </w:r>
    </w:p>
    <w:p>
      <w:pPr>
        <w:pStyle w:val="ListBullet"/>
        <w:ind w:left="360" w:hanging="360"/>
      </w:pPr>
      <w:r>
        <w:rPr>
          <w:rFonts w:ascii="Calibri" w:hAnsi="Calibri"/>
          <w:b/>
          <w:color w:val="525866"/>
          <w:sz w:val="22"/>
        </w:rPr>
        <w:t xml:space="preserve">International procedure volumes remain strong — POSITIVE read-through: </w:t>
      </w:r>
      <w:r>
        <w:rPr>
          <w:rFonts w:ascii="Calibri" w:hAnsi="Calibri"/>
          <w:color w:val="525866"/>
          <w:sz w:val="22"/>
        </w:rPr>
        <w:t>Outside the U.S., ISRG Da Vinci procedure growth was +20% YoY, with strong results in India, Italy, Taiwan, and the UK. Europe and Asia each grew 20%, rest of world +22%. This broad-based international strength is consistent with ALGN’s own international momentum (record Q1 volumes across EMEA, APAC, and Latin America) and supports the view that ALGN’s international business should continue to deliver double-digit growth in Q2.</w:t>
      </w:r>
    </w:p>
    <w:p>
      <w:pPr>
        <w:pStyle w:val="ListBullet"/>
        <w:ind w:left="360" w:hanging="360"/>
      </w:pPr>
      <w:r>
        <w:rPr>
          <w:rFonts w:ascii="Calibri" w:hAnsi="Calibri"/>
          <w:b/>
          <w:color w:val="525866"/>
          <w:sz w:val="22"/>
        </w:rPr>
        <w:t xml:space="preserve">China remains challenging — NEUTRAL read-through: </w:t>
      </w:r>
      <w:r>
        <w:rPr>
          <w:rFonts w:ascii="Calibri" w:hAnsi="Calibri"/>
          <w:color w:val="525866"/>
          <w:sz w:val="22"/>
        </w:rPr>
        <w:t>ISRG described China as “challenging” with “lower tender activity, increased domestic robotic competition and policy-driven pricing pressure.” For ALGN, China delivered record Q1 volumes with double-digit growth, but management explicitly cautioned against using the word “normal” in China. ISRG’s China commentary reinforces that the competitive and policy environment remains dynamic, though ALGN’s China exposure is through a different mechanism (consumer orthodontics vs. hospital capital equipment).</w:t>
      </w:r>
    </w:p>
    <w:p>
      <w:pPr>
        <w:pStyle w:val="ListBullet"/>
        <w:ind w:left="360" w:hanging="360"/>
      </w:pPr>
      <w:r>
        <w:rPr>
          <w:rFonts w:ascii="Calibri" w:hAnsi="Calibri"/>
          <w:b/>
          <w:color w:val="525866"/>
          <w:sz w:val="22"/>
        </w:rPr>
        <w:t xml:space="preserve">U.S. capital environment stable — POSITIVE read-through for iTero: </w:t>
      </w:r>
      <w:r>
        <w:rPr>
          <w:rFonts w:ascii="Calibri" w:hAnsi="Calibri"/>
          <w:color w:val="525866"/>
          <w:sz w:val="22"/>
        </w:rPr>
        <w:t>ISRG noted the U.S. capital environment “has been stable for some time now,” with healthy system placements in Q2 (up 24% in the U.S.). This is a modest positive read-through for ALGN’s Systems &amp; Services (iTero scanner) segment, which is expected to be up sequentially in Q2 2026.</w:t>
      </w:r>
    </w:p>
    <w:p>
      <w:pPr>
        <w:pStyle w:val="Heading3"/>
      </w:pPr>
      <w:r>
        <w:rPr>
          <w:rFonts w:ascii="Calibri" w:hAnsi="Calibri"/>
          <w:b/>
          <w:color w:val="3B4259"/>
          <w:sz w:val="24"/>
        </w:rPr>
        <w:t>Edwards Lifesciences (EW) — Q2 2026 Earnings (Reported July 23, 2026)</w:t>
      </w:r>
    </w:p>
    <w:p>
      <w:r>
        <w:rPr>
          <w:rFonts w:ascii="Calibri" w:hAnsi="Calibri"/>
          <w:b/>
          <w:color w:val="525866"/>
          <w:sz w:val="22"/>
        </w:rPr>
        <w:t xml:space="preserve">Relevance to ALGN: </w:t>
      </w:r>
      <w:r>
        <w:rPr>
          <w:rFonts w:ascii="Calibri" w:hAnsi="Calibri"/>
          <w:color w:val="525866"/>
          <w:sz w:val="22"/>
        </w:rPr>
        <w:t>EW is a premium MedTech comps with strong international exposure. Its Q2 2026 commentary on procedure volumes, macro environment, and international markets provides a read-through on the broader MedTech demand environment heading into ALGN’s print.</w:t>
      </w:r>
    </w:p>
    <w:p>
      <w:pPr>
        <w:pStyle w:val="ListBullet"/>
        <w:ind w:left="360" w:hanging="360"/>
      </w:pPr>
      <w:r>
        <w:rPr>
          <w:rFonts w:ascii="Calibri" w:hAnsi="Calibri"/>
          <w:b/>
          <w:color w:val="525866"/>
          <w:sz w:val="22"/>
        </w:rPr>
        <w:t xml:space="preserve">Stronger-than-expected Q2 results — POSITIVE read-through: </w:t>
      </w:r>
      <w:r>
        <w:rPr>
          <w:rFonts w:ascii="Calibri" w:hAnsi="Calibri"/>
          <w:color w:val="525866"/>
          <w:sz w:val="22"/>
        </w:rPr>
        <w:t>EW delivered Q2 2026 sales growth of +12.5% YoY (total sales $1.74B), beating expectations and raising full-year guidance to +10–11% from +9–11%. This broad-based outperformance across all product groups and regions suggests the MedTech demand environment in Q2 2026 was generally healthy, which is a constructive backdrop for ALGN.</w:t>
      </w:r>
    </w:p>
    <w:p>
      <w:pPr>
        <w:pStyle w:val="ListBullet"/>
        <w:ind w:left="360" w:hanging="360"/>
      </w:pPr>
      <w:r>
        <w:rPr>
          <w:rFonts w:ascii="Calibri" w:hAnsi="Calibri"/>
          <w:b/>
          <w:color w:val="525866"/>
          <w:sz w:val="22"/>
        </w:rPr>
        <w:t xml:space="preserve">No macro headwinds flagged — POSITIVE read-through: </w:t>
      </w:r>
      <w:r>
        <w:rPr>
          <w:rFonts w:ascii="Calibri" w:hAnsi="Calibri"/>
          <w:color w:val="525866"/>
          <w:sz w:val="22"/>
        </w:rPr>
        <w:t>EW’s Q2 commentary contained no specific mention of macro headwinds, consumer sentiment deterioration, or Middle East-related demand impacts. The absence of negative macro commentary from a company with significant international exposure (including EMEA) is a mild positive read-through for ALGN, suggesting the Middle East overhang may not have materially worsened in Q2.</w:t>
      </w:r>
    </w:p>
    <w:p>
      <w:pPr>
        <w:pStyle w:val="ListBullet"/>
        <w:ind w:left="360" w:hanging="360"/>
      </w:pPr>
      <w:r>
        <w:rPr>
          <w:rFonts w:ascii="Calibri" w:hAnsi="Calibri"/>
          <w:b/>
          <w:color w:val="525866"/>
          <w:sz w:val="22"/>
        </w:rPr>
        <w:t xml:space="preserve">International strength broad-based — POSITIVE read-through: </w:t>
      </w:r>
      <w:r>
        <w:rPr>
          <w:rFonts w:ascii="Calibri" w:hAnsi="Calibri"/>
          <w:color w:val="525866"/>
          <w:sz w:val="22"/>
        </w:rPr>
        <w:t>EW saw “meaningful contribution from each of its regions,” with TAVR growth rates “similar in the US and outside of the US.” Strong adoption in Europe (updated ESC guidelines reinforcing TAVR) and Japan (asymptomatic indication approval) reflects a healthy international MedTech environment — consistent with ALGN’s international momentum.</w:t>
      </w:r>
    </w:p>
    <w:p>
      <w:pPr>
        <w:pStyle w:val="ListBullet"/>
        <w:ind w:left="360" w:hanging="360"/>
      </w:pPr>
      <w:r>
        <w:rPr>
          <w:rFonts w:ascii="Calibri" w:hAnsi="Calibri"/>
          <w:b/>
          <w:color w:val="525866"/>
          <w:sz w:val="22"/>
        </w:rPr>
        <w:t xml:space="preserve">Stable ASPs globally — NEUTRAL read-through: </w:t>
      </w:r>
      <w:r>
        <w:rPr>
          <w:rFonts w:ascii="Calibri" w:hAnsi="Calibri"/>
          <w:color w:val="525866"/>
          <w:sz w:val="22"/>
        </w:rPr>
        <w:t>EW noted “average selling prices were stable globally.” For ALGN, ASP is guided flat sequentially and YoY in Q2, with the mix shift to lower-priced products and geographies expected to be offset by price increases. EW’s stable ASP environment is a neutral-to-mild positive read-through.</w:t>
      </w:r>
    </w:p>
    <w:p>
      <w:pPr>
        <w:pStyle w:val="Heading3"/>
      </w:pPr>
      <w:r>
        <w:rPr>
          <w:rFonts w:ascii="Calibri" w:hAnsi="Calibri"/>
          <w:b/>
          <w:color w:val="3B4259"/>
          <w:sz w:val="24"/>
        </w:rPr>
        <w:t>Medtronic (MDT) — Fiscal Q4 2026 Earnings (Reported June 3, 2026; Fiscal Year Ended April 2026)</w:t>
      </w:r>
    </w:p>
    <w:p>
      <w:r>
        <w:rPr>
          <w:rFonts w:ascii="Calibri" w:hAnsi="Calibri"/>
          <w:b/>
          <w:color w:val="525866"/>
          <w:sz w:val="22"/>
        </w:rPr>
        <w:t xml:space="preserve">Relevance to ALGN: </w:t>
      </w:r>
      <w:r>
        <w:rPr>
          <w:rFonts w:ascii="Calibri" w:hAnsi="Calibri"/>
          <w:color w:val="525866"/>
          <w:sz w:val="22"/>
        </w:rPr>
        <w:t>MDT’s fiscal Q4 2026 (ended April 24, 2026) covers the same calendar period as ALGN’s Q1 2026. MDT’s forward commentary on FY2027 (calendar 2026–2027) and macro environment is relevant as a read-through for the broader MedTech demand backdrop heading into ALGN’s Q2 2026 print.</w:t>
      </w:r>
    </w:p>
    <w:p>
      <w:pPr>
        <w:pStyle w:val="ListBullet"/>
        <w:ind w:left="360" w:hanging="360"/>
      </w:pPr>
      <w:r>
        <w:rPr>
          <w:rFonts w:ascii="Calibri" w:hAnsi="Calibri"/>
          <w:b/>
          <w:color w:val="525866"/>
          <w:sz w:val="22"/>
        </w:rPr>
        <w:t xml:space="preserve">Middle East freight/logistics headwind explicitly embedded — NEGATIVE read-through: </w:t>
      </w:r>
      <w:r>
        <w:rPr>
          <w:rFonts w:ascii="Calibri" w:hAnsi="Calibri"/>
          <w:color w:val="525866"/>
          <w:sz w:val="22"/>
        </w:rPr>
        <w:t>MDT embedded “a roughly 1-point headwind from increased fuel and transportation costs due to the conflict in the Middle East” in its FY2027 guidance. This is directly relevant to ALGN, which also flagged Middle East-related freight cost uncertainty in its Q2 guidance. MDT’s explicit quantification of the headwind (~1 point) suggests the impact is real but manageable — consistent with ALGN’s prudent-but-not-alarming stance.</w:t>
      </w:r>
    </w:p>
    <w:p>
      <w:pPr>
        <w:pStyle w:val="ListBullet"/>
        <w:ind w:left="360" w:hanging="360"/>
      </w:pPr>
      <w:r>
        <w:rPr>
          <w:rFonts w:ascii="Calibri" w:hAnsi="Calibri"/>
          <w:b/>
          <w:color w:val="525866"/>
          <w:sz w:val="22"/>
        </w:rPr>
        <w:t xml:space="preserve">MedTech structurally resilient despite challenging macro — POSITIVE read-through: </w:t>
      </w:r>
      <w:r>
        <w:rPr>
          <w:rFonts w:ascii="Calibri" w:hAnsi="Calibri"/>
          <w:color w:val="525866"/>
          <w:sz w:val="22"/>
        </w:rPr>
        <w:t>MDT described the “macro backdrop as challenging and dynamic” but emphasized that “MedTech is structurally resilient because the fundamentals are durable.” This framing — challenging macro but resilient underlying demand — is consistent with ALGN’s own narrative of operating in a “mid-forties to low-fifties consumer sentiment” environment as the new baseline.</w:t>
      </w:r>
    </w:p>
    <w:p>
      <w:pPr>
        <w:pStyle w:val="ListBullet"/>
        <w:ind w:left="360" w:hanging="360"/>
      </w:pPr>
      <w:r>
        <w:rPr>
          <w:rFonts w:ascii="Calibri" w:hAnsi="Calibri"/>
          <w:b/>
          <w:color w:val="525866"/>
          <w:sz w:val="22"/>
        </w:rPr>
        <w:t xml:space="preserve">Balanced geographic performance — POSITIVE read-through: </w:t>
      </w:r>
      <w:r>
        <w:rPr>
          <w:rFonts w:ascii="Calibri" w:hAnsi="Calibri"/>
          <w:color w:val="525866"/>
          <w:sz w:val="22"/>
        </w:rPr>
        <w:t>MDT delivered “7% growth in the U.S. and 6.2% internationally,” with China described as “a profitable growth market” growing at the corporate average. The balanced U.S./international performance and constructive China commentary are mild positives for ALGN’s international growth narrative.</w:t>
      </w:r>
    </w:p>
    <w:p>
      <w:pPr>
        <w:pStyle w:val="ListBullet"/>
        <w:ind w:left="360" w:hanging="360"/>
      </w:pPr>
      <w:r>
        <w:rPr>
          <w:rFonts w:ascii="Calibri" w:hAnsi="Calibri"/>
          <w:b/>
          <w:color w:val="525866"/>
          <w:sz w:val="22"/>
        </w:rPr>
        <w:t xml:space="preserve">Tariff impact quantified at ~$250M for FY2027 — NEUTRAL read-through: </w:t>
      </w:r>
      <w:r>
        <w:rPr>
          <w:rFonts w:ascii="Calibri" w:hAnsi="Calibri"/>
          <w:color w:val="525866"/>
          <w:sz w:val="22"/>
        </w:rPr>
        <w:t>MDT flagged a $250M tariff impact to COGS in FY2027. ALGN has not flagged material tariff exposure (resin/plastics contracts are largely fixed; manufacturing is primarily in Mexico and Costa Rica), so this is more of a sector-level awareness item than a direct read-through.</w:t>
      </w:r>
    </w:p>
    <w:p>
      <w:r>
        <w:rPr>
          <w:rFonts w:ascii="Calibri" w:hAnsi="Calibri"/>
          <w:b/>
          <w:color w:val="525866"/>
          <w:sz w:val="22"/>
        </w:rPr>
        <w:t>Summary Read-Through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Signal for ALGN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ISRG (Q2 2026)</w:t>
            </w:r>
          </w:p>
        </w:tc>
        <w:tc>
          <w:tcPr>
            <w:tcW w:type="dxa" w:w="2160"/>
          </w:tcPr>
          <w:p>
            <w:r>
              <w:rPr>
                <w:rFonts w:ascii="Calibri" w:hAnsi="Calibri"/>
                <w:sz w:val="22"/>
              </w:rPr>
              <w:t>U.S. deferrable procedure softness; ACA subsidy expiration impact</w:t>
            </w:r>
          </w:p>
        </w:tc>
        <w:tc>
          <w:tcPr>
            <w:tcW w:type="dxa" w:w="2160"/>
          </w:tcPr>
          <w:p>
            <w:r>
              <w:rPr>
                <w:rFonts w:ascii="Calibri" w:hAnsi="Calibri"/>
                <w:sz w:val="22"/>
              </w:rPr>
              <w:t>North America retail patient traffic headwind likely continued in Q2</w:t>
            </w:r>
          </w:p>
        </w:tc>
        <w:tc>
          <w:tcPr>
            <w:tcW w:type="dxa" w:w="2160"/>
          </w:tcPr>
          <w:p>
            <w:r>
              <w:rPr>
                <w:rFonts w:ascii="Calibri" w:hAnsi="Calibri"/>
                <w:b/>
                <w:color w:val="E5484D"/>
                <w:sz w:val="22"/>
              </w:rPr>
              <w:t>Negative</w:t>
            </w:r>
          </w:p>
        </w:tc>
      </w:tr>
      <w:tr>
        <w:tc>
          <w:tcPr>
            <w:tcW w:type="dxa" w:w="2160"/>
          </w:tcPr>
          <w:p>
            <w:r>
              <w:rPr>
                <w:rFonts w:ascii="Calibri" w:hAnsi="Calibri"/>
                <w:sz w:val="22"/>
              </w:rPr>
              <w:t>ISRG (Q2 2026)</w:t>
            </w:r>
          </w:p>
        </w:tc>
        <w:tc>
          <w:tcPr>
            <w:tcW w:type="dxa" w:w="2160"/>
          </w:tcPr>
          <w:p>
            <w:r>
              <w:rPr>
                <w:rFonts w:ascii="Calibri" w:hAnsi="Calibri"/>
                <w:sz w:val="22"/>
              </w:rPr>
              <w:t>International procedure volumes +20% OUS; broad-based strength</w:t>
            </w:r>
          </w:p>
        </w:tc>
        <w:tc>
          <w:tcPr>
            <w:tcW w:type="dxa" w:w="2160"/>
          </w:tcPr>
          <w:p>
            <w:r>
              <w:rPr>
                <w:rFonts w:ascii="Calibri" w:hAnsi="Calibri"/>
                <w:sz w:val="22"/>
              </w:rPr>
              <w:t>ALGN international (EMEA, APAC, LatAm) likely continued double-digit growth</w:t>
            </w:r>
          </w:p>
        </w:tc>
        <w:tc>
          <w:tcPr>
            <w:tcW w:type="dxa" w:w="2160"/>
          </w:tcPr>
          <w:p>
            <w:r>
              <w:rPr>
                <w:rFonts w:ascii="Calibri" w:hAnsi="Calibri"/>
                <w:b/>
                <w:color w:val="30A46C"/>
                <w:sz w:val="22"/>
              </w:rPr>
              <w:t>Positive</w:t>
            </w:r>
          </w:p>
        </w:tc>
      </w:tr>
      <w:tr>
        <w:tc>
          <w:tcPr>
            <w:tcW w:type="dxa" w:w="2160"/>
          </w:tcPr>
          <w:p>
            <w:r>
              <w:rPr>
                <w:rFonts w:ascii="Calibri" w:hAnsi="Calibri"/>
                <w:sz w:val="22"/>
              </w:rPr>
              <w:t>ISRG (Q2 2026)</w:t>
            </w:r>
          </w:p>
        </w:tc>
        <w:tc>
          <w:tcPr>
            <w:tcW w:type="dxa" w:w="2160"/>
          </w:tcPr>
          <w:p>
            <w:r>
              <w:rPr>
                <w:rFonts w:ascii="Calibri" w:hAnsi="Calibri"/>
                <w:sz w:val="22"/>
              </w:rPr>
              <w:t>U.S. capital environment stable; system placements +24%</w:t>
            </w:r>
          </w:p>
        </w:tc>
        <w:tc>
          <w:tcPr>
            <w:tcW w:type="dxa" w:w="2160"/>
          </w:tcPr>
          <w:p>
            <w:r>
              <w:rPr>
                <w:rFonts w:ascii="Calibri" w:hAnsi="Calibri"/>
                <w:sz w:val="22"/>
              </w:rPr>
              <w:t>Mild positive for iTero scanner demand (up sequentially guided)</w:t>
            </w:r>
          </w:p>
        </w:tc>
        <w:tc>
          <w:tcPr>
            <w:tcW w:type="dxa" w:w="2160"/>
          </w:tcPr>
          <w:p>
            <w:r>
              <w:rPr>
                <w:rFonts w:ascii="Calibri" w:hAnsi="Calibri"/>
                <w:b/>
                <w:color w:val="30A46C"/>
                <w:sz w:val="22"/>
              </w:rPr>
              <w:t>Positive</w:t>
            </w:r>
          </w:p>
        </w:tc>
      </w:tr>
      <w:tr>
        <w:tc>
          <w:tcPr>
            <w:tcW w:type="dxa" w:w="2160"/>
          </w:tcPr>
          <w:p>
            <w:r>
              <w:rPr>
                <w:rFonts w:ascii="Calibri" w:hAnsi="Calibri"/>
                <w:sz w:val="22"/>
              </w:rPr>
              <w:t>EW (Q2 2026)</w:t>
            </w:r>
          </w:p>
        </w:tc>
        <w:tc>
          <w:tcPr>
            <w:tcW w:type="dxa" w:w="2160"/>
          </w:tcPr>
          <w:p>
            <w:r>
              <w:rPr>
                <w:rFonts w:ascii="Calibri" w:hAnsi="Calibri"/>
                <w:sz w:val="22"/>
              </w:rPr>
              <w:t>Stronger-than-expected results; raised full-year guidance</w:t>
            </w:r>
          </w:p>
        </w:tc>
        <w:tc>
          <w:tcPr>
            <w:tcW w:type="dxa" w:w="2160"/>
          </w:tcPr>
          <w:p>
            <w:r>
              <w:rPr>
                <w:rFonts w:ascii="Calibri" w:hAnsi="Calibri"/>
                <w:sz w:val="22"/>
              </w:rPr>
              <w:t>Healthy MedTech demand environment in Q2; constructive backdrop</w:t>
            </w:r>
          </w:p>
        </w:tc>
        <w:tc>
          <w:tcPr>
            <w:tcW w:type="dxa" w:w="2160"/>
          </w:tcPr>
          <w:p>
            <w:r>
              <w:rPr>
                <w:rFonts w:ascii="Calibri" w:hAnsi="Calibri"/>
                <w:b/>
                <w:color w:val="30A46C"/>
                <w:sz w:val="22"/>
              </w:rPr>
              <w:t>Positive</w:t>
            </w:r>
          </w:p>
        </w:tc>
      </w:tr>
      <w:tr>
        <w:tc>
          <w:tcPr>
            <w:tcW w:type="dxa" w:w="2160"/>
          </w:tcPr>
          <w:p>
            <w:r>
              <w:rPr>
                <w:rFonts w:ascii="Calibri" w:hAnsi="Calibri"/>
                <w:sz w:val="22"/>
              </w:rPr>
              <w:t>EW (Q2 2026)</w:t>
            </w:r>
          </w:p>
        </w:tc>
        <w:tc>
          <w:tcPr>
            <w:tcW w:type="dxa" w:w="2160"/>
          </w:tcPr>
          <w:p>
            <w:r>
              <w:rPr>
                <w:rFonts w:ascii="Calibri" w:hAnsi="Calibri"/>
                <w:sz w:val="22"/>
              </w:rPr>
              <w:t>No macro/Middle East headwinds flagged</w:t>
            </w:r>
          </w:p>
        </w:tc>
        <w:tc>
          <w:tcPr>
            <w:tcW w:type="dxa" w:w="2160"/>
          </w:tcPr>
          <w:p>
            <w:r>
              <w:rPr>
                <w:rFonts w:ascii="Calibri" w:hAnsi="Calibri"/>
                <w:sz w:val="22"/>
              </w:rPr>
              <w:t>Middle East impact may not have worsened materially in Q2</w:t>
            </w:r>
          </w:p>
        </w:tc>
        <w:tc>
          <w:tcPr>
            <w:tcW w:type="dxa" w:w="2160"/>
          </w:tcPr>
          <w:p>
            <w:r>
              <w:rPr>
                <w:rFonts w:ascii="Calibri" w:hAnsi="Calibri"/>
                <w:b/>
                <w:color w:val="30A46C"/>
                <w:sz w:val="22"/>
              </w:rPr>
              <w:t>Positive</w:t>
            </w:r>
          </w:p>
        </w:tc>
      </w:tr>
      <w:tr>
        <w:tc>
          <w:tcPr>
            <w:tcW w:type="dxa" w:w="2160"/>
          </w:tcPr>
          <w:p>
            <w:r>
              <w:rPr>
                <w:rFonts w:ascii="Calibri" w:hAnsi="Calibri"/>
                <w:sz w:val="22"/>
              </w:rPr>
              <w:t>MDT (FQ4 2026)</w:t>
            </w:r>
          </w:p>
        </w:tc>
        <w:tc>
          <w:tcPr>
            <w:tcW w:type="dxa" w:w="2160"/>
          </w:tcPr>
          <w:p>
            <w:r>
              <w:rPr>
                <w:rFonts w:ascii="Calibri" w:hAnsi="Calibri"/>
                <w:sz w:val="22"/>
              </w:rPr>
              <w:t>~1pt Middle East freight headwind embedded in guidance</w:t>
            </w:r>
          </w:p>
        </w:tc>
        <w:tc>
          <w:tcPr>
            <w:tcW w:type="dxa" w:w="2160"/>
          </w:tcPr>
          <w:p>
            <w:r>
              <w:rPr>
                <w:rFonts w:ascii="Calibri" w:hAnsi="Calibri"/>
                <w:sz w:val="22"/>
              </w:rPr>
              <w:t>Freight cost headwind real but manageable; consistent with ALGN’s stance</w:t>
            </w:r>
          </w:p>
        </w:tc>
        <w:tc>
          <w:tcPr>
            <w:tcW w:type="dxa" w:w="2160"/>
          </w:tcPr>
          <w:p>
            <w:r>
              <w:rPr>
                <w:rFonts w:ascii="Calibri" w:hAnsi="Calibri"/>
                <w:b/>
                <w:sz w:val="22"/>
              </w:rPr>
              <w:t>Neutral</w:t>
            </w:r>
          </w:p>
        </w:tc>
      </w:tr>
      <w:tr>
        <w:tc>
          <w:tcPr>
            <w:tcW w:type="dxa" w:w="2160"/>
          </w:tcPr>
          <w:p>
            <w:r>
              <w:rPr>
                <w:rFonts w:ascii="Calibri" w:hAnsi="Calibri"/>
                <w:sz w:val="22"/>
              </w:rPr>
              <w:t>MDT (FQ4 2026)</w:t>
            </w:r>
          </w:p>
        </w:tc>
        <w:tc>
          <w:tcPr>
            <w:tcW w:type="dxa" w:w="2160"/>
          </w:tcPr>
          <w:p>
            <w:r>
              <w:rPr>
                <w:rFonts w:ascii="Calibri" w:hAnsi="Calibri"/>
                <w:sz w:val="22"/>
              </w:rPr>
              <w:t>MedTech structurally resilient; challenging but durable macro</w:t>
            </w:r>
          </w:p>
        </w:tc>
        <w:tc>
          <w:tcPr>
            <w:tcW w:type="dxa" w:w="2160"/>
          </w:tcPr>
          <w:p>
            <w:r>
              <w:rPr>
                <w:rFonts w:ascii="Calibri" w:hAnsi="Calibri"/>
                <w:sz w:val="22"/>
              </w:rPr>
              <w:t>Supports ALGN’s “operating in challenging macro as baseline” narrative</w:t>
            </w:r>
          </w:p>
        </w:tc>
        <w:tc>
          <w:tcPr>
            <w:tcW w:type="dxa" w:w="2160"/>
          </w:tcPr>
          <w:p>
            <w:r>
              <w:rPr>
                <w:rFonts w:ascii="Calibri" w:hAnsi="Calibri"/>
                <w:b/>
                <w:color w:val="30A46C"/>
                <w:sz w:val="22"/>
              </w:rPr>
              <w:t>Positive</w:t>
            </w:r>
          </w:p>
        </w:tc>
      </w:tr>
    </w:tbl>
    <w:p>
      <w:r>
        <w:rPr>
          <w:rFonts w:ascii="Calibri" w:hAnsi="Calibri"/>
          <w:i/>
          <w:color w:val="525866"/>
          <w:sz w:val="22"/>
        </w:rPr>
        <w:t>Sources: ISRG Q2 2026 Earnings Call (July 16, 2026); EW Q2 2026 Earnings Call (July 23, 2026); MDT Fiscal Q4 2026 Earnings Call (June 3,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deliberate conservatism in Q2 guidance confirmed at the Goldman Sachs Healthcare Conference</w:t>
      </w:r>
      <w:r>
        <w:rPr>
          <w:rFonts w:ascii="Calibri" w:hAnsi="Calibri"/>
          <w:color w:val="525866"/>
          <w:sz w:val="22"/>
        </w:rPr>
        <w:t xml:space="preserve"> — the CFO’s June 8 commentary that underlying demand has not deteriorated is the single most important signal heading into the print. Leadership transitions (Chairman retirement, CLO departure) are notable but not operationally disruptive.</w:t>
      </w:r>
    </w:p>
    <w:p>
      <w:pPr>
        <w:pStyle w:val="ListBullet"/>
        <w:ind w:left="360" w:hanging="360"/>
      </w:pPr>
      <w:r>
        <w:rPr>
          <w:rFonts w:ascii="Calibri" w:hAnsi="Calibri"/>
          <w:b/>
          <w:color w:val="525866"/>
          <w:sz w:val="22"/>
        </w:rPr>
        <w:t xml:space="preserve">June 8, 2026 — Goldman Sachs Healthcare Conference (CFO Commentary): </w:t>
      </w:r>
      <w:r>
        <w:rPr>
          <w:rFonts w:ascii="Calibri" w:hAnsi="Calibri"/>
          <w:color w:val="525866"/>
          <w:sz w:val="22"/>
        </w:rPr>
        <w:t xml:space="preserve">CFO confirmed the typical Q1→Q2 sequential revenue step-up is ~3%+ and the guidance midpoint of ~1% reflects deliberate conservatism around Middle East uncertainty and oil/logistics cost volatility — not any observed deterioration in underlying demand. Consumer sentiment has remained in the mid-forties to low-fifties range for multiple consecutive quarters and management views this as the operating baseline. </w:t>
      </w:r>
    </w:p>
    <w:p>
      <w:pPr>
        <w:pStyle w:val="ListBullet"/>
        <w:ind w:left="360" w:hanging="360"/>
      </w:pPr>
      <w:r>
        <w:rPr>
          <w:rFonts w:ascii="Calibri" w:hAnsi="Calibri"/>
          <w:b/>
          <w:color w:val="525866"/>
          <w:sz w:val="22"/>
        </w:rPr>
        <w:t xml:space="preserve">Implication: </w:t>
      </w:r>
      <w:r>
        <w:rPr>
          <w:rFonts w:ascii="Calibri" w:hAnsi="Calibri"/>
          <w:color w:val="525866"/>
          <w:sz w:val="22"/>
        </w:rPr>
        <w:t>This is the most important post-earnings data point — it sets up a potential beat if demand tracks the typical seasonal pattern.</w:t>
      </w:r>
    </w:p>
    <w:p>
      <w:pPr>
        <w:pStyle w:val="ListBullet"/>
        <w:ind w:left="360" w:hanging="360"/>
      </w:pPr>
      <w:r>
        <w:rPr>
          <w:rFonts w:ascii="Calibri" w:hAnsi="Calibri"/>
          <w:b/>
          <w:color w:val="525866"/>
          <w:sz w:val="22"/>
        </w:rPr>
        <w:t xml:space="preserve">May 27, 2026 — Align Technology Product Portfolio Update Event: </w:t>
      </w:r>
      <w:r>
        <w:rPr>
          <w:rFonts w:ascii="Calibri" w:hAnsi="Calibri"/>
          <w:color w:val="525866"/>
          <w:sz w:val="22"/>
        </w:rPr>
        <w:t xml:space="preserve">Company held a technology update event highlighting product portfolio evolution, including Invisalign Palate Expander enhancements, mandibular advancement with occlusal block, active conversion techniques, and ortho restorative initiatives involving labs (Invisalign ART). </w:t>
      </w:r>
    </w:p>
    <w:p>
      <w:pPr>
        <w:pStyle w:val="ListBullet"/>
        <w:ind w:left="360" w:hanging="360"/>
      </w:pPr>
      <w:r>
        <w:rPr>
          <w:rFonts w:ascii="Calibri" w:hAnsi="Calibri"/>
          <w:b/>
          <w:color w:val="525866"/>
          <w:sz w:val="22"/>
        </w:rPr>
        <w:t xml:space="preserve">Implication: </w:t>
      </w:r>
      <w:r>
        <w:rPr>
          <w:rFonts w:ascii="Calibri" w:hAnsi="Calibri"/>
          <w:color w:val="525866"/>
          <w:sz w:val="22"/>
        </w:rPr>
        <w:t>Reinforces the product innovation narrative and the lab-centric go-to-market strategy; no financial guidance changes.</w:t>
      </w:r>
    </w:p>
    <w:p>
      <w:pPr>
        <w:pStyle w:val="ListBullet"/>
        <w:ind w:left="360" w:hanging="360"/>
      </w:pPr>
      <w:r>
        <w:rPr>
          <w:rFonts w:ascii="Calibri" w:hAnsi="Calibri"/>
          <w:b/>
          <w:color w:val="525866"/>
          <w:sz w:val="22"/>
        </w:rPr>
        <w:t xml:space="preserve">June 18, 2026 — Board Leadership Transition (8-K): </w:t>
      </w:r>
      <w:r>
        <w:rPr>
          <w:rFonts w:ascii="Calibri" w:hAnsi="Calibri"/>
          <w:color w:val="525866"/>
          <w:sz w:val="22"/>
        </w:rPr>
        <w:t xml:space="preserve">C. Raymond Larkin Jr. announced retirement as Chairman effective July 1, 2026 (and as Board member effective December 31, 2026). Kevin Conroy, an independent director, appointed as new Chairman effective July 1, 2026. Larkin’s departure is not due to any disagreement with the company. </w:t>
      </w:r>
    </w:p>
    <w:p>
      <w:pPr>
        <w:pStyle w:val="ListBullet"/>
        <w:ind w:left="360" w:hanging="360"/>
      </w:pPr>
      <w:r>
        <w:rPr>
          <w:rFonts w:ascii="Calibri" w:hAnsi="Calibri"/>
          <w:b/>
          <w:color w:val="525866"/>
          <w:sz w:val="22"/>
        </w:rPr>
        <w:t xml:space="preserve">Implication: </w:t>
      </w:r>
      <w:r>
        <w:rPr>
          <w:rFonts w:ascii="Calibri" w:hAnsi="Calibri"/>
          <w:color w:val="525866"/>
          <w:sz w:val="22"/>
        </w:rPr>
        <w:t>Routine governance transition; no operational impact expected. Conroy is an existing independent director.</w:t>
      </w:r>
    </w:p>
    <w:p>
      <w:pPr>
        <w:pStyle w:val="ListBullet"/>
        <w:ind w:left="360" w:hanging="360"/>
      </w:pPr>
      <w:r>
        <w:rPr>
          <w:rFonts w:ascii="Calibri" w:hAnsi="Calibri"/>
          <w:b/>
          <w:color w:val="525866"/>
          <w:sz w:val="22"/>
        </w:rPr>
        <w:t xml:space="preserve">July 8, 2026 — Chief Legal Officer Resignation (8-K): </w:t>
      </w:r>
      <w:r>
        <w:rPr>
          <w:rFonts w:ascii="Calibri" w:hAnsi="Calibri"/>
          <w:color w:val="525866"/>
          <w:sz w:val="22"/>
        </w:rPr>
        <w:t xml:space="preserve">Julie Coletti, EVP and Chief Legal &amp; Regulatory Officer, resigned effective August 1, 2026 to join Illumina as Chief Legal Officer. CFO John Morici signed the 8-K filing. </w:t>
      </w:r>
    </w:p>
    <w:p>
      <w:pPr>
        <w:pStyle w:val="ListBullet"/>
        <w:ind w:left="360" w:hanging="360"/>
      </w:pPr>
      <w:r>
        <w:rPr>
          <w:rFonts w:ascii="Calibri" w:hAnsi="Calibri"/>
          <w:b/>
          <w:color w:val="525866"/>
          <w:sz w:val="22"/>
        </w:rPr>
        <w:t xml:space="preserve">Implication: </w:t>
      </w:r>
      <w:r>
        <w:rPr>
          <w:rFonts w:ascii="Calibri" w:hAnsi="Calibri"/>
          <w:color w:val="525866"/>
          <w:sz w:val="22"/>
        </w:rPr>
        <w:t>Loss of a senior legal/regulatory officer is worth monitoring given ALGN’s ongoing FDA approval process for direct-fab aligners, though the departure appears opportunistic (external offer) rather than company-specific concern.</w:t>
      </w:r>
    </w:p>
    <w:p>
      <w:pPr>
        <w:pStyle w:val="ListBullet"/>
        <w:ind w:left="360" w:hanging="360"/>
      </w:pPr>
      <w:r>
        <w:rPr>
          <w:rFonts w:ascii="Calibri" w:hAnsi="Calibri"/>
          <w:b/>
          <w:color w:val="525866"/>
          <w:sz w:val="22"/>
        </w:rPr>
        <w:t xml:space="preserve">April 30, 2026 — $200M Open Market Stock Repurchase Announced (8-K): </w:t>
      </w:r>
      <w:r>
        <w:rPr>
          <w:rFonts w:ascii="Calibri" w:hAnsi="Calibri"/>
          <w:color w:val="525866"/>
          <w:sz w:val="22"/>
        </w:rPr>
        <w:t xml:space="preserve">Align announced a new $200M open market repurchase program commencing approximately May 1, 2026 over a six-month period. $800M remains available under the existing authorization. </w:t>
      </w:r>
    </w:p>
    <w:p>
      <w:pPr>
        <w:pStyle w:val="ListBullet"/>
        <w:ind w:left="360" w:hanging="360"/>
      </w:pPr>
      <w:r>
        <w:rPr>
          <w:rFonts w:ascii="Calibri" w:hAnsi="Calibri"/>
          <w:b/>
          <w:color w:val="525866"/>
          <w:sz w:val="22"/>
        </w:rPr>
        <w:t xml:space="preserve">Implication: </w:t>
      </w:r>
      <w:r>
        <w:rPr>
          <w:rFonts w:ascii="Calibri" w:hAnsi="Calibri"/>
          <w:color w:val="525866"/>
          <w:sz w:val="22"/>
        </w:rPr>
        <w:t>Signals management confidence in the business trajectory and provides a technical support for the stock. CFO noted U.S. cash concentration (~20% of total cash) as a practical constraint on buyback pace.</w:t>
      </w:r>
    </w:p>
    <w:p>
      <w:pPr>
        <w:pStyle w:val="ListBullet"/>
        <w:ind w:left="360" w:hanging="360"/>
      </w:pPr>
      <w:r>
        <w:rPr>
          <w:rFonts w:ascii="Calibri" w:hAnsi="Calibri"/>
          <w:b/>
          <w:color w:val="525866"/>
          <w:sz w:val="22"/>
        </w:rPr>
        <w:t xml:space="preserve">Q2 2026 Earnings Date Confirmed — July 29, 2026 (After Market Close): </w:t>
      </w:r>
      <w:r>
        <w:rPr>
          <w:rFonts w:ascii="Calibri" w:hAnsi="Calibri"/>
          <w:color w:val="525866"/>
          <w:sz w:val="22"/>
        </w:rPr>
        <w:t>Align confirmed Q2 2026 results will be released July 29, 2026 after market close, with a conference call at 4:30 PM ET.</w:t>
      </w:r>
    </w:p>
    <w:p>
      <w:pPr>
        <w:pStyle w:val="ListBullet"/>
        <w:ind w:left="360" w:hanging="360"/>
      </w:pPr>
      <w:r>
        <w:rPr>
          <w:rFonts w:ascii="Calibri" w:hAnsi="Calibri"/>
          <w:b/>
          <w:color w:val="525866"/>
          <w:sz w:val="22"/>
        </w:rPr>
        <w:t xml:space="preserve">Analyst Ratings: </w:t>
      </w:r>
      <w:r>
        <w:rPr>
          <w:rFonts w:ascii="Calibri" w:hAnsi="Calibri"/>
          <w:color w:val="525866"/>
          <w:sz w:val="22"/>
        </w:rPr>
        <w:t>No analyst upgrades or downgrades were identified in the post-Q1 2026 period (April 29 – July 28, 2026) from available data.</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Q1 2026 earnings are </w:t>
      </w:r>
      <w:r>
        <w:rPr>
          <w:rFonts w:ascii="Calibri" w:hAnsi="Calibri"/>
          <w:b/>
          <w:color w:val="525866"/>
          <w:sz w:val="22"/>
        </w:rPr>
        <w:t>routine RSU/equity award vesting events (transaction code “M”)</w:t>
      </w:r>
      <w:r>
        <w:rPr>
          <w:rFonts w:ascii="Calibri" w:hAnsi="Calibri"/>
          <w:color w:val="525866"/>
          <w:sz w:val="22"/>
        </w:rPr>
        <w:t xml:space="preserve"> for non-employee directors — no open-market buys or discretionary sells. There is nothing notable to flag; the absence of open-market buying or selling by executives is neutral.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Conroy, Kevin T.</w:t>
            </w:r>
          </w:p>
        </w:tc>
        <w:tc>
          <w:tcPr>
            <w:tcW w:type="dxa" w:w="1440"/>
          </w:tcPr>
          <w:p>
            <w:r>
              <w:rPr>
                <w:rFonts w:ascii="Calibri" w:hAnsi="Calibri"/>
                <w:sz w:val="22"/>
              </w:rPr>
              <w:t>Director (new Chairman)</w:t>
            </w:r>
          </w:p>
        </w:tc>
        <w:tc>
          <w:tcPr>
            <w:tcW w:type="dxa" w:w="1440"/>
          </w:tcPr>
          <w:p>
            <w:r>
              <w:rPr>
                <w:rFonts w:ascii="Calibri" w:hAnsi="Calibri"/>
                <w:sz w:val="22"/>
              </w:rPr>
              <w:t>Equity Award Exercise (Code M)</w:t>
            </w:r>
          </w:p>
        </w:tc>
        <w:tc>
          <w:tcPr>
            <w:tcW w:type="dxa" w:w="1440"/>
          </w:tcPr>
          <w:p>
            <w:r>
              <w:rPr>
                <w:rFonts w:ascii="Calibri" w:hAnsi="Calibri"/>
                <w:sz w:val="22"/>
              </w:rPr>
              <w:t>1,745 shares</w:t>
            </w:r>
          </w:p>
        </w:tc>
        <w:tc>
          <w:tcPr>
            <w:tcW w:type="dxa" w:w="1440"/>
          </w:tcPr>
          <w:p>
            <w:r>
              <w:rPr>
                <w:rFonts w:ascii="Calibri" w:hAnsi="Calibri"/>
                <w:sz w:val="22"/>
              </w:rPr>
              <w:t>May 20, 2026</w:t>
            </w:r>
          </w:p>
        </w:tc>
        <w:tc>
          <w:tcPr>
            <w:tcW w:type="dxa" w:w="1440"/>
          </w:tcPr>
          <w:p>
            <w:r>
              <w:rPr>
                <w:rFonts w:ascii="Calibri" w:hAnsi="Calibri"/>
                <w:sz w:val="22"/>
              </w:rPr>
              <w:t>Routine director RSU vesting; not an open-market transaction.</w:t>
            </w:r>
          </w:p>
        </w:tc>
      </w:tr>
      <w:tr>
        <w:tc>
          <w:tcPr>
            <w:tcW w:type="dxa" w:w="1440"/>
          </w:tcPr>
          <w:p>
            <w:r>
              <w:rPr>
                <w:rFonts w:ascii="Calibri" w:hAnsi="Calibri"/>
                <w:sz w:val="22"/>
              </w:rPr>
              <w:t>Dallas, Kevin J.</w:t>
            </w:r>
          </w:p>
        </w:tc>
        <w:tc>
          <w:tcPr>
            <w:tcW w:type="dxa" w:w="1440"/>
          </w:tcPr>
          <w:p>
            <w:r>
              <w:rPr>
                <w:rFonts w:ascii="Calibri" w:hAnsi="Calibri"/>
                <w:sz w:val="22"/>
              </w:rPr>
              <w:t>Director</w:t>
            </w:r>
          </w:p>
        </w:tc>
        <w:tc>
          <w:tcPr>
            <w:tcW w:type="dxa" w:w="1440"/>
          </w:tcPr>
          <w:p>
            <w:r>
              <w:rPr>
                <w:rFonts w:ascii="Calibri" w:hAnsi="Calibri"/>
                <w:sz w:val="22"/>
              </w:rPr>
              <w:t>Equity Award Exercise (Code M)</w:t>
            </w:r>
          </w:p>
        </w:tc>
        <w:tc>
          <w:tcPr>
            <w:tcW w:type="dxa" w:w="1440"/>
          </w:tcPr>
          <w:p>
            <w:r>
              <w:rPr>
                <w:rFonts w:ascii="Calibri" w:hAnsi="Calibri"/>
                <w:sz w:val="22"/>
              </w:rPr>
              <w:t>1,745 shares</w:t>
            </w:r>
          </w:p>
        </w:tc>
        <w:tc>
          <w:tcPr>
            <w:tcW w:type="dxa" w:w="1440"/>
          </w:tcPr>
          <w:p>
            <w:r>
              <w:rPr>
                <w:rFonts w:ascii="Calibri" w:hAnsi="Calibri"/>
                <w:sz w:val="22"/>
              </w:rPr>
              <w:t>May 20, 2026</w:t>
            </w:r>
          </w:p>
        </w:tc>
        <w:tc>
          <w:tcPr>
            <w:tcW w:type="dxa" w:w="1440"/>
          </w:tcPr>
          <w:p>
            <w:r>
              <w:rPr>
                <w:rFonts w:ascii="Calibri" w:hAnsi="Calibri"/>
                <w:sz w:val="22"/>
              </w:rPr>
              <w:t>Routine director RSU vesting; not an open-market transaction.</w:t>
            </w:r>
          </w:p>
        </w:tc>
      </w:tr>
      <w:tr>
        <w:tc>
          <w:tcPr>
            <w:tcW w:type="dxa" w:w="1440"/>
          </w:tcPr>
          <w:p>
            <w:r>
              <w:rPr>
                <w:rFonts w:ascii="Calibri" w:hAnsi="Calibri"/>
                <w:sz w:val="22"/>
              </w:rPr>
              <w:t>Lacob, Joseph</w:t>
            </w:r>
          </w:p>
        </w:tc>
        <w:tc>
          <w:tcPr>
            <w:tcW w:type="dxa" w:w="1440"/>
          </w:tcPr>
          <w:p>
            <w:r>
              <w:rPr>
                <w:rFonts w:ascii="Calibri" w:hAnsi="Calibri"/>
                <w:sz w:val="22"/>
              </w:rPr>
              <w:t>Director</w:t>
            </w:r>
          </w:p>
        </w:tc>
        <w:tc>
          <w:tcPr>
            <w:tcW w:type="dxa" w:w="1440"/>
          </w:tcPr>
          <w:p>
            <w:r>
              <w:rPr>
                <w:rFonts w:ascii="Calibri" w:hAnsi="Calibri"/>
                <w:sz w:val="22"/>
              </w:rPr>
              <w:t>Equity Award Exercise (Code M)</w:t>
            </w:r>
          </w:p>
        </w:tc>
        <w:tc>
          <w:tcPr>
            <w:tcW w:type="dxa" w:w="1440"/>
          </w:tcPr>
          <w:p>
            <w:r>
              <w:rPr>
                <w:rFonts w:ascii="Calibri" w:hAnsi="Calibri"/>
                <w:sz w:val="22"/>
              </w:rPr>
              <w:t>1,745 shares (held by trust)</w:t>
            </w:r>
          </w:p>
        </w:tc>
        <w:tc>
          <w:tcPr>
            <w:tcW w:type="dxa" w:w="1440"/>
          </w:tcPr>
          <w:p>
            <w:r>
              <w:rPr>
                <w:rFonts w:ascii="Calibri" w:hAnsi="Calibri"/>
                <w:sz w:val="22"/>
              </w:rPr>
              <w:t>May 20, 2026</w:t>
            </w:r>
          </w:p>
        </w:tc>
        <w:tc>
          <w:tcPr>
            <w:tcW w:type="dxa" w:w="1440"/>
          </w:tcPr>
          <w:p>
            <w:r>
              <w:rPr>
                <w:rFonts w:ascii="Calibri" w:hAnsi="Calibri"/>
                <w:sz w:val="22"/>
              </w:rPr>
              <w:t>Routine director RSU vesting; held indirectly by trust.</w:t>
            </w:r>
          </w:p>
        </w:tc>
      </w:tr>
      <w:tr>
        <w:tc>
          <w:tcPr>
            <w:tcW w:type="dxa" w:w="1440"/>
          </w:tcPr>
          <w:p>
            <w:r>
              <w:rPr>
                <w:rFonts w:ascii="Calibri" w:hAnsi="Calibri"/>
                <w:sz w:val="22"/>
              </w:rPr>
              <w:t>Larkin, C. Raymond Jr.</w:t>
            </w:r>
          </w:p>
        </w:tc>
        <w:tc>
          <w:tcPr>
            <w:tcW w:type="dxa" w:w="1440"/>
          </w:tcPr>
          <w:p>
            <w:r>
              <w:rPr>
                <w:rFonts w:ascii="Calibri" w:hAnsi="Calibri"/>
                <w:sz w:val="22"/>
              </w:rPr>
              <w:t>Director (retiring Chairman)</w:t>
            </w:r>
          </w:p>
        </w:tc>
        <w:tc>
          <w:tcPr>
            <w:tcW w:type="dxa" w:w="1440"/>
          </w:tcPr>
          <w:p>
            <w:r>
              <w:rPr>
                <w:rFonts w:ascii="Calibri" w:hAnsi="Calibri"/>
                <w:sz w:val="22"/>
              </w:rPr>
              <w:t>Equity Award Exercise (Code M)</w:t>
            </w:r>
          </w:p>
        </w:tc>
        <w:tc>
          <w:tcPr>
            <w:tcW w:type="dxa" w:w="1440"/>
          </w:tcPr>
          <w:p>
            <w:r>
              <w:rPr>
                <w:rFonts w:ascii="Calibri" w:hAnsi="Calibri"/>
                <w:sz w:val="22"/>
              </w:rPr>
              <w:t>2,326 shares</w:t>
            </w:r>
          </w:p>
        </w:tc>
        <w:tc>
          <w:tcPr>
            <w:tcW w:type="dxa" w:w="1440"/>
          </w:tcPr>
          <w:p>
            <w:r>
              <w:rPr>
                <w:rFonts w:ascii="Calibri" w:hAnsi="Calibri"/>
                <w:sz w:val="22"/>
              </w:rPr>
              <w:t>May 20, 2026</w:t>
            </w:r>
          </w:p>
        </w:tc>
        <w:tc>
          <w:tcPr>
            <w:tcW w:type="dxa" w:w="1440"/>
          </w:tcPr>
          <w:p>
            <w:r>
              <w:rPr>
                <w:rFonts w:ascii="Calibri" w:hAnsi="Calibri"/>
                <w:sz w:val="22"/>
              </w:rPr>
              <w:t>Routine director RSU vesting; slightly larger grant reflecting Chairman role.</w:t>
            </w:r>
          </w:p>
        </w:tc>
      </w:tr>
      <w:tr>
        <w:tc>
          <w:tcPr>
            <w:tcW w:type="dxa" w:w="1440"/>
          </w:tcPr>
          <w:p>
            <w:r>
              <w:rPr>
                <w:rFonts w:ascii="Calibri" w:hAnsi="Calibri"/>
                <w:sz w:val="22"/>
              </w:rPr>
              <w:t>Morrow, George J.</w:t>
            </w:r>
          </w:p>
        </w:tc>
        <w:tc>
          <w:tcPr>
            <w:tcW w:type="dxa" w:w="1440"/>
          </w:tcPr>
          <w:p>
            <w:r>
              <w:rPr>
                <w:rFonts w:ascii="Calibri" w:hAnsi="Calibri"/>
                <w:sz w:val="22"/>
              </w:rPr>
              <w:t>Director</w:t>
            </w:r>
          </w:p>
        </w:tc>
        <w:tc>
          <w:tcPr>
            <w:tcW w:type="dxa" w:w="1440"/>
          </w:tcPr>
          <w:p>
            <w:r>
              <w:rPr>
                <w:rFonts w:ascii="Calibri" w:hAnsi="Calibri"/>
                <w:sz w:val="22"/>
              </w:rPr>
              <w:t>Equity Award Exercise (Code M)</w:t>
            </w:r>
          </w:p>
        </w:tc>
        <w:tc>
          <w:tcPr>
            <w:tcW w:type="dxa" w:w="1440"/>
          </w:tcPr>
          <w:p>
            <w:r>
              <w:rPr>
                <w:rFonts w:ascii="Calibri" w:hAnsi="Calibri"/>
                <w:sz w:val="22"/>
              </w:rPr>
              <w:t>1,745 shares</w:t>
            </w:r>
          </w:p>
        </w:tc>
        <w:tc>
          <w:tcPr>
            <w:tcW w:type="dxa" w:w="1440"/>
          </w:tcPr>
          <w:p>
            <w:r>
              <w:rPr>
                <w:rFonts w:ascii="Calibri" w:hAnsi="Calibri"/>
                <w:sz w:val="22"/>
              </w:rPr>
              <w:t>May 20, 2026</w:t>
            </w:r>
          </w:p>
        </w:tc>
        <w:tc>
          <w:tcPr>
            <w:tcW w:type="dxa" w:w="1440"/>
          </w:tcPr>
          <w:p>
            <w:r>
              <w:rPr>
                <w:rFonts w:ascii="Calibri" w:hAnsi="Calibri"/>
                <w:sz w:val="22"/>
              </w:rPr>
              <w:t>Routine director RSU vesting; not an open-market transaction.</w:t>
            </w:r>
          </w:p>
        </w:tc>
      </w:tr>
      <w:tr>
        <w:tc>
          <w:tcPr>
            <w:tcW w:type="dxa" w:w="1440"/>
          </w:tcPr>
          <w:p>
            <w:r>
              <w:rPr>
                <w:rFonts w:ascii="Calibri" w:hAnsi="Calibri"/>
                <w:sz w:val="22"/>
              </w:rPr>
              <w:t>Myong, Anne</w:t>
            </w:r>
          </w:p>
        </w:tc>
        <w:tc>
          <w:tcPr>
            <w:tcW w:type="dxa" w:w="1440"/>
          </w:tcPr>
          <w:p>
            <w:r>
              <w:rPr>
                <w:rFonts w:ascii="Calibri" w:hAnsi="Calibri"/>
                <w:sz w:val="22"/>
              </w:rPr>
              <w:t>Director</w:t>
            </w:r>
          </w:p>
        </w:tc>
        <w:tc>
          <w:tcPr>
            <w:tcW w:type="dxa" w:w="1440"/>
          </w:tcPr>
          <w:p>
            <w:r>
              <w:rPr>
                <w:rFonts w:ascii="Calibri" w:hAnsi="Calibri"/>
                <w:sz w:val="22"/>
              </w:rPr>
              <w:t>Equity Award Exercise (Code M)</w:t>
            </w:r>
          </w:p>
        </w:tc>
        <w:tc>
          <w:tcPr>
            <w:tcW w:type="dxa" w:w="1440"/>
          </w:tcPr>
          <w:p>
            <w:r>
              <w:rPr>
                <w:rFonts w:ascii="Calibri" w:hAnsi="Calibri"/>
                <w:sz w:val="22"/>
              </w:rPr>
              <w:t>1,745 shares</w:t>
            </w:r>
          </w:p>
        </w:tc>
        <w:tc>
          <w:tcPr>
            <w:tcW w:type="dxa" w:w="1440"/>
          </w:tcPr>
          <w:p>
            <w:r>
              <w:rPr>
                <w:rFonts w:ascii="Calibri" w:hAnsi="Calibri"/>
                <w:sz w:val="22"/>
              </w:rPr>
              <w:t>May 20, 2026</w:t>
            </w:r>
          </w:p>
        </w:tc>
        <w:tc>
          <w:tcPr>
            <w:tcW w:type="dxa" w:w="1440"/>
          </w:tcPr>
          <w:p>
            <w:r>
              <w:rPr>
                <w:rFonts w:ascii="Calibri" w:hAnsi="Calibri"/>
                <w:sz w:val="22"/>
              </w:rPr>
              <w:t>Routine director RSU vesting; not an open-market transaction.</w:t>
            </w:r>
          </w:p>
        </w:tc>
      </w:tr>
      <w:tr>
        <w:tc>
          <w:tcPr>
            <w:tcW w:type="dxa" w:w="1440"/>
          </w:tcPr>
          <w:p>
            <w:r>
              <w:rPr>
                <w:rFonts w:ascii="Calibri" w:hAnsi="Calibri"/>
                <w:sz w:val="22"/>
              </w:rPr>
              <w:t>Poul, Mojdeh</w:t>
            </w:r>
          </w:p>
        </w:tc>
        <w:tc>
          <w:tcPr>
            <w:tcW w:type="dxa" w:w="1440"/>
          </w:tcPr>
          <w:p>
            <w:r>
              <w:rPr>
                <w:rFonts w:ascii="Calibri" w:hAnsi="Calibri"/>
                <w:sz w:val="22"/>
              </w:rPr>
              <w:t>Director</w:t>
            </w:r>
          </w:p>
        </w:tc>
        <w:tc>
          <w:tcPr>
            <w:tcW w:type="dxa" w:w="1440"/>
          </w:tcPr>
          <w:p>
            <w:r>
              <w:rPr>
                <w:rFonts w:ascii="Calibri" w:hAnsi="Calibri"/>
                <w:sz w:val="22"/>
              </w:rPr>
              <w:t>Equity Award Exercise (Code M)</w:t>
            </w:r>
          </w:p>
        </w:tc>
        <w:tc>
          <w:tcPr>
            <w:tcW w:type="dxa" w:w="1440"/>
          </w:tcPr>
          <w:p>
            <w:r>
              <w:rPr>
                <w:rFonts w:ascii="Calibri" w:hAnsi="Calibri"/>
                <w:sz w:val="22"/>
              </w:rPr>
              <w:t>1,745 shares</w:t>
            </w:r>
          </w:p>
        </w:tc>
        <w:tc>
          <w:tcPr>
            <w:tcW w:type="dxa" w:w="1440"/>
          </w:tcPr>
          <w:p>
            <w:r>
              <w:rPr>
                <w:rFonts w:ascii="Calibri" w:hAnsi="Calibri"/>
                <w:sz w:val="22"/>
              </w:rPr>
              <w:t>May 20, 2026</w:t>
            </w:r>
          </w:p>
        </w:tc>
        <w:tc>
          <w:tcPr>
            <w:tcW w:type="dxa" w:w="1440"/>
          </w:tcPr>
          <w:p>
            <w:r>
              <w:rPr>
                <w:rFonts w:ascii="Calibri" w:hAnsi="Calibri"/>
                <w:sz w:val="22"/>
              </w:rPr>
              <w:t>Routine director RSU vesting; not an open-market transaction.</w:t>
            </w:r>
          </w:p>
        </w:tc>
      </w:tr>
      <w:tr>
        <w:tc>
          <w:tcPr>
            <w:tcW w:type="dxa" w:w="1440"/>
          </w:tcPr>
          <w:p>
            <w:r>
              <w:rPr>
                <w:rFonts w:ascii="Calibri" w:hAnsi="Calibri"/>
                <w:sz w:val="22"/>
              </w:rPr>
              <w:t>Saia, Andrea Lynn</w:t>
            </w:r>
          </w:p>
        </w:tc>
        <w:tc>
          <w:tcPr>
            <w:tcW w:type="dxa" w:w="1440"/>
          </w:tcPr>
          <w:p>
            <w:r>
              <w:rPr>
                <w:rFonts w:ascii="Calibri" w:hAnsi="Calibri"/>
                <w:sz w:val="22"/>
              </w:rPr>
              <w:t>Director</w:t>
            </w:r>
          </w:p>
        </w:tc>
        <w:tc>
          <w:tcPr>
            <w:tcW w:type="dxa" w:w="1440"/>
          </w:tcPr>
          <w:p>
            <w:r>
              <w:rPr>
                <w:rFonts w:ascii="Calibri" w:hAnsi="Calibri"/>
                <w:sz w:val="22"/>
              </w:rPr>
              <w:t>Equity Award Exercise (Code M)</w:t>
            </w:r>
          </w:p>
        </w:tc>
        <w:tc>
          <w:tcPr>
            <w:tcW w:type="dxa" w:w="1440"/>
          </w:tcPr>
          <w:p>
            <w:r>
              <w:rPr>
                <w:rFonts w:ascii="Calibri" w:hAnsi="Calibri"/>
                <w:sz w:val="22"/>
              </w:rPr>
              <w:t>1,745 shares</w:t>
            </w:r>
          </w:p>
        </w:tc>
        <w:tc>
          <w:tcPr>
            <w:tcW w:type="dxa" w:w="1440"/>
          </w:tcPr>
          <w:p>
            <w:r>
              <w:rPr>
                <w:rFonts w:ascii="Calibri" w:hAnsi="Calibri"/>
                <w:sz w:val="22"/>
              </w:rPr>
              <w:t>May 20, 2026</w:t>
            </w:r>
          </w:p>
        </w:tc>
        <w:tc>
          <w:tcPr>
            <w:tcW w:type="dxa" w:w="1440"/>
          </w:tcPr>
          <w:p>
            <w:r>
              <w:rPr>
                <w:rFonts w:ascii="Calibri" w:hAnsi="Calibri"/>
                <w:sz w:val="22"/>
              </w:rPr>
              <w:t>Routine director RSU vesting; not an open-market transaction.</w:t>
            </w:r>
          </w:p>
        </w:tc>
      </w:tr>
      <w:tr>
        <w:tc>
          <w:tcPr>
            <w:tcW w:type="dxa" w:w="1440"/>
          </w:tcPr>
          <w:p>
            <w:r>
              <w:rPr>
                <w:rFonts w:ascii="Calibri" w:hAnsi="Calibri"/>
                <w:sz w:val="22"/>
              </w:rPr>
              <w:t>Siegel, Susan E.</w:t>
            </w:r>
          </w:p>
        </w:tc>
        <w:tc>
          <w:tcPr>
            <w:tcW w:type="dxa" w:w="1440"/>
          </w:tcPr>
          <w:p>
            <w:r>
              <w:rPr>
                <w:rFonts w:ascii="Calibri" w:hAnsi="Calibri"/>
                <w:sz w:val="22"/>
              </w:rPr>
              <w:t>Director</w:t>
            </w:r>
          </w:p>
        </w:tc>
        <w:tc>
          <w:tcPr>
            <w:tcW w:type="dxa" w:w="1440"/>
          </w:tcPr>
          <w:p>
            <w:r>
              <w:rPr>
                <w:rFonts w:ascii="Calibri" w:hAnsi="Calibri"/>
                <w:sz w:val="22"/>
              </w:rPr>
              <w:t>Equity Award Exercise (Code M)</w:t>
            </w:r>
          </w:p>
        </w:tc>
        <w:tc>
          <w:tcPr>
            <w:tcW w:type="dxa" w:w="1440"/>
          </w:tcPr>
          <w:p>
            <w:r>
              <w:rPr>
                <w:rFonts w:ascii="Calibri" w:hAnsi="Calibri"/>
                <w:sz w:val="22"/>
              </w:rPr>
              <w:t>1,745 shares</w:t>
            </w:r>
          </w:p>
        </w:tc>
        <w:tc>
          <w:tcPr>
            <w:tcW w:type="dxa" w:w="1440"/>
          </w:tcPr>
          <w:p>
            <w:r>
              <w:rPr>
                <w:rFonts w:ascii="Calibri" w:hAnsi="Calibri"/>
                <w:sz w:val="22"/>
              </w:rPr>
              <w:t>May 20, 2026</w:t>
            </w:r>
          </w:p>
        </w:tc>
        <w:tc>
          <w:tcPr>
            <w:tcW w:type="dxa" w:w="1440"/>
          </w:tcPr>
          <w:p>
            <w:r>
              <w:rPr>
                <w:rFonts w:ascii="Calibri" w:hAnsi="Calibri"/>
                <w:sz w:val="22"/>
              </w:rPr>
              <w:t>Routine director RSU vesting; not an open-market transaction.</w:t>
            </w:r>
          </w:p>
        </w:tc>
      </w:tr>
      <w:tr>
        <w:tc>
          <w:tcPr>
            <w:tcW w:type="dxa" w:w="1440"/>
          </w:tcPr>
          <w:p>
            <w:r>
              <w:rPr>
                <w:rFonts w:ascii="Calibri" w:hAnsi="Calibri"/>
                <w:sz w:val="22"/>
              </w:rPr>
              <w:t>Vitalone, Britt J.</w:t>
            </w:r>
          </w:p>
        </w:tc>
        <w:tc>
          <w:tcPr>
            <w:tcW w:type="dxa" w:w="1440"/>
          </w:tcPr>
          <w:p>
            <w:r>
              <w:rPr>
                <w:rFonts w:ascii="Calibri" w:hAnsi="Calibri"/>
                <w:sz w:val="22"/>
              </w:rPr>
              <w:t>Director</w:t>
            </w:r>
          </w:p>
        </w:tc>
        <w:tc>
          <w:tcPr>
            <w:tcW w:type="dxa" w:w="1440"/>
          </w:tcPr>
          <w:p>
            <w:r>
              <w:rPr>
                <w:rFonts w:ascii="Calibri" w:hAnsi="Calibri"/>
                <w:sz w:val="22"/>
              </w:rPr>
              <w:t>Equity Award Exercise (Code M)</w:t>
            </w:r>
          </w:p>
        </w:tc>
        <w:tc>
          <w:tcPr>
            <w:tcW w:type="dxa" w:w="1440"/>
          </w:tcPr>
          <w:p>
            <w:r>
              <w:rPr>
                <w:rFonts w:ascii="Calibri" w:hAnsi="Calibri"/>
                <w:sz w:val="22"/>
              </w:rPr>
              <w:t>1,443 shares</w:t>
            </w:r>
          </w:p>
        </w:tc>
        <w:tc>
          <w:tcPr>
            <w:tcW w:type="dxa" w:w="1440"/>
          </w:tcPr>
          <w:p>
            <w:r>
              <w:rPr>
                <w:rFonts w:ascii="Calibri" w:hAnsi="Calibri"/>
                <w:sz w:val="22"/>
              </w:rPr>
              <w:t>May 20, 2026</w:t>
            </w:r>
          </w:p>
        </w:tc>
        <w:tc>
          <w:tcPr>
            <w:tcW w:type="dxa" w:w="1440"/>
          </w:tcPr>
          <w:p>
            <w:r>
              <w:rPr>
                <w:rFonts w:ascii="Calibri" w:hAnsi="Calibri"/>
                <w:sz w:val="22"/>
              </w:rPr>
              <w:t>Routine director RSU vesting; not an open-market transaction.</w:t>
            </w:r>
          </w:p>
        </w:tc>
      </w:tr>
    </w:tbl>
    <w:p>
      <w:r>
        <w:rPr>
          <w:rFonts w:ascii="Calibri" w:hAnsi="Calibri"/>
          <w:b/>
          <w:color w:val="525866"/>
          <w:sz w:val="22"/>
        </w:rPr>
        <w:t xml:space="preserve">Note: </w:t>
      </w:r>
      <w:r>
        <w:rPr>
          <w:rFonts w:ascii="Calibri" w:hAnsi="Calibri"/>
          <w:color w:val="525866"/>
          <w:sz w:val="22"/>
        </w:rPr>
        <w:t>All transactions are Form 4 Code “M” (exercise/conversion of derivative security), representing routine annual director equity award vestings. No open-market purchases (Code P) or discretionary sales (Code S) were filed by any insider — executive officers or directors — in the period from April 29, 2026 through July 28, 2026. The absence of open-market activity is neutral; no clustered buys or unusual sales to flag.</w:t>
      </w:r>
    </w:p>
    <w:p>
      <w:r>
        <w:rPr>
          <w:rFonts w:ascii="Calibri" w:hAnsi="Calibri"/>
          <w:i/>
          <w:color w:val="525866"/>
          <w:sz w:val="22"/>
        </w:rPr>
        <w:t>Source: SEC Form 4 filings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