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Align Technology (ALGN)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Align Technology, Inc.</w:t>
            </w:r>
          </w:p>
        </w:tc>
      </w:tr>
      <w:tr>
        <w:tc>
          <w:tcPr>
            <w:tcW w:type="dxa" w:w="4320"/>
          </w:tcPr>
          <w:p>
            <w:r>
              <w:rPr>
                <w:rFonts w:ascii="Calibri" w:hAnsi="Calibri"/>
                <w:b/>
                <w:sz w:val="22"/>
              </w:rPr>
              <w:t>Ticker</w:t>
            </w:r>
          </w:p>
        </w:tc>
        <w:tc>
          <w:tcPr>
            <w:tcW w:type="dxa" w:w="4320"/>
          </w:tcPr>
          <w:p>
            <w:r>
              <w:rPr>
                <w:rFonts w:ascii="Calibri" w:hAnsi="Calibri"/>
                <w:sz w:val="22"/>
              </w:rPr>
              <w:t>ALGN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 4:30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Primary Analyst KPIs</w:t>
            </w:r>
          </w:p>
        </w:tc>
        <w:tc>
          <w:tcPr>
            <w:tcW w:type="dxa" w:w="4320"/>
          </w:tcPr>
          <w:p>
            <w:r>
              <w:rPr>
                <w:rFonts w:ascii="Calibri" w:hAnsi="Calibri"/>
                <w:sz w:val="22"/>
              </w:rPr>
              <w:t>Clear Aligner Case Volume (#); Non-GAAP Operating EPS (Diluted)</w:t>
            </w:r>
          </w:p>
        </w:tc>
      </w:tr>
      <w:tr>
        <w:tc>
          <w:tcPr>
            <w:tcW w:type="dxa" w:w="4320"/>
          </w:tcPr>
          <w:p>
            <w:r>
              <w:rPr>
                <w:rFonts w:ascii="Calibri" w:hAnsi="Calibri"/>
                <w:b/>
                <w:sz w:val="22"/>
              </w:rPr>
              <w:t>Primary Valuation Metric</w:t>
            </w:r>
          </w:p>
        </w:tc>
        <w:tc>
          <w:tcPr>
            <w:tcW w:type="dxa" w:w="4320"/>
          </w:tcPr>
          <w:p>
            <w:r>
              <w:rPr>
                <w:rFonts w:ascii="Calibri" w:hAnsi="Calibri"/>
                <w:sz w:val="22"/>
              </w:rPr>
              <w:t>NTM P/E (currently ~14.1×)</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just inside guidance, management deliberately set a low bar citing Middle East uncertainty, and the real question is whether international momentum and DSO strength can offset continued North American retail softness to drive a beat-and-raise on volume.</w:t>
      </w:r>
    </w:p>
    <w:p>
      <w:r>
        <w:rPr>
          <w:rFonts w:ascii="Calibri" w:hAnsi="Calibri"/>
          <w:b/>
          <w:color w:val="525866"/>
          <w:sz w:val="22"/>
        </w:rPr>
        <w:t xml:space="preserve">Bar: </w:t>
      </w:r>
      <w:r>
        <w:rPr>
          <w:rFonts w:ascii="Calibri" w:hAnsi="Calibri"/>
          <w:color w:val="525866"/>
          <w:sz w:val="22"/>
        </w:rPr>
        <w:t xml:space="preserve">Consensus Q2 revenue of ~$1.051B sits at the upper half of the $1.040–$1.060B guidance range, implying the Street is already pricing in a modest beat on the top line; Clear Aligner volume consensus of ~683K cases is essentially in line with the guidance midpoint, leaving limited room for a volume-driven upside surprise unless international markets outperform again. </w:t>
      </w:r>
      <w:r>
        <w:rPr>
          <w:rFonts w:ascii="Calibri" w:hAnsi="Calibri"/>
          <w:b/>
          <w:color w:val="525866"/>
          <w:sz w:val="22"/>
        </w:rPr>
        <w:t xml:space="preserve">Guidance/Tone: </w:t>
      </w:r>
      <w:r>
        <w:rPr>
          <w:rFonts w:ascii="Calibri" w:hAnsi="Calibri"/>
          <w:color w:val="525866"/>
          <w:sz w:val="22"/>
        </w:rPr>
        <w:t xml:space="preserve">Management's posture has been deliberately conservative — the CFO explicitly flagged at the Goldman Sachs Healthcare Conference (June 8) that the typical Q1-to-Q2 sequential step-up is 3%+ but guidance was set at ~1% at the midpoint, citing Middle East uncertainty and oil/logistics cost volatility; as of early June, no deterioration in underlying demand was observed, suggesting the bar is intentionally low. </w:t>
      </w:r>
      <w:r>
        <w:rPr>
          <w:rFonts w:ascii="Calibri" w:hAnsi="Calibri"/>
          <w:b/>
          <w:color w:val="525866"/>
          <w:sz w:val="22"/>
        </w:rPr>
        <w:t xml:space="preserve">Estimate Trajectory: </w:t>
      </w:r>
      <w:r>
        <w:rPr>
          <w:rFonts w:ascii="Calibri" w:hAnsi="Calibri"/>
          <w:color w:val="525866"/>
          <w:sz w:val="22"/>
        </w:rPr>
        <w:t xml:space="preserve">Non-GAAP EPS estimates for Q2 have drifted slightly lower since the Q1 print (from ~$2.00 post-earnings to ~$1.97 currently), while revenue estimates are essentially flat, consistent with management's conservative framing rather than any fundamental deterioration. </w:t>
      </w:r>
      <w:r>
        <w:rPr>
          <w:rFonts w:ascii="Calibri" w:hAnsi="Calibri"/>
          <w:b/>
          <w:color w:val="525866"/>
          <w:sz w:val="22"/>
        </w:rPr>
        <w:t xml:space="preserve">Stock Setup: </w:t>
      </w:r>
      <w:r>
        <w:rPr>
          <w:rFonts w:ascii="Calibri" w:hAnsi="Calibri"/>
          <w:color w:val="525866"/>
          <w:sz w:val="22"/>
        </w:rPr>
        <w:t xml:space="preserve">ALGN trades at ~14.1× NTM P/E — a multi-year trough multiple that has compressed ~24% over the past 12 months even as EPS estimates have held relatively stable, suggesting the stock is pricing in continued execution risk rather than a fundamental deterioration; a clean beat-and-reaffirm could catalyze multiple re-rating. </w:t>
      </w:r>
      <w:r>
        <w:rPr>
          <w:rFonts w:ascii="Calibri" w:hAnsi="Calibri"/>
          <w:b/>
          <w:color w:val="525866"/>
          <w:sz w:val="22"/>
        </w:rPr>
        <w:t xml:space="preserve">Wildcard: </w:t>
      </w:r>
      <w:r>
        <w:rPr>
          <w:rFonts w:ascii="Calibri" w:hAnsi="Calibri"/>
          <w:color w:val="525866"/>
          <w:sz w:val="22"/>
        </w:rPr>
        <w:t>The single biggest swing factor is whether management raises the back half of FY2026 guidance — the full-year 3–4% revenue growth target implies H2 acceleration, and any signal of confidence (or lack thereof) on that ramp, particularly around North America retail returning to growth and the no-AA product rollout gaining traction, will drive the stock more than the Q2 print itself.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inside guidance on both revenue and volume, making the bar achievable but not easy — </w:t>
      </w:r>
      <w:r>
        <w:rPr>
          <w:rFonts w:ascii="Calibri" w:hAnsi="Calibri"/>
          <w:b/>
          <w:color w:val="525866"/>
          <w:sz w:val="22"/>
        </w:rPr>
        <w:t>Clear Aligner case volume is the bigger swing factor</w:t>
      </w:r>
      <w:r>
        <w:rPr>
          <w:rFonts w:ascii="Calibri" w:hAnsi="Calibri"/>
          <w:color w:val="525866"/>
          <w:sz w:val="22"/>
        </w:rPr>
        <w:t xml:space="preserve"> given management's deliberate conservatism on the sequential step-up; ASP is expected flat YoY, so volume is the primary lever for a top-line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$1,040.1M</w:t>
            </w:r>
          </w:p>
        </w:tc>
        <w:tc>
          <w:tcPr>
            <w:tcW w:type="dxa" w:w="1234"/>
          </w:tcPr>
          <w:p>
            <w:r>
              <w:rPr>
                <w:rFonts w:ascii="Calibri" w:hAnsi="Calibri"/>
                <w:sz w:val="22"/>
              </w:rPr>
              <w:t>$1,012.5M</w:t>
            </w:r>
          </w:p>
        </w:tc>
        <w:tc>
          <w:tcPr>
            <w:tcW w:type="dxa" w:w="1234"/>
          </w:tcPr>
          <w:p>
            <w:r>
              <w:rPr>
                <w:rFonts w:ascii="Calibri" w:hAnsi="Calibri"/>
                <w:sz w:val="22"/>
              </w:rPr>
              <w:t>$1,051.3M</w:t>
            </w:r>
          </w:p>
        </w:tc>
        <w:tc>
          <w:tcPr>
            <w:tcW w:type="dxa" w:w="1234"/>
          </w:tcPr>
          <w:p>
            <w:r>
              <w:rPr>
                <w:rFonts w:ascii="Calibri" w:hAnsi="Calibri"/>
                <w:sz w:val="22"/>
              </w:rPr>
              <w:t>+3.8% YoY</w:t>
            </w:r>
          </w:p>
        </w:tc>
        <w:tc>
          <w:tcPr>
            <w:tcW w:type="dxa" w:w="1234"/>
          </w:tcPr>
          <w:p>
            <w:r>
              <w:rPr>
                <w:rFonts w:ascii="Calibri" w:hAnsi="Calibri"/>
                <w:sz w:val="22"/>
              </w:rPr>
              <w:t>$1,040–$1,060M</w:t>
            </w:r>
          </w:p>
        </w:tc>
        <w:tc>
          <w:tcPr>
            <w:tcW w:type="dxa" w:w="1234"/>
          </w:tcPr>
          <w:p>
            <w:r>
              <w:rPr>
                <w:rFonts w:ascii="Calibri" w:hAnsi="Calibri"/>
                <w:sz w:val="22"/>
              </w:rPr>
              <w:t>+0.1% vs. $1,050M mid</w:t>
            </w:r>
          </w:p>
        </w:tc>
      </w:tr>
      <w:tr>
        <w:tc>
          <w:tcPr>
            <w:tcW w:type="dxa" w:w="1234"/>
          </w:tcPr>
          <w:p>
            <w:r>
              <w:rPr>
                <w:rFonts w:ascii="Calibri" w:hAnsi="Calibri"/>
                <w:sz w:val="22"/>
              </w:rPr>
              <w:t>Clear Aligner Revenue ($M)</w:t>
            </w:r>
          </w:p>
        </w:tc>
        <w:tc>
          <w:tcPr>
            <w:tcW w:type="dxa" w:w="1234"/>
          </w:tcPr>
          <w:p>
            <w:r>
              <w:rPr>
                <w:rFonts w:ascii="Calibri" w:hAnsi="Calibri"/>
                <w:sz w:val="22"/>
              </w:rPr>
              <w:t>$856.0M</w:t>
            </w:r>
          </w:p>
        </w:tc>
        <w:tc>
          <w:tcPr>
            <w:tcW w:type="dxa" w:w="1234"/>
          </w:tcPr>
          <w:p>
            <w:r>
              <w:rPr>
                <w:rFonts w:ascii="Calibri" w:hAnsi="Calibri"/>
                <w:sz w:val="22"/>
              </w:rPr>
              <w:t>$804.6M</w:t>
            </w:r>
          </w:p>
        </w:tc>
        <w:tc>
          <w:tcPr>
            <w:tcW w:type="dxa" w:w="1234"/>
          </w:tcPr>
          <w:p>
            <w:r>
              <w:rPr>
                <w:rFonts w:ascii="Calibri" w:hAnsi="Calibri"/>
                <w:sz w:val="22"/>
              </w:rPr>
              <w:t>$854.5M</w:t>
            </w:r>
          </w:p>
        </w:tc>
        <w:tc>
          <w:tcPr>
            <w:tcW w:type="dxa" w:w="1234"/>
          </w:tcPr>
          <w:p>
            <w:r>
              <w:rPr>
                <w:rFonts w:ascii="Calibri" w:hAnsi="Calibri"/>
                <w:sz w:val="22"/>
              </w:rPr>
              <w:t>+6.2% YoY</w:t>
            </w:r>
          </w:p>
        </w:tc>
        <w:tc>
          <w:tcPr>
            <w:tcW w:type="dxa" w:w="1234"/>
          </w:tcPr>
          <w:p>
            <w:r>
              <w:rPr>
                <w:rFonts w:ascii="Calibri" w:hAnsi="Calibri"/>
                <w:sz w:val="22"/>
              </w:rPr>
              <w:t>Up YoY (no $ range)</w:t>
            </w:r>
          </w:p>
        </w:tc>
        <w:tc>
          <w:tcPr>
            <w:tcW w:type="dxa" w:w="1234"/>
          </w:tcPr>
          <w:p>
            <w:r>
              <w:rPr>
                <w:rFonts w:ascii="Calibri" w:hAnsi="Calibri"/>
                <w:sz w:val="22"/>
              </w:rPr>
              <w:t>N/A — no $ guidance</w:t>
            </w:r>
          </w:p>
        </w:tc>
      </w:tr>
      <w:tr>
        <w:tc>
          <w:tcPr>
            <w:tcW w:type="dxa" w:w="1234"/>
          </w:tcPr>
          <w:p>
            <w:r>
              <w:rPr>
                <w:rFonts w:ascii="Calibri" w:hAnsi="Calibri"/>
                <w:sz w:val="22"/>
              </w:rPr>
              <w:t>Clear Aligner Case Volume (#)</w:t>
            </w:r>
          </w:p>
        </w:tc>
        <w:tc>
          <w:tcPr>
            <w:tcW w:type="dxa" w:w="1234"/>
          </w:tcPr>
          <w:p>
            <w:r>
              <w:rPr>
                <w:rFonts w:ascii="Calibri" w:hAnsi="Calibri"/>
                <w:sz w:val="22"/>
              </w:rPr>
              <w:t>685,650</w:t>
            </w:r>
          </w:p>
        </w:tc>
        <w:tc>
          <w:tcPr>
            <w:tcW w:type="dxa" w:w="1234"/>
          </w:tcPr>
          <w:p>
            <w:r>
              <w:rPr>
                <w:rFonts w:ascii="Calibri" w:hAnsi="Calibri"/>
                <w:sz w:val="22"/>
              </w:rPr>
              <w:t>644,370</w:t>
            </w:r>
          </w:p>
        </w:tc>
        <w:tc>
          <w:tcPr>
            <w:tcW w:type="dxa" w:w="1234"/>
          </w:tcPr>
          <w:p>
            <w:r>
              <w:rPr>
                <w:rFonts w:ascii="Calibri" w:hAnsi="Calibri"/>
                <w:sz w:val="22"/>
              </w:rPr>
              <w:t>683,201</w:t>
            </w:r>
          </w:p>
        </w:tc>
        <w:tc>
          <w:tcPr>
            <w:tcW w:type="dxa" w:w="1234"/>
          </w:tcPr>
          <w:p>
            <w:r>
              <w:rPr>
                <w:rFonts w:ascii="Calibri" w:hAnsi="Calibri"/>
                <w:sz w:val="22"/>
              </w:rPr>
              <w:t>+6.0% YoY</w:t>
            </w:r>
          </w:p>
        </w:tc>
        <w:tc>
          <w:tcPr>
            <w:tcW w:type="dxa" w:w="1234"/>
          </w:tcPr>
          <w:p>
            <w:r>
              <w:rPr>
                <w:rFonts w:ascii="Calibri" w:hAnsi="Calibri"/>
                <w:sz w:val="22"/>
              </w:rPr>
              <w:t>Up seq. &amp; YoY</w:t>
            </w:r>
          </w:p>
        </w:tc>
        <w:tc>
          <w:tcPr>
            <w:tcW w:type="dxa" w:w="1234"/>
          </w:tcPr>
          <w:p>
            <w:r>
              <w:rPr>
                <w:rFonts w:ascii="Calibri" w:hAnsi="Calibri"/>
                <w:sz w:val="22"/>
              </w:rPr>
              <w:t>N/A — directional only</w:t>
            </w:r>
          </w:p>
        </w:tc>
      </w:tr>
      <w:tr>
        <w:tc>
          <w:tcPr>
            <w:tcW w:type="dxa" w:w="1234"/>
          </w:tcPr>
          <w:p>
            <w:r>
              <w:rPr>
                <w:rFonts w:ascii="Calibri" w:hAnsi="Calibri"/>
                <w:sz w:val="22"/>
              </w:rPr>
              <w:t>Clear Aligner ASP ($/case)</w:t>
            </w:r>
          </w:p>
        </w:tc>
        <w:tc>
          <w:tcPr>
            <w:tcW w:type="dxa" w:w="1234"/>
          </w:tcPr>
          <w:p>
            <w:r>
              <w:rPr>
                <w:rFonts w:ascii="Calibri" w:hAnsi="Calibri"/>
                <w:sz w:val="22"/>
              </w:rPr>
              <w:t>$1,174.88</w:t>
            </w:r>
          </w:p>
        </w:tc>
        <w:tc>
          <w:tcPr>
            <w:tcW w:type="dxa" w:w="1234"/>
          </w:tcPr>
          <w:p>
            <w:r>
              <w:rPr>
                <w:rFonts w:ascii="Calibri" w:hAnsi="Calibri"/>
                <w:sz w:val="22"/>
              </w:rPr>
              <w:t>$1,152.48</w:t>
            </w:r>
          </w:p>
        </w:tc>
        <w:tc>
          <w:tcPr>
            <w:tcW w:type="dxa" w:w="1234"/>
          </w:tcPr>
          <w:p>
            <w:r>
              <w:rPr>
                <w:rFonts w:ascii="Calibri" w:hAnsi="Calibri"/>
                <w:sz w:val="22"/>
              </w:rPr>
              <w:t>$1,157.30</w:t>
            </w:r>
          </w:p>
        </w:tc>
        <w:tc>
          <w:tcPr>
            <w:tcW w:type="dxa" w:w="1234"/>
          </w:tcPr>
          <w:p>
            <w:r>
              <w:rPr>
                <w:rFonts w:ascii="Calibri" w:hAnsi="Calibri"/>
                <w:sz w:val="22"/>
              </w:rPr>
              <w:t>+0.4% YoY</w:t>
            </w:r>
          </w:p>
        </w:tc>
        <w:tc>
          <w:tcPr>
            <w:tcW w:type="dxa" w:w="1234"/>
          </w:tcPr>
          <w:p>
            <w:r>
              <w:rPr>
                <w:rFonts w:ascii="Calibri" w:hAnsi="Calibri"/>
                <w:sz w:val="22"/>
              </w:rPr>
              <w:t>Flat seq. &amp; YoY</w:t>
            </w:r>
          </w:p>
        </w:tc>
        <w:tc>
          <w:tcPr>
            <w:tcW w:type="dxa" w:w="1234"/>
          </w:tcPr>
          <w:p>
            <w:r>
              <w:rPr>
                <w:rFonts w:ascii="Calibri" w:hAnsi="Calibri"/>
                <w:sz w:val="22"/>
              </w:rPr>
              <w:t>~−0.4% vs. flat guidance</w:t>
            </w:r>
          </w:p>
        </w:tc>
      </w:tr>
      <w:tr>
        <w:tc>
          <w:tcPr>
            <w:tcW w:type="dxa" w:w="1234"/>
          </w:tcPr>
          <w:p>
            <w:r>
              <w:rPr>
                <w:rFonts w:ascii="Calibri" w:hAnsi="Calibri"/>
                <w:sz w:val="22"/>
              </w:rPr>
              <w:t>Systems &amp; Services Revenue ($M)</w:t>
            </w:r>
          </w:p>
        </w:tc>
        <w:tc>
          <w:tcPr>
            <w:tcW w:type="dxa" w:w="1234"/>
          </w:tcPr>
          <w:p>
            <w:r>
              <w:rPr>
                <w:rFonts w:ascii="Calibri" w:hAnsi="Calibri"/>
                <w:sz w:val="22"/>
              </w:rPr>
              <w:t>$184.1M</w:t>
            </w:r>
          </w:p>
        </w:tc>
        <w:tc>
          <w:tcPr>
            <w:tcW w:type="dxa" w:w="1234"/>
          </w:tcPr>
          <w:p>
            <w:r>
              <w:rPr>
                <w:rFonts w:ascii="Calibri" w:hAnsi="Calibri"/>
                <w:sz w:val="22"/>
              </w:rPr>
              <w:t>$207.8M</w:t>
            </w:r>
          </w:p>
        </w:tc>
        <w:tc>
          <w:tcPr>
            <w:tcW w:type="dxa" w:w="1234"/>
          </w:tcPr>
          <w:p>
            <w:r>
              <w:rPr>
                <w:rFonts w:ascii="Calibri" w:hAnsi="Calibri"/>
                <w:sz w:val="22"/>
              </w:rPr>
              <w:t>$196.8M</w:t>
            </w:r>
          </w:p>
        </w:tc>
        <w:tc>
          <w:tcPr>
            <w:tcW w:type="dxa" w:w="1234"/>
          </w:tcPr>
          <w:p>
            <w:r>
              <w:rPr>
                <w:rFonts w:ascii="Calibri" w:hAnsi="Calibri"/>
                <w:sz w:val="22"/>
              </w:rPr>
              <w:t>−5.3% YoY</w:t>
            </w:r>
          </w:p>
        </w:tc>
        <w:tc>
          <w:tcPr>
            <w:tcW w:type="dxa" w:w="1234"/>
          </w:tcPr>
          <w:p>
            <w:r>
              <w:rPr>
                <w:rFonts w:ascii="Calibri" w:hAnsi="Calibri"/>
                <w:sz w:val="22"/>
              </w:rPr>
              <w:t>Up sequentially</w:t>
            </w:r>
          </w:p>
        </w:tc>
        <w:tc>
          <w:tcPr>
            <w:tcW w:type="dxa" w:w="1234"/>
          </w:tcPr>
          <w:p>
            <w:r>
              <w:rPr>
                <w:rFonts w:ascii="Calibri" w:hAnsi="Calibri"/>
                <w:sz w:val="22"/>
              </w:rPr>
              <w:t>N/A — directional only</w:t>
            </w:r>
          </w:p>
        </w:tc>
      </w:tr>
      <w:tr>
        <w:tc>
          <w:tcPr>
            <w:tcW w:type="dxa" w:w="1234"/>
          </w:tcPr>
          <w:p>
            <w:r>
              <w:rPr>
                <w:rFonts w:ascii="Calibri" w:hAnsi="Calibri"/>
                <w:sz w:val="22"/>
              </w:rPr>
              <w:t>Non-GAAP Operating Income ($M)</w:t>
            </w:r>
          </w:p>
        </w:tc>
        <w:tc>
          <w:tcPr>
            <w:tcW w:type="dxa" w:w="1234"/>
          </w:tcPr>
          <w:p>
            <w:r>
              <w:rPr>
                <w:rFonts w:ascii="Calibri" w:hAnsi="Calibri"/>
                <w:sz w:val="22"/>
              </w:rPr>
              <w:t>$223.8M</w:t>
            </w:r>
          </w:p>
        </w:tc>
        <w:tc>
          <w:tcPr>
            <w:tcW w:type="dxa" w:w="1234"/>
          </w:tcPr>
          <w:p>
            <w:r>
              <w:rPr>
                <w:rFonts w:ascii="Calibri" w:hAnsi="Calibri"/>
                <w:sz w:val="22"/>
              </w:rPr>
              <w:t>$215.9M</w:t>
            </w:r>
          </w:p>
        </w:tc>
        <w:tc>
          <w:tcPr>
            <w:tcW w:type="dxa" w:w="1234"/>
          </w:tcPr>
          <w:p>
            <w:r>
              <w:rPr>
                <w:rFonts w:ascii="Calibri" w:hAnsi="Calibri"/>
                <w:sz w:val="22"/>
              </w:rPr>
              <w:t>$228.3M</w:t>
            </w:r>
          </w:p>
        </w:tc>
        <w:tc>
          <w:tcPr>
            <w:tcW w:type="dxa" w:w="1234"/>
          </w:tcPr>
          <w:p>
            <w:r>
              <w:rPr>
                <w:rFonts w:ascii="Calibri" w:hAnsi="Calibri"/>
                <w:sz w:val="22"/>
              </w:rPr>
              <w:t>+5.7% YoY</w:t>
            </w:r>
          </w:p>
        </w:tc>
        <w:tc>
          <w:tcPr>
            <w:tcW w:type="dxa" w:w="1234"/>
          </w:tcPr>
          <w:p>
            <w:r>
              <w:rPr>
                <w:rFonts w:ascii="Calibri" w:hAnsi="Calibri"/>
                <w:sz w:val="22"/>
              </w:rPr>
              <w:t>Non-GAAP op. margin ~21.5%</w:t>
            </w:r>
          </w:p>
        </w:tc>
        <w:tc>
          <w:tcPr>
            <w:tcW w:type="dxa" w:w="1234"/>
          </w:tcPr>
          <w:p>
            <w:r>
              <w:rPr>
                <w:rFonts w:ascii="Calibri" w:hAnsi="Calibri"/>
                <w:sz w:val="22"/>
              </w:rPr>
              <w:t>~+0.1% vs. implied $225.8M mid</w:t>
            </w:r>
          </w:p>
        </w:tc>
      </w:tr>
      <w:tr>
        <w:tc>
          <w:tcPr>
            <w:tcW w:type="dxa" w:w="1234"/>
          </w:tcPr>
          <w:p>
            <w:r>
              <w:rPr>
                <w:rFonts w:ascii="Calibri" w:hAnsi="Calibri"/>
                <w:sz w:val="22"/>
              </w:rPr>
              <w:t>Non-GAAP Diluted EPS ($)</w:t>
            </w:r>
          </w:p>
        </w:tc>
        <w:tc>
          <w:tcPr>
            <w:tcW w:type="dxa" w:w="1234"/>
          </w:tcPr>
          <w:p>
            <w:r>
              <w:rPr>
                <w:rFonts w:ascii="Calibri" w:hAnsi="Calibri"/>
                <w:sz w:val="22"/>
              </w:rPr>
              <w:t>$2.58</w:t>
            </w:r>
          </w:p>
        </w:tc>
        <w:tc>
          <w:tcPr>
            <w:tcW w:type="dxa" w:w="1234"/>
          </w:tcPr>
          <w:p>
            <w:r>
              <w:rPr>
                <w:rFonts w:ascii="Calibri" w:hAnsi="Calibri"/>
                <w:sz w:val="22"/>
              </w:rPr>
              <w:t>$2.49</w:t>
            </w:r>
          </w:p>
        </w:tc>
        <w:tc>
          <w:tcPr>
            <w:tcW w:type="dxa" w:w="1234"/>
          </w:tcPr>
          <w:p>
            <w:r>
              <w:rPr>
                <w:rFonts w:ascii="Calibri" w:hAnsi="Calibri"/>
                <w:sz w:val="22"/>
              </w:rPr>
              <w:t>$2.59</w:t>
            </w:r>
          </w:p>
        </w:tc>
        <w:tc>
          <w:tcPr>
            <w:tcW w:type="dxa" w:w="1234"/>
          </w:tcPr>
          <w:p>
            <w:r>
              <w:rPr>
                <w:rFonts w:ascii="Calibri" w:hAnsi="Calibri"/>
                <w:sz w:val="22"/>
              </w:rPr>
              <w:t>+4.0% YoY</w:t>
            </w:r>
          </w:p>
        </w:tc>
        <w:tc>
          <w:tcPr>
            <w:tcW w:type="dxa" w:w="1234"/>
          </w:tcPr>
          <w:p>
            <w:r>
              <w:rPr>
                <w:rFonts w:ascii="Calibri" w:hAnsi="Calibri"/>
                <w:sz w:val="22"/>
              </w:rPr>
              <w:t>Non-GAAP op. margin ~21.5%</w:t>
            </w:r>
          </w:p>
        </w:tc>
        <w:tc>
          <w:tcPr>
            <w:tcW w:type="dxa" w:w="1234"/>
          </w:tcPr>
          <w:p>
            <w:r>
              <w:rPr>
                <w:rFonts w:ascii="Calibri" w:hAnsi="Calibri"/>
                <w:sz w:val="22"/>
              </w:rPr>
              <w:t>N/A — EPS not guided directly</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 (Top 2 KPIs: Clear Aligner Volume &amp;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Clear Aligner Volume (#)</w:t>
            </w:r>
          </w:p>
        </w:tc>
        <w:tc>
          <w:tcPr>
            <w:tcW w:type="dxa" w:w="1440"/>
          </w:tcPr>
          <w:p>
            <w:r>
              <w:rPr>
                <w:rFonts w:ascii="Calibri" w:hAnsi="Calibri"/>
                <w:sz w:val="22"/>
              </w:rPr>
              <w:t>617,220</w:t>
            </w:r>
          </w:p>
        </w:tc>
        <w:tc>
          <w:tcPr>
            <w:tcW w:type="dxa" w:w="1440"/>
          </w:tcPr>
          <w:p>
            <w:r>
              <w:rPr>
                <w:rFonts w:ascii="Calibri" w:hAnsi="Calibri"/>
                <w:sz w:val="22"/>
              </w:rPr>
              <w:t>621,155</w:t>
            </w:r>
          </w:p>
        </w:tc>
        <w:tc>
          <w:tcPr>
            <w:tcW w:type="dxa" w:w="1440"/>
          </w:tcPr>
          <w:p>
            <w:r>
              <w:rPr>
                <w:rFonts w:ascii="Calibri" w:hAnsi="Calibri"/>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Non-GAAP Diluted EPS ($)</w:t>
            </w:r>
          </w:p>
        </w:tc>
        <w:tc>
          <w:tcPr>
            <w:tcW w:type="dxa" w:w="1440"/>
          </w:tcPr>
          <w:p>
            <w:r>
              <w:rPr>
                <w:rFonts w:ascii="Calibri" w:hAnsi="Calibri"/>
                <w:sz w:val="22"/>
              </w:rPr>
              <w:t>$2.35</w:t>
            </w:r>
          </w:p>
        </w:tc>
        <w:tc>
          <w:tcPr>
            <w:tcW w:type="dxa" w:w="1440"/>
          </w:tcPr>
          <w:p>
            <w:r>
              <w:rPr>
                <w:rFonts w:ascii="Calibri" w:hAnsi="Calibri"/>
                <w:sz w:val="22"/>
              </w:rPr>
              <w:t>$2.30</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Clear Aligner Volume (#)</w:t>
            </w:r>
          </w:p>
        </w:tc>
        <w:tc>
          <w:tcPr>
            <w:tcW w:type="dxa" w:w="1440"/>
          </w:tcPr>
          <w:p>
            <w:r>
              <w:rPr>
                <w:rFonts w:ascii="Calibri" w:hAnsi="Calibri"/>
                <w:sz w:val="22"/>
              </w:rPr>
              <w:t>628,730</w:t>
            </w:r>
          </w:p>
        </w:tc>
        <w:tc>
          <w:tcPr>
            <w:tcW w:type="dxa" w:w="1440"/>
          </w:tcPr>
          <w:p>
            <w:r>
              <w:rPr>
                <w:rFonts w:ascii="Calibri" w:hAnsi="Calibri"/>
                <w:sz w:val="22"/>
              </w:rPr>
              <w:t>612,146</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Diluted EPS ($)</w:t>
            </w:r>
          </w:p>
        </w:tc>
        <w:tc>
          <w:tcPr>
            <w:tcW w:type="dxa" w:w="1440"/>
          </w:tcPr>
          <w:p>
            <w:r>
              <w:rPr>
                <w:rFonts w:ascii="Calibri" w:hAnsi="Calibri"/>
                <w:sz w:val="22"/>
              </w:rPr>
              <w:t>$2.44</w:t>
            </w:r>
          </w:p>
        </w:tc>
        <w:tc>
          <w:tcPr>
            <w:tcW w:type="dxa" w:w="1440"/>
          </w:tcPr>
          <w:p>
            <w:r>
              <w:rPr>
                <w:rFonts w:ascii="Calibri" w:hAnsi="Calibri"/>
                <w:sz w:val="22"/>
              </w:rPr>
              <w:t>$2.43</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Clear Aligner Volume (#)</w:t>
            </w:r>
          </w:p>
        </w:tc>
        <w:tc>
          <w:tcPr>
            <w:tcW w:type="dxa" w:w="1440"/>
          </w:tcPr>
          <w:p>
            <w:r>
              <w:rPr>
                <w:rFonts w:ascii="Calibri" w:hAnsi="Calibri"/>
                <w:sz w:val="22"/>
              </w:rPr>
              <w:t>642,305</w:t>
            </w:r>
          </w:p>
        </w:tc>
        <w:tc>
          <w:tcPr>
            <w:tcW w:type="dxa" w:w="1440"/>
          </w:tcPr>
          <w:p>
            <w:r>
              <w:rPr>
                <w:rFonts w:ascii="Calibri" w:hAnsi="Calibri"/>
                <w:sz w:val="22"/>
              </w:rPr>
              <w:t>620,866</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Diluted EPS ($)</w:t>
            </w:r>
          </w:p>
        </w:tc>
        <w:tc>
          <w:tcPr>
            <w:tcW w:type="dxa" w:w="1440"/>
          </w:tcPr>
          <w:p>
            <w:r>
              <w:rPr>
                <w:rFonts w:ascii="Calibri" w:hAnsi="Calibri"/>
                <w:sz w:val="22"/>
              </w:rPr>
              <w:t>$2.13</w:t>
            </w:r>
          </w:p>
        </w:tc>
        <w:tc>
          <w:tcPr>
            <w:tcW w:type="dxa" w:w="1440"/>
          </w:tcPr>
          <w:p>
            <w:r>
              <w:rPr>
                <w:rFonts w:ascii="Calibri" w:hAnsi="Calibri"/>
                <w:sz w:val="22"/>
              </w:rPr>
              <w:t>$1.98</w:t>
            </w:r>
          </w:p>
        </w:tc>
        <w:tc>
          <w:tcPr>
            <w:tcW w:type="dxa" w:w="1440"/>
          </w:tcPr>
          <w:p>
            <w:r>
              <w:rPr>
                <w:rFonts w:ascii="Calibri" w:hAnsi="Calibri"/>
                <w:sz w:val="22"/>
              </w:rPr>
              <w:t>+7.3%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Clear Aligner Volume (#)</w:t>
            </w:r>
          </w:p>
        </w:tc>
        <w:tc>
          <w:tcPr>
            <w:tcW w:type="dxa" w:w="1440"/>
          </w:tcPr>
          <w:p>
            <w:r>
              <w:rPr>
                <w:rFonts w:ascii="Calibri" w:hAnsi="Calibri"/>
                <w:sz w:val="22"/>
              </w:rPr>
              <w:t>644,370</w:t>
            </w:r>
          </w:p>
        </w:tc>
        <w:tc>
          <w:tcPr>
            <w:tcW w:type="dxa" w:w="1440"/>
          </w:tcPr>
          <w:p>
            <w:r>
              <w:rPr>
                <w:rFonts w:ascii="Calibri" w:hAnsi="Calibri"/>
                <w:sz w:val="22"/>
              </w:rPr>
              <w:t>660,788</w:t>
            </w:r>
          </w:p>
        </w:tc>
        <w:tc>
          <w:tcPr>
            <w:tcW w:type="dxa" w:w="1440"/>
          </w:tcPr>
          <w:p>
            <w:r>
              <w:rPr>
                <w:rFonts w:ascii="Calibri" w:hAnsi="Calibri"/>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Non-GAAP Diluted EPS ($)</w:t>
            </w:r>
          </w:p>
        </w:tc>
        <w:tc>
          <w:tcPr>
            <w:tcW w:type="dxa" w:w="1440"/>
          </w:tcPr>
          <w:p>
            <w:r>
              <w:rPr>
                <w:rFonts w:ascii="Calibri" w:hAnsi="Calibri"/>
                <w:sz w:val="22"/>
              </w:rPr>
              <w:t>$2.49</w:t>
            </w:r>
          </w:p>
        </w:tc>
        <w:tc>
          <w:tcPr>
            <w:tcW w:type="dxa" w:w="1440"/>
          </w:tcPr>
          <w:p>
            <w:r>
              <w:rPr>
                <w:rFonts w:ascii="Calibri" w:hAnsi="Calibri"/>
                <w:sz w:val="22"/>
              </w:rPr>
              <w:t>$2.57</w:t>
            </w:r>
          </w:p>
        </w:tc>
        <w:tc>
          <w:tcPr>
            <w:tcW w:type="dxa" w:w="1440"/>
          </w:tcPr>
          <w:p>
            <w:r>
              <w:rPr>
                <w:rFonts w:ascii="Calibri" w:hAnsi="Calibri"/>
                <w:sz w:val="22"/>
              </w:rPr>
              <w:t>−3.1%</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Clear Aligner Volume (#)</w:t>
            </w:r>
          </w:p>
        </w:tc>
        <w:tc>
          <w:tcPr>
            <w:tcW w:type="dxa" w:w="1440"/>
          </w:tcPr>
          <w:p>
            <w:r>
              <w:rPr>
                <w:rFonts w:ascii="Calibri" w:hAnsi="Calibri"/>
                <w:sz w:val="22"/>
              </w:rPr>
              <w:t>647,750</w:t>
            </w:r>
          </w:p>
        </w:tc>
        <w:tc>
          <w:tcPr>
            <w:tcW w:type="dxa" w:w="1440"/>
          </w:tcPr>
          <w:p>
            <w:r>
              <w:rPr>
                <w:rFonts w:ascii="Calibri" w:hAnsi="Calibri"/>
                <w:sz w:val="22"/>
              </w:rPr>
              <w:t>616,446</w:t>
            </w:r>
          </w:p>
        </w:tc>
        <w:tc>
          <w:tcPr>
            <w:tcW w:type="dxa" w:w="1440"/>
          </w:tcPr>
          <w:p>
            <w:r>
              <w:rPr>
                <w:rFonts w:ascii="Calibri" w:hAnsi="Calibri"/>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Diluted EPS ($)</w:t>
            </w:r>
          </w:p>
        </w:tc>
        <w:tc>
          <w:tcPr>
            <w:tcW w:type="dxa" w:w="1440"/>
          </w:tcPr>
          <w:p>
            <w:r>
              <w:rPr>
                <w:rFonts w:ascii="Calibri" w:hAnsi="Calibri"/>
                <w:sz w:val="22"/>
              </w:rPr>
              <w:t>$2.61</w:t>
            </w:r>
          </w:p>
        </w:tc>
        <w:tc>
          <w:tcPr>
            <w:tcW w:type="dxa" w:w="1440"/>
          </w:tcPr>
          <w:p>
            <w:r>
              <w:rPr>
                <w:rFonts w:ascii="Calibri" w:hAnsi="Calibri"/>
                <w:sz w:val="22"/>
              </w:rPr>
              <w:t>$2.39</w:t>
            </w:r>
          </w:p>
        </w:tc>
        <w:tc>
          <w:tcPr>
            <w:tcW w:type="dxa" w:w="1440"/>
          </w:tcPr>
          <w:p>
            <w:r>
              <w:rPr>
                <w:rFonts w:ascii="Calibri" w:hAnsi="Calibri"/>
                <w:sz w:val="22"/>
              </w:rPr>
              <w:t>+9.2%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Clear Aligner Volume (#)</w:t>
            </w:r>
          </w:p>
        </w:tc>
        <w:tc>
          <w:tcPr>
            <w:tcW w:type="dxa" w:w="1440"/>
          </w:tcPr>
          <w:p>
            <w:r>
              <w:rPr>
                <w:rFonts w:ascii="Calibri" w:hAnsi="Calibri"/>
                <w:sz w:val="22"/>
              </w:rPr>
              <w:t>676,855</w:t>
            </w:r>
          </w:p>
        </w:tc>
        <w:tc>
          <w:tcPr>
            <w:tcW w:type="dxa" w:w="1440"/>
          </w:tcPr>
          <w:p>
            <w:r>
              <w:rPr>
                <w:rFonts w:ascii="Calibri" w:hAnsi="Calibri"/>
                <w:sz w:val="22"/>
              </w:rPr>
              <w:t>651,301</w:t>
            </w:r>
          </w:p>
        </w:tc>
        <w:tc>
          <w:tcPr>
            <w:tcW w:type="dxa" w:w="1440"/>
          </w:tcPr>
          <w:p>
            <w:r>
              <w:rPr>
                <w:rFonts w:ascii="Calibri" w:hAnsi="Calibri"/>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Diluted EPS ($)</w:t>
            </w:r>
          </w:p>
        </w:tc>
        <w:tc>
          <w:tcPr>
            <w:tcW w:type="dxa" w:w="1440"/>
          </w:tcPr>
          <w:p>
            <w:r>
              <w:rPr>
                <w:rFonts w:ascii="Calibri" w:hAnsi="Calibri"/>
                <w:sz w:val="22"/>
              </w:rPr>
              <w:t>$3.29</w:t>
            </w:r>
          </w:p>
        </w:tc>
        <w:tc>
          <w:tcPr>
            <w:tcW w:type="dxa" w:w="1440"/>
          </w:tcPr>
          <w:p>
            <w:r>
              <w:rPr>
                <w:rFonts w:ascii="Calibri" w:hAnsi="Calibri"/>
                <w:sz w:val="22"/>
              </w:rPr>
              <w:t>$2.99</w:t>
            </w:r>
          </w:p>
        </w:tc>
        <w:tc>
          <w:tcPr>
            <w:tcW w:type="dxa" w:w="1440"/>
          </w:tcPr>
          <w:p>
            <w:r>
              <w:rPr>
                <w:rFonts w:ascii="Calibri" w:hAnsi="Calibri"/>
                <w:sz w:val="22"/>
              </w:rPr>
              <w:t>+10.0%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Clear Aligner Volume (#)</w:t>
            </w:r>
          </w:p>
        </w:tc>
        <w:tc>
          <w:tcPr>
            <w:tcW w:type="dxa" w:w="1440"/>
          </w:tcPr>
          <w:p>
            <w:r>
              <w:rPr>
                <w:rFonts w:ascii="Calibri" w:hAnsi="Calibri"/>
                <w:sz w:val="22"/>
              </w:rPr>
              <w:t>685,650</w:t>
            </w:r>
          </w:p>
        </w:tc>
        <w:tc>
          <w:tcPr>
            <w:tcW w:type="dxa" w:w="1440"/>
          </w:tcPr>
          <w:p>
            <w:r>
              <w:rPr>
                <w:rFonts w:ascii="Calibri" w:hAnsi="Calibri"/>
                <w:sz w:val="22"/>
              </w:rPr>
              <w:t>662,731</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Diluted EPS ($)</w:t>
            </w:r>
          </w:p>
        </w:tc>
        <w:tc>
          <w:tcPr>
            <w:tcW w:type="dxa" w:w="1440"/>
          </w:tcPr>
          <w:p>
            <w:r>
              <w:rPr>
                <w:rFonts w:ascii="Calibri" w:hAnsi="Calibri"/>
                <w:sz w:val="22"/>
              </w:rPr>
              <w:t>$2.58</w:t>
            </w:r>
          </w:p>
        </w:tc>
        <w:tc>
          <w:tcPr>
            <w:tcW w:type="dxa" w:w="1440"/>
          </w:tcPr>
          <w:p>
            <w:r>
              <w:rPr>
                <w:rFonts w:ascii="Calibri" w:hAnsi="Calibri"/>
                <w:sz w:val="22"/>
              </w:rPr>
              <w:t>$2.26</w:t>
            </w:r>
          </w:p>
        </w:tc>
        <w:tc>
          <w:tcPr>
            <w:tcW w:type="dxa" w:w="1440"/>
          </w:tcPr>
          <w:p>
            <w:r>
              <w:rPr>
                <w:rFonts w:ascii="Calibri" w:hAnsi="Calibri"/>
                <w:sz w:val="22"/>
              </w:rPr>
              <w:t>+14.2%</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ALGN has beaten Clear Aligner volume consensus in 6 of the last 8 quarters (missing only Q3 2024 and Q2 2025, the latter being the most significant miss at −2.5%); EPS beats have been consistent and often large, suggesting management guides conservatively on margins — a pattern that supports a constructive setup into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 has been issued since the Q1 2026 earnings call (April 29, 2026); however, management's conference circuit commentary (May–June 2026) has been consistently constructive on underlying demand while reiterating that the Q2 guidance midpoint embeds deliberate conservatism around Middle East uncertainty — a tone that is net positive for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$1,040–$1,060M (+3–5% YoY)</w:t>
            </w:r>
          </w:p>
        </w:tc>
        <w:tc>
          <w:tcPr>
            <w:tcW w:type="dxa" w:w="1728"/>
          </w:tcPr>
          <w:p>
            <w:r>
              <w:rPr>
                <w:rFonts w:ascii="Calibri" w:hAnsi="Calibri"/>
                <w:sz w:val="22"/>
              </w:rPr>
              <w:t>—</w:t>
            </w:r>
          </w:p>
        </w:tc>
        <w:tc>
          <w:tcPr>
            <w:tcW w:type="dxa" w:w="1728"/>
          </w:tcPr>
          <w:p>
            <w:r>
              <w:rPr>
                <w:rFonts w:ascii="Calibri" w:hAnsi="Calibri"/>
                <w:sz w:val="22"/>
              </w:rPr>
              <w:t>$1,051.3M</w:t>
            </w:r>
          </w:p>
        </w:tc>
        <w:tc>
          <w:tcPr>
            <w:tcW w:type="dxa" w:w="1728"/>
          </w:tcPr>
          <w:p>
            <w:r>
              <w:rPr>
                <w:rFonts w:ascii="Calibri" w:hAnsi="Calibri"/>
                <w:sz w:val="22"/>
              </w:rPr>
              <w:t>Unchanged. CFO reiterated at Goldman Sachs (Jun 8) that ~1% sequential growth at midpoint reflects deliberate conservatism on Middle East/oil uncertainty, not demand deterioration.</w:t>
            </w:r>
          </w:p>
        </w:tc>
      </w:tr>
      <w:tr>
        <w:tc>
          <w:tcPr>
            <w:tcW w:type="dxa" w:w="1728"/>
          </w:tcPr>
          <w:p>
            <w:r>
              <w:rPr>
                <w:rFonts w:ascii="Calibri" w:hAnsi="Calibri"/>
                <w:sz w:val="22"/>
              </w:rPr>
              <w:t>Q2 2026 Clear Aligner Volume</w:t>
            </w:r>
          </w:p>
        </w:tc>
        <w:tc>
          <w:tcPr>
            <w:tcW w:type="dxa" w:w="1728"/>
          </w:tcPr>
          <w:p>
            <w:r>
              <w:rPr>
                <w:rFonts w:ascii="Calibri" w:hAnsi="Calibri"/>
                <w:sz w:val="22"/>
              </w:rPr>
              <w:t>Up sequentially &amp; YoY (directional)</w:t>
            </w:r>
          </w:p>
        </w:tc>
        <w:tc>
          <w:tcPr>
            <w:tcW w:type="dxa" w:w="1728"/>
          </w:tcPr>
          <w:p>
            <w:r>
              <w:rPr>
                <w:rFonts w:ascii="Calibri" w:hAnsi="Calibri"/>
                <w:sz w:val="22"/>
              </w:rPr>
              <w:t>—</w:t>
            </w:r>
          </w:p>
        </w:tc>
        <w:tc>
          <w:tcPr>
            <w:tcW w:type="dxa" w:w="1728"/>
          </w:tcPr>
          <w:p>
            <w:r>
              <w:rPr>
                <w:rFonts w:ascii="Calibri" w:hAnsi="Calibri"/>
                <w:sz w:val="22"/>
              </w:rPr>
              <w:t>683,201 cases</w:t>
            </w:r>
          </w:p>
        </w:tc>
        <w:tc>
          <w:tcPr>
            <w:tcW w:type="dxa" w:w="1728"/>
          </w:tcPr>
          <w:p>
            <w:r>
              <w:rPr>
                <w:rFonts w:ascii="Calibri" w:hAnsi="Calibri"/>
                <w:sz w:val="22"/>
              </w:rPr>
              <w:t>Unchanged. Stifel (May 28): CFO noted guidance implies ~1% sequential volume growth at midpoint vs. typical 3–4%.</w:t>
            </w:r>
          </w:p>
        </w:tc>
      </w:tr>
      <w:tr>
        <w:tc>
          <w:tcPr>
            <w:tcW w:type="dxa" w:w="1728"/>
          </w:tcPr>
          <w:p>
            <w:r>
              <w:rPr>
                <w:rFonts w:ascii="Calibri" w:hAnsi="Calibri"/>
                <w:sz w:val="22"/>
              </w:rPr>
              <w:t>Q2 2026 Clear Aligner ASP</w:t>
            </w:r>
          </w:p>
        </w:tc>
        <w:tc>
          <w:tcPr>
            <w:tcW w:type="dxa" w:w="1728"/>
          </w:tcPr>
          <w:p>
            <w:r>
              <w:rPr>
                <w:rFonts w:ascii="Calibri" w:hAnsi="Calibri"/>
                <w:sz w:val="22"/>
              </w:rPr>
              <w:t>Flat sequentially &amp; YoY</w:t>
            </w:r>
          </w:p>
        </w:tc>
        <w:tc>
          <w:tcPr>
            <w:tcW w:type="dxa" w:w="1728"/>
          </w:tcPr>
          <w:p>
            <w:r>
              <w:rPr>
                <w:rFonts w:ascii="Calibri" w:hAnsi="Calibri"/>
                <w:sz w:val="22"/>
              </w:rPr>
              <w:t>—</w:t>
            </w:r>
          </w:p>
        </w:tc>
        <w:tc>
          <w:tcPr>
            <w:tcW w:type="dxa" w:w="1728"/>
          </w:tcPr>
          <w:p>
            <w:r>
              <w:rPr>
                <w:rFonts w:ascii="Calibri" w:hAnsi="Calibri"/>
                <w:sz w:val="22"/>
              </w:rPr>
              <w:t>$1,157.30/case</w:t>
            </w:r>
          </w:p>
        </w:tc>
        <w:tc>
          <w:tcPr>
            <w:tcW w:type="dxa" w:w="1728"/>
          </w:tcPr>
          <w:p>
            <w:r>
              <w:rPr>
                <w:rFonts w:ascii="Calibri" w:hAnsi="Calibri"/>
                <w:sz w:val="22"/>
              </w:rPr>
              <w:t>Unchanged. FY ASP expected −1–2% YoY; H1 expected flattish aided by FX.</w:t>
            </w:r>
          </w:p>
        </w:tc>
      </w:tr>
      <w:tr>
        <w:tc>
          <w:tcPr>
            <w:tcW w:type="dxa" w:w="1728"/>
          </w:tcPr>
          <w:p>
            <w:r>
              <w:rPr>
                <w:rFonts w:ascii="Calibri" w:hAnsi="Calibri"/>
                <w:sz w:val="22"/>
              </w:rPr>
              <w:t>Q2 2026 Non-GAAP Op.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~21.5% (implied)</w:t>
            </w:r>
          </w:p>
        </w:tc>
        <w:tc>
          <w:tcPr>
            <w:tcW w:type="dxa" w:w="1728"/>
          </w:tcPr>
          <w:p>
            <w:r>
              <w:rPr>
                <w:rFonts w:ascii="Calibri" w:hAnsi="Calibri"/>
                <w:sz w:val="22"/>
              </w:rPr>
              <w:t>Unchanged. Goldman Sachs (Jun 8): CFO guided flat QoQ non-GAAP op. margin due to oil/logistics uncertainty; typical seasonal improvement was not assumed.</w:t>
            </w:r>
          </w:p>
        </w:tc>
      </w:tr>
      <w:tr>
        <w:tc>
          <w:tcPr>
            <w:tcW w:type="dxa" w:w="1728"/>
          </w:tcPr>
          <w:p>
            <w:r>
              <w:rPr>
                <w:rFonts w:ascii="Calibri" w:hAnsi="Calibri"/>
                <w:sz w:val="22"/>
              </w:rPr>
              <w:t>FY 2026 Revenue Growth</w:t>
            </w:r>
          </w:p>
        </w:tc>
        <w:tc>
          <w:tcPr>
            <w:tcW w:type="dxa" w:w="1728"/>
          </w:tcPr>
          <w:p>
            <w:r>
              <w:rPr>
                <w:rFonts w:ascii="Calibri" w:hAnsi="Calibri"/>
                <w:sz w:val="22"/>
              </w:rPr>
              <w:t>+3–4% YoY</w:t>
            </w:r>
          </w:p>
        </w:tc>
        <w:tc>
          <w:tcPr>
            <w:tcW w:type="dxa" w:w="1728"/>
          </w:tcPr>
          <w:p>
            <w:r>
              <w:rPr>
                <w:rFonts w:ascii="Calibri" w:hAnsi="Calibri"/>
                <w:sz w:val="22"/>
              </w:rPr>
              <w:t>—</w:t>
            </w:r>
          </w:p>
        </w:tc>
        <w:tc>
          <w:tcPr>
            <w:tcW w:type="dxa" w:w="1728"/>
          </w:tcPr>
          <w:p>
            <w:r>
              <w:rPr>
                <w:rFonts w:ascii="Calibri" w:hAnsi="Calibri"/>
                <w:sz w:val="22"/>
              </w:rPr>
              <w:t>+3.5% YoY (implied by $4.180B cons.)</w:t>
            </w:r>
          </w:p>
        </w:tc>
        <w:tc>
          <w:tcPr>
            <w:tcW w:type="dxa" w:w="1728"/>
          </w:tcPr>
          <w:p>
            <w:r>
              <w:rPr>
                <w:rFonts w:ascii="Calibri" w:hAnsi="Calibri"/>
                <w:sz w:val="22"/>
              </w:rPr>
              <w:t>Reaffirmed. Macro uncertainty cited as reason for not raising despite Q1 beat.</w:t>
            </w:r>
          </w:p>
        </w:tc>
      </w:tr>
      <w:tr>
        <w:tc>
          <w:tcPr>
            <w:tcW w:type="dxa" w:w="1728"/>
          </w:tcPr>
          <w:p>
            <w:r>
              <w:rPr>
                <w:rFonts w:ascii="Calibri" w:hAnsi="Calibri"/>
                <w:sz w:val="22"/>
              </w:rPr>
              <w:t>FY 2026 Clear Aligner Volume</w:t>
            </w:r>
          </w:p>
        </w:tc>
        <w:tc>
          <w:tcPr>
            <w:tcW w:type="dxa" w:w="1728"/>
          </w:tcPr>
          <w:p>
            <w:r>
              <w:rPr>
                <w:rFonts w:ascii="Calibri" w:hAnsi="Calibri"/>
                <w:sz w:val="22"/>
              </w:rPr>
              <w:t>Up mid-single digits YoY</w:t>
            </w:r>
          </w:p>
        </w:tc>
        <w:tc>
          <w:tcPr>
            <w:tcW w:type="dxa" w:w="1728"/>
          </w:tcPr>
          <w:p>
            <w:r>
              <w:rPr>
                <w:rFonts w:ascii="Calibri" w:hAnsi="Calibri"/>
                <w:sz w:val="22"/>
              </w:rPr>
              <w:t>—</w:t>
            </w:r>
          </w:p>
        </w:tc>
        <w:tc>
          <w:tcPr>
            <w:tcW w:type="dxa" w:w="1728"/>
          </w:tcPr>
          <w:p>
            <w:r>
              <w:rPr>
                <w:rFonts w:ascii="Calibri" w:hAnsi="Calibri"/>
                <w:sz w:val="22"/>
              </w:rPr>
              <w:t>~2.722M cases (+5.5% YoY implied)</w:t>
            </w:r>
          </w:p>
        </w:tc>
        <w:tc>
          <w:tcPr>
            <w:tcW w:type="dxa" w:w="1728"/>
          </w:tcPr>
          <w:p>
            <w:r>
              <w:rPr>
                <w:rFonts w:ascii="Calibri" w:hAnsi="Calibri"/>
                <w:sz w:val="22"/>
              </w:rPr>
              <w:t>Reaffirmed. Consensus tracking in line with guidance midpoint.</w:t>
            </w:r>
          </w:p>
        </w:tc>
      </w:tr>
      <w:tr>
        <w:tc>
          <w:tcPr>
            <w:tcW w:type="dxa" w:w="1728"/>
          </w:tcPr>
          <w:p>
            <w:r>
              <w:rPr>
                <w:rFonts w:ascii="Calibri" w:hAnsi="Calibri"/>
                <w:sz w:val="22"/>
              </w:rPr>
              <w:t>FY 2026 Non-GAAP Op. Margin</w:t>
            </w:r>
          </w:p>
        </w:tc>
        <w:tc>
          <w:tcPr>
            <w:tcW w:type="dxa" w:w="1728"/>
          </w:tcPr>
          <w:p>
            <w:r>
              <w:rPr>
                <w:rFonts w:ascii="Calibri" w:hAnsi="Calibri"/>
                <w:sz w:val="22"/>
              </w:rPr>
              <w:t>~23.7% (~+100 bps YoY)</w:t>
            </w:r>
          </w:p>
        </w:tc>
        <w:tc>
          <w:tcPr>
            <w:tcW w:type="dxa" w:w="1728"/>
          </w:tcPr>
          <w:p>
            <w:r>
              <w:rPr>
                <w:rFonts w:ascii="Calibri" w:hAnsi="Calibri"/>
                <w:sz w:val="22"/>
              </w:rPr>
              <w:t>—</w:t>
            </w:r>
          </w:p>
        </w:tc>
        <w:tc>
          <w:tcPr>
            <w:tcW w:type="dxa" w:w="1728"/>
          </w:tcPr>
          <w:p>
            <w:r>
              <w:rPr>
                <w:rFonts w:ascii="Calibri" w:hAnsi="Calibri"/>
                <w:sz w:val="22"/>
              </w:rPr>
              <w:t>~23.7% (implied by $989M cons. op. income)</w:t>
            </w:r>
          </w:p>
        </w:tc>
        <w:tc>
          <w:tcPr>
            <w:tcW w:type="dxa" w:w="1728"/>
          </w:tcPr>
          <w:p>
            <w:r>
              <w:rPr>
                <w:rFonts w:ascii="Calibri" w:hAnsi="Calibri"/>
                <w:sz w:val="22"/>
              </w:rPr>
              <w:t>Reaffirmed. Restructuring benefits flowing through; direct-fab dilution offset by other productivity initiatives.</w:t>
            </w:r>
          </w:p>
        </w:tc>
      </w:tr>
    </w:tbl>
    <w:p>
      <w:r>
        <w:rPr>
          <w:rFonts w:ascii="Calibri" w:hAnsi="Calibri"/>
          <w:i/>
          <w:color w:val="525866"/>
          <w:sz w:val="22"/>
        </w:rPr>
        <w:t>Source: Visible Alpha Consensus and Actuals Data; ALGN Q1 2026 Earnings Release (Apr 29, 2026); ALGN Q1 2026 Earnings Call Transcript; Stifel Jaws &amp; Paws Conference Transcript (May 28, 2026); Goldman Sachs Global Healthcare Conference Transcript (Jun 8,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largely stable since the Q1 print, with a modest downward drift in Q2 EPS (−1.4%) and essentially flat revenue — consistent with management's conservative framing rather than any fundamental deterioration; the gap between current consensus and guidance midpoint is narrow, leaving the setup balanced with a slight upside skew if international momentum continues.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$1,053.9M</w:t>
            </w:r>
          </w:p>
        </w:tc>
        <w:tc>
          <w:tcPr>
            <w:tcW w:type="dxa" w:w="1080"/>
          </w:tcPr>
          <w:p>
            <w:r>
              <w:rPr>
                <w:rFonts w:ascii="Calibri" w:hAnsi="Calibri"/>
                <w:sz w:val="22"/>
              </w:rPr>
              <w:t>$1,051.3M</w:t>
            </w:r>
          </w:p>
        </w:tc>
        <w:tc>
          <w:tcPr>
            <w:tcW w:type="dxa" w:w="1080"/>
          </w:tcPr>
          <w:p>
            <w:r>
              <w:rPr>
                <w:rFonts w:ascii="Calibri" w:hAnsi="Calibri"/>
                <w:sz w:val="22"/>
              </w:rPr>
              <w:t>−0.2%</w:t>
            </w:r>
          </w:p>
        </w:tc>
        <w:tc>
          <w:tcPr>
            <w:tcW w:type="dxa" w:w="1080"/>
          </w:tcPr>
          <w:p>
            <w:r>
              <w:rPr>
                <w:rFonts w:ascii="Calibri" w:hAnsi="Calibri"/>
                <w:sz w:val="22"/>
              </w:rPr>
              <w:t>$1,040–$1,060M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$1,050M mid</w:t>
            </w:r>
          </w:p>
        </w:tc>
      </w:tr>
      <w:tr>
        <w:tc>
          <w:tcPr>
            <w:tcW w:type="dxa" w:w="1080"/>
          </w:tcPr>
          <w:p>
            <w:r>
              <w:rPr>
                <w:rFonts w:ascii="Calibri" w:hAnsi="Calibri"/>
                <w:sz w:val="22"/>
              </w:rPr>
              <w:t>Clear Aligner Volume — Q2 2026</w:t>
            </w:r>
          </w:p>
        </w:tc>
        <w:tc>
          <w:tcPr>
            <w:tcW w:type="dxa" w:w="1080"/>
          </w:tcPr>
          <w:p>
            <w:r>
              <w:rPr>
                <w:rFonts w:ascii="Calibri" w:hAnsi="Calibri"/>
                <w:sz w:val="22"/>
              </w:rPr>
              <w:t>682,539</w:t>
            </w:r>
          </w:p>
        </w:tc>
        <w:tc>
          <w:tcPr>
            <w:tcW w:type="dxa" w:w="1080"/>
          </w:tcPr>
          <w:p>
            <w:r>
              <w:rPr>
                <w:rFonts w:ascii="Calibri" w:hAnsi="Calibri"/>
                <w:sz w:val="22"/>
              </w:rPr>
              <w:t>683,201</w:t>
            </w:r>
          </w:p>
        </w:tc>
        <w:tc>
          <w:tcPr>
            <w:tcW w:type="dxa" w:w="1080"/>
          </w:tcPr>
          <w:p>
            <w:r>
              <w:rPr>
                <w:rFonts w:ascii="Calibri" w:hAnsi="Calibri"/>
                <w:sz w:val="22"/>
              </w:rPr>
              <w:t>+0.1%</w:t>
            </w:r>
          </w:p>
        </w:tc>
        <w:tc>
          <w:tcPr>
            <w:tcW w:type="dxa" w:w="1080"/>
          </w:tcPr>
          <w:p>
            <w:r>
              <w:rPr>
                <w:rFonts w:ascii="Calibri" w:hAnsi="Calibri"/>
                <w:sz w:val="22"/>
              </w:rPr>
              <w:t>Up seq. &amp; YoY (directional)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directional only</w:t>
            </w:r>
          </w:p>
        </w:tc>
      </w:tr>
      <w:tr>
        <w:tc>
          <w:tcPr>
            <w:tcW w:type="dxa" w:w="1080"/>
          </w:tcPr>
          <w:p>
            <w:r>
              <w:rPr>
                <w:rFonts w:ascii="Calibri" w:hAnsi="Calibri"/>
                <w:sz w:val="22"/>
              </w:rPr>
              <w:t>Non-GAAP Diluted EPS — Q2 2026</w:t>
            </w:r>
          </w:p>
        </w:tc>
        <w:tc>
          <w:tcPr>
            <w:tcW w:type="dxa" w:w="1080"/>
          </w:tcPr>
          <w:p>
            <w:r>
              <w:rPr>
                <w:rFonts w:ascii="Calibri" w:hAnsi="Calibri"/>
                <w:sz w:val="22"/>
              </w:rPr>
              <w:t>$2.578</w:t>
            </w:r>
          </w:p>
        </w:tc>
        <w:tc>
          <w:tcPr>
            <w:tcW w:type="dxa" w:w="1080"/>
          </w:tcPr>
          <w:p>
            <w:r>
              <w:rPr>
                <w:rFonts w:ascii="Calibri" w:hAnsi="Calibri"/>
                <w:sz w:val="22"/>
              </w:rPr>
              <w:t>$2.592</w:t>
            </w:r>
          </w:p>
        </w:tc>
        <w:tc>
          <w:tcPr>
            <w:tcW w:type="dxa" w:w="1080"/>
          </w:tcPr>
          <w:p>
            <w:r>
              <w:rPr>
                <w:rFonts w:ascii="Calibri" w:hAnsi="Calibri"/>
                <w:sz w:val="22"/>
              </w:rPr>
              <w:t>+0.5%</w:t>
            </w:r>
          </w:p>
        </w:tc>
        <w:tc>
          <w:tcPr>
            <w:tcW w:type="dxa" w:w="1080"/>
          </w:tcPr>
          <w:p>
            <w:r>
              <w:rPr>
                <w:rFonts w:ascii="Calibri" w:hAnsi="Calibri"/>
                <w:sz w:val="22"/>
              </w:rPr>
              <w:t>Non-GAAP op. margin ~21.5%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EPS not guided directly</w:t>
            </w:r>
          </w:p>
        </w:tc>
      </w:tr>
      <w:tr>
        <w:tc>
          <w:tcPr>
            <w:tcW w:type="dxa" w:w="1080"/>
          </w:tcPr>
          <w:p>
            <w:r>
              <w:rPr>
                <w:rFonts w:ascii="Calibri" w:hAnsi="Calibri"/>
                <w:sz w:val="22"/>
              </w:rPr>
              <w:t>Total Revenue — FY 2026</w:t>
            </w:r>
          </w:p>
        </w:tc>
        <w:tc>
          <w:tcPr>
            <w:tcW w:type="dxa" w:w="1080"/>
          </w:tcPr>
          <w:p>
            <w:r>
              <w:rPr>
                <w:rFonts w:ascii="Calibri" w:hAnsi="Calibri"/>
                <w:sz w:val="22"/>
              </w:rPr>
              <w:t>$4,184.7M</w:t>
            </w:r>
          </w:p>
        </w:tc>
        <w:tc>
          <w:tcPr>
            <w:tcW w:type="dxa" w:w="1080"/>
          </w:tcPr>
          <w:p>
            <w:r>
              <w:rPr>
                <w:rFonts w:ascii="Calibri" w:hAnsi="Calibri"/>
                <w:sz w:val="22"/>
              </w:rPr>
              <w:t>$4,180.3M</w:t>
            </w:r>
          </w:p>
        </w:tc>
        <w:tc>
          <w:tcPr>
            <w:tcW w:type="dxa" w:w="1080"/>
          </w:tcPr>
          <w:p>
            <w:r>
              <w:rPr>
                <w:rFonts w:ascii="Calibri" w:hAnsi="Calibri"/>
                <w:sz w:val="22"/>
              </w:rPr>
              <w:t>−0.1%</w:t>
            </w:r>
          </w:p>
        </w:tc>
        <w:tc>
          <w:tcPr>
            <w:tcW w:type="dxa" w:w="1080"/>
          </w:tcPr>
          <w:p>
            <w:r>
              <w:rPr>
                <w:rFonts w:ascii="Calibri" w:hAnsi="Calibri"/>
                <w:sz w:val="22"/>
              </w:rPr>
              <w:t>+3–4%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~$4,170M mid</w:t>
            </w:r>
          </w:p>
        </w:tc>
      </w:tr>
      <w:tr>
        <w:tc>
          <w:tcPr>
            <w:tcW w:type="dxa" w:w="1080"/>
          </w:tcPr>
          <w:p>
            <w:r>
              <w:rPr>
                <w:rFonts w:ascii="Calibri" w:hAnsi="Calibri"/>
                <w:sz w:val="22"/>
              </w:rPr>
              <w:t>Clear Aligner Volume — FY 2026</w:t>
            </w:r>
          </w:p>
        </w:tc>
        <w:tc>
          <w:tcPr>
            <w:tcW w:type="dxa" w:w="1080"/>
          </w:tcPr>
          <w:p>
            <w:r>
              <w:rPr>
                <w:rFonts w:ascii="Calibri" w:hAnsi="Calibri"/>
                <w:sz w:val="22"/>
              </w:rPr>
              <w:t>2,717,820</w:t>
            </w:r>
          </w:p>
        </w:tc>
        <w:tc>
          <w:tcPr>
            <w:tcW w:type="dxa" w:w="1080"/>
          </w:tcPr>
          <w:p>
            <w:r>
              <w:rPr>
                <w:rFonts w:ascii="Calibri" w:hAnsi="Calibri"/>
                <w:sz w:val="22"/>
              </w:rPr>
              <w:t>2,722,240</w:t>
            </w:r>
          </w:p>
        </w:tc>
        <w:tc>
          <w:tcPr>
            <w:tcW w:type="dxa" w:w="1080"/>
          </w:tcPr>
          <w:p>
            <w:r>
              <w:rPr>
                <w:rFonts w:ascii="Calibri" w:hAnsi="Calibri"/>
                <w:sz w:val="22"/>
              </w:rPr>
              <w:t>+0.2%</w:t>
            </w:r>
          </w:p>
        </w:tc>
        <w:tc>
          <w:tcPr>
            <w:tcW w:type="dxa" w:w="1080"/>
          </w:tcPr>
          <w:p>
            <w:r>
              <w:rPr>
                <w:rFonts w:ascii="Calibri" w:hAnsi="Calibri"/>
                <w:sz w:val="22"/>
              </w:rPr>
              <w:t>Mid-single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directional only</w:t>
            </w:r>
          </w:p>
        </w:tc>
      </w:tr>
      <w:tr>
        <w:tc>
          <w:tcPr>
            <w:tcW w:type="dxa" w:w="1080"/>
          </w:tcPr>
          <w:p>
            <w:r>
              <w:rPr>
                <w:rFonts w:ascii="Calibri" w:hAnsi="Calibri"/>
                <w:sz w:val="22"/>
              </w:rPr>
              <w:t>Non-GAAP Diluted EPS — FY 2026</w:t>
            </w:r>
          </w:p>
        </w:tc>
        <w:tc>
          <w:tcPr>
            <w:tcW w:type="dxa" w:w="1080"/>
          </w:tcPr>
          <w:p>
            <w:r>
              <w:rPr>
                <w:rFonts w:ascii="Calibri" w:hAnsi="Calibri"/>
                <w:sz w:val="22"/>
              </w:rPr>
              <w:t>$11.335</w:t>
            </w:r>
          </w:p>
        </w:tc>
        <w:tc>
          <w:tcPr>
            <w:tcW w:type="dxa" w:w="1080"/>
          </w:tcPr>
          <w:p>
            <w:r>
              <w:rPr>
                <w:rFonts w:ascii="Calibri" w:hAnsi="Calibri"/>
                <w:sz w:val="22"/>
              </w:rPr>
              <w:t>$11.342</w:t>
            </w:r>
          </w:p>
        </w:tc>
        <w:tc>
          <w:tcPr>
            <w:tcW w:type="dxa" w:w="1080"/>
          </w:tcPr>
          <w:p>
            <w:r>
              <w:rPr>
                <w:rFonts w:ascii="Calibri" w:hAnsi="Calibri"/>
                <w:sz w:val="22"/>
              </w:rPr>
              <w:t>+0.1%</w:t>
            </w:r>
          </w:p>
        </w:tc>
        <w:tc>
          <w:tcPr>
            <w:tcW w:type="dxa" w:w="1080"/>
          </w:tcPr>
          <w:p>
            <w:r>
              <w:rPr>
                <w:rFonts w:ascii="Calibri" w:hAnsi="Calibri"/>
                <w:sz w:val="22"/>
              </w:rPr>
              <w:t>Non-GAAP op. margin ~23.7%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EPS not guided directly</w:t>
            </w:r>
          </w:p>
        </w:tc>
      </w:tr>
    </w:tbl>
    <w:p>
      <w:r>
        <w:rPr>
          <w:rFonts w:ascii="Calibri" w:hAnsi="Calibri"/>
          <w:i/>
          <w:color w:val="525866"/>
          <w:sz w:val="22"/>
        </w:rPr>
        <w:t xml:space="preserve">Source: Visible Alpha Consensus and Actuals Data (as-of date May 6, 2026 for baseline; latest as of Jul 28, 2026 for current). </w:t>
      </w:r>
      <w:r>
        <w:rPr>
          <w:rFonts w:ascii="Calibri" w:hAnsi="Calibri"/>
          <w:color w:val="525866"/>
          <w:sz w:val="22"/>
        </w:rPr>
        <w:t>Estimates have been remarkably stable since the Q1 print, with essentially zero revision in either direction across all key metrics — this is consistent with management's conservative framing and suggests the Street is waiting for the Q2 print to reset expectations rather than pre-positioning. The narrow gap between consensus and guidance midpoint means a beat is achievable but not guaranteed; the key variable is whether international volume outperformance (as seen in Q1) repeats.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ALGN has underperformed both XLV and the S&amp;P 500 since the Q1 earnings print, driven almost entirely by multiple compression (−27.5% NTM EV/EBITDA over 12 months) rather than estimate cuts — suggesting the stock is pricing in execution risk that a clean Q2 beat could begin to unwind.</w:t>
      </w:r>
    </w:p>
    <w:p>
      <w:r>
        <w:rPr>
          <w:rFonts w:ascii="Calibri" w:hAnsi="Calibri"/>
          <w:color w:val="525866"/>
          <w:sz w:val="22"/>
        </w:rPr>
        <w:t xml:space="preserve">Since the Q1 2026 earnings date (April 29, 2026), ALGN closed at $178.40 and as of July 28, 2026 trades at ~$168.05, a decline of approximately </w:t>
      </w:r>
      <w:r>
        <w:rPr>
          <w:rFonts w:ascii="Calibri" w:hAnsi="Calibri"/>
          <w:b/>
          <w:color w:val="525866"/>
          <w:sz w:val="22"/>
        </w:rPr>
        <w:t>−5.8%</w:t>
      </w:r>
      <w:r>
        <w:rPr>
          <w:rFonts w:ascii="Calibri" w:hAnsi="Calibri"/>
          <w:color w:val="525866"/>
          <w:sz w:val="22"/>
        </w:rPr>
        <w:t xml:space="preserve"> vs. XLV (Health Care Select Sector SPDR ETF) which gained approximately </w:t>
      </w:r>
      <w:r>
        <w:rPr>
          <w:rFonts w:ascii="Calibri" w:hAnsi="Calibri"/>
          <w:b/>
          <w:color w:val="525866"/>
          <w:sz w:val="22"/>
        </w:rPr>
        <w:t>+14.3%</w:t>
      </w:r>
      <w:r>
        <w:rPr>
          <w:rFonts w:ascii="Calibri" w:hAnsi="Calibri"/>
          <w:color w:val="525866"/>
          <w:sz w:val="22"/>
        </w:rPr>
        <w:t xml:space="preserve"> over the same period, and the S&amp;P 500 (SPY) which gained approximately </w:t>
      </w:r>
      <w:r>
        <w:rPr>
          <w:rFonts w:ascii="Calibri" w:hAnsi="Calibri"/>
          <w:b/>
          <w:color w:val="525866"/>
          <w:sz w:val="22"/>
        </w:rPr>
        <w:t>+3.9%</w:t>
      </w:r>
      <w:r>
        <w:rPr>
          <w:rFonts w:ascii="Calibri" w:hAnsi="Calibri"/>
          <w:color w:val="525866"/>
          <w:sz w:val="22"/>
        </w:rPr>
        <w:t>. ALGN's underperformance is notable given that Q1 results beat consensus on all key metrics. The stock initially rallied to ~$188 in early July before pulling back, with the July 8 CLO departure announcement (8-K) coinciding with a sharp −5.7% single-day decline. Multiple compression remains the dominant driver of 12-month underperformance: NTM P/E has contracted from ~18.7× to ~14.1× (−24.3%), while NTM EPS estimates have been broadly stable. The stock now trades at a trough multiple, creating asymmetric upside if management delivers on its FY2026 margin expansion commitment.</w:t>
      </w:r>
    </w:p>
    <w:p>
      <w:r>
        <w:rPr>
          <w:rFonts w:ascii="Calibri" w:hAnsi="Calibri"/>
          <w:b/>
          <w:color w:val="525866"/>
          <w:sz w:val="22"/>
        </w:rPr>
        <w:t xml:space="preserve">Note: </w:t>
      </w:r>
      <w:r>
        <w:rPr>
          <w:rFonts w:ascii="Calibri" w:hAnsi="Calibri"/>
          <w:color w:val="525866"/>
          <w:sz w:val="22"/>
        </w:rPr>
        <w:t>Sector ETF used is XLV (Health Care Select Sector SPDR ETF), which is the standard benchmark for large-cap U.S. medical device and healthcare companies. ALGN is classified under Health Care Equipment &amp; Supplies (GICS sub-industry). Source: Stock Price Data (Yahoo Finance).</w:t>
      </w:r>
    </w:p>
    <w:p>
      <w:r>
        <w:rPr>
          <w:rFonts w:ascii="Calibri" w:hAnsi="Calibri"/>
          <w:b/>
          <w:color w:val="525866"/>
          <w:sz w:val="22"/>
        </w:rPr>
        <w:t>Indexed Performance Table (Base = 100 at April 29,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ALGN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88.1</w:t>
            </w:r>
          </w:p>
        </w:tc>
        <w:tc>
          <w:tcPr>
            <w:tcW w:type="dxa" w:w="2160"/>
          </w:tcPr>
          <w:p>
            <w:r>
              <w:rPr>
                <w:rFonts w:ascii="Calibri" w:hAnsi="Calibri"/>
                <w:sz w:val="22"/>
              </w:rPr>
              <w:t>101.6</w:t>
            </w:r>
          </w:p>
        </w:tc>
        <w:tc>
          <w:tcPr>
            <w:tcW w:type="dxa" w:w="2160"/>
          </w:tcPr>
          <w:p>
            <w:r>
              <w:rPr>
                <w:rFonts w:ascii="Calibri" w:hAnsi="Calibri"/>
                <w:sz w:val="22"/>
              </w:rPr>
              <w:t>103.9</w:t>
            </w:r>
          </w:p>
        </w:tc>
      </w:tr>
      <w:tr>
        <w:tc>
          <w:tcPr>
            <w:tcW w:type="dxa" w:w="2160"/>
          </w:tcPr>
          <w:p>
            <w:r>
              <w:rPr>
                <w:rFonts w:ascii="Calibri" w:hAnsi="Calibri"/>
                <w:sz w:val="22"/>
              </w:rPr>
              <w:t>May 28, 2026 (Stifel Conference)</w:t>
            </w:r>
          </w:p>
        </w:tc>
        <w:tc>
          <w:tcPr>
            <w:tcW w:type="dxa" w:w="2160"/>
          </w:tcPr>
          <w:p>
            <w:r>
              <w:rPr>
                <w:rFonts w:ascii="Calibri" w:hAnsi="Calibri"/>
                <w:sz w:val="22"/>
              </w:rPr>
              <w:t>97.1</w:t>
            </w:r>
          </w:p>
        </w:tc>
        <w:tc>
          <w:tcPr>
            <w:tcW w:type="dxa" w:w="2160"/>
          </w:tcPr>
          <w:p>
            <w:r>
              <w:rPr>
                <w:rFonts w:ascii="Calibri" w:hAnsi="Calibri"/>
                <w:sz w:val="22"/>
              </w:rPr>
              <w:t>105.6</w:t>
            </w:r>
          </w:p>
        </w:tc>
        <w:tc>
          <w:tcPr>
            <w:tcW w:type="dxa" w:w="2160"/>
          </w:tcPr>
          <w:p>
            <w:r>
              <w:rPr>
                <w:rFonts w:ascii="Calibri" w:hAnsi="Calibri"/>
                <w:sz w:val="22"/>
              </w:rPr>
              <w:t>106.0</w:t>
            </w:r>
          </w:p>
        </w:tc>
      </w:tr>
      <w:tr>
        <w:tc>
          <w:tcPr>
            <w:tcW w:type="dxa" w:w="2160"/>
          </w:tcPr>
          <w:p>
            <w:r>
              <w:rPr>
                <w:rFonts w:ascii="Calibri" w:hAnsi="Calibri"/>
                <w:sz w:val="22"/>
              </w:rPr>
              <w:t>Jun 8, 2026 (Goldman Sachs Conference)</w:t>
            </w:r>
          </w:p>
        </w:tc>
        <w:tc>
          <w:tcPr>
            <w:tcW w:type="dxa" w:w="2160"/>
          </w:tcPr>
          <w:p>
            <w:r>
              <w:rPr>
                <w:rFonts w:ascii="Calibri" w:hAnsi="Calibri"/>
                <w:sz w:val="22"/>
              </w:rPr>
              <w:t>96.4</w:t>
            </w:r>
          </w:p>
        </w:tc>
        <w:tc>
          <w:tcPr>
            <w:tcW w:type="dxa" w:w="2160"/>
          </w:tcPr>
          <w:p>
            <w:r>
              <w:rPr>
                <w:rFonts w:ascii="Calibri" w:hAnsi="Calibri"/>
                <w:sz w:val="22"/>
              </w:rPr>
              <w:t>106.9</w:t>
            </w:r>
          </w:p>
        </w:tc>
        <w:tc>
          <w:tcPr>
            <w:tcW w:type="dxa" w:w="2160"/>
          </w:tcPr>
          <w:p>
            <w:r>
              <w:rPr>
                <w:rFonts w:ascii="Calibri" w:hAnsi="Calibri"/>
                <w:sz w:val="22"/>
              </w:rPr>
              <w:t>103.9</w:t>
            </w:r>
          </w:p>
        </w:tc>
      </w:tr>
      <w:tr>
        <w:tc>
          <w:tcPr>
            <w:tcW w:type="dxa" w:w="2160"/>
          </w:tcPr>
          <w:p>
            <w:r>
              <w:rPr>
                <w:rFonts w:ascii="Calibri" w:hAnsi="Calibri"/>
                <w:sz w:val="22"/>
              </w:rPr>
              <w:t>Jun 18, 2026 (Board Chair Transition 8-K)</w:t>
            </w:r>
          </w:p>
        </w:tc>
        <w:tc>
          <w:tcPr>
            <w:tcW w:type="dxa" w:w="2160"/>
          </w:tcPr>
          <w:p>
            <w:r>
              <w:rPr>
                <w:rFonts w:ascii="Calibri" w:hAnsi="Calibri"/>
                <w:sz w:val="22"/>
              </w:rPr>
              <w:t>102.1</w:t>
            </w:r>
          </w:p>
        </w:tc>
        <w:tc>
          <w:tcPr>
            <w:tcW w:type="dxa" w:w="2160"/>
          </w:tcPr>
          <w:p>
            <w:r>
              <w:rPr>
                <w:rFonts w:ascii="Calibri" w:hAnsi="Calibri"/>
                <w:sz w:val="22"/>
              </w:rPr>
              <w:t>104.6</w:t>
            </w:r>
          </w:p>
        </w:tc>
        <w:tc>
          <w:tcPr>
            <w:tcW w:type="dxa" w:w="2160"/>
          </w:tcPr>
          <w:p>
            <w:r>
              <w:rPr>
                <w:rFonts w:ascii="Calibri" w:hAnsi="Calibri"/>
                <w:sz w:val="22"/>
              </w:rPr>
              <w:t>104.9</w:t>
            </w:r>
          </w:p>
        </w:tc>
      </w:tr>
      <w:tr>
        <w:tc>
          <w:tcPr>
            <w:tcW w:type="dxa" w:w="2160"/>
          </w:tcPr>
          <w:p>
            <w:r>
              <w:rPr>
                <w:rFonts w:ascii="Calibri" w:hAnsi="Calibri"/>
                <w:sz w:val="22"/>
              </w:rPr>
              <w:t>Jul 7, 2026 (Recent High)</w:t>
            </w:r>
          </w:p>
        </w:tc>
        <w:tc>
          <w:tcPr>
            <w:tcW w:type="dxa" w:w="2160"/>
          </w:tcPr>
          <w:p>
            <w:r>
              <w:rPr>
                <w:rFonts w:ascii="Calibri" w:hAnsi="Calibri"/>
                <w:sz w:val="22"/>
              </w:rPr>
              <w:t>103.8</w:t>
            </w:r>
          </w:p>
        </w:tc>
        <w:tc>
          <w:tcPr>
            <w:tcW w:type="dxa" w:w="2160"/>
          </w:tcPr>
          <w:p>
            <w:r>
              <w:rPr>
                <w:rFonts w:ascii="Calibri" w:hAnsi="Calibri"/>
                <w:sz w:val="22"/>
              </w:rPr>
              <w:t>115.1</w:t>
            </w:r>
          </w:p>
        </w:tc>
        <w:tc>
          <w:tcPr>
            <w:tcW w:type="dxa" w:w="2160"/>
          </w:tcPr>
          <w:p>
            <w:r>
              <w:rPr>
                <w:rFonts w:ascii="Calibri" w:hAnsi="Calibri"/>
                <w:sz w:val="22"/>
              </w:rPr>
              <w:t>105.1</w:t>
            </w:r>
          </w:p>
        </w:tc>
      </w:tr>
      <w:tr>
        <w:tc>
          <w:tcPr>
            <w:tcW w:type="dxa" w:w="2160"/>
          </w:tcPr>
          <w:p>
            <w:r>
              <w:rPr>
                <w:rFonts w:ascii="Calibri" w:hAnsi="Calibri"/>
                <w:sz w:val="22"/>
              </w:rPr>
              <w:t>Jul 8, 2026 (CLO Departure 8-K)</w:t>
            </w:r>
          </w:p>
        </w:tc>
        <w:tc>
          <w:tcPr>
            <w:tcW w:type="dxa" w:w="2160"/>
          </w:tcPr>
          <w:p>
            <w:r>
              <w:rPr>
                <w:rFonts w:ascii="Calibri" w:hAnsi="Calibri"/>
                <w:sz w:val="22"/>
              </w:rPr>
              <w:t>97.9</w:t>
            </w:r>
          </w:p>
        </w:tc>
        <w:tc>
          <w:tcPr>
            <w:tcW w:type="dxa" w:w="2160"/>
          </w:tcPr>
          <w:p>
            <w:r>
              <w:rPr>
                <w:rFonts w:ascii="Calibri" w:hAnsi="Calibri"/>
                <w:sz w:val="22"/>
              </w:rPr>
              <w:t>113.6</w:t>
            </w:r>
          </w:p>
        </w:tc>
        <w:tc>
          <w:tcPr>
            <w:tcW w:type="dxa" w:w="2160"/>
          </w:tcPr>
          <w:p>
            <w:r>
              <w:rPr>
                <w:rFonts w:ascii="Calibri" w:hAnsi="Calibri"/>
                <w:sz w:val="22"/>
              </w:rPr>
              <w:t>104.8</w:t>
            </w:r>
          </w:p>
        </w:tc>
      </w:tr>
      <w:tr>
        <w:tc>
          <w:tcPr>
            <w:tcW w:type="dxa" w:w="2160"/>
          </w:tcPr>
          <w:p>
            <w:r>
              <w:rPr>
                <w:rFonts w:ascii="Calibri" w:hAnsi="Calibri"/>
                <w:sz w:val="22"/>
              </w:rPr>
              <w:t>Jul 28, 2026 (Prepared Date)</w:t>
            </w:r>
          </w:p>
        </w:tc>
        <w:tc>
          <w:tcPr>
            <w:tcW w:type="dxa" w:w="2160"/>
          </w:tcPr>
          <w:p>
            <w:r>
              <w:rPr>
                <w:rFonts w:ascii="Calibri" w:hAnsi="Calibri"/>
                <w:sz w:val="22"/>
              </w:rPr>
              <w:t>94.2</w:t>
            </w:r>
          </w:p>
        </w:tc>
        <w:tc>
          <w:tcPr>
            <w:tcW w:type="dxa" w:w="2160"/>
          </w:tcPr>
          <w:p>
            <w:r>
              <w:rPr>
                <w:rFonts w:ascii="Calibri" w:hAnsi="Calibri"/>
                <w:sz w:val="22"/>
              </w:rPr>
              <w:t>114.3</w:t>
            </w:r>
          </w:p>
        </w:tc>
        <w:tc>
          <w:tcPr>
            <w:tcW w:type="dxa" w:w="2160"/>
          </w:tcPr>
          <w:p>
            <w:r>
              <w:rPr>
                <w:rFonts w:ascii="Calibri" w:hAnsi="Calibri"/>
                <w:sz w:val="22"/>
              </w:rPr>
              <w:t>103.9</w:t>
            </w:r>
          </w:p>
        </w:tc>
      </w:tr>
    </w:tbl>
    <w:p>
      <w:r>
        <w:rPr>
          <w:rFonts w:ascii="Calibri" w:hAnsi="Calibri"/>
          <w:i/>
          <w:color w:val="525866"/>
          <w:sz w:val="22"/>
        </w:rPr>
        <w:t>Source: Stock Price Data (Yahoo Finance). Indexed to 100 at April 29, 2026 close ($178.40 for ALGN, $142.84 for XLV, $711.58 for SPY).</w:t>
      </w:r>
    </w:p>
    <w:p>
      <w:r>
        <w:br w:type="page"/>
      </w:r>
    </w:p>
    <w:p>
      <w:pPr>
        <w:pStyle w:val="Heading2"/>
      </w:pPr>
      <w:r>
        <w:rPr>
          <w:rFonts w:ascii="Calibri" w:hAnsi="Calibri"/>
          <w:b/>
          <w:color w:val="3B4259"/>
          <w:sz w:val="28"/>
        </w:rPr>
        <w:t>6. Peer Commentaries in the Last 60 Days</w:t>
      </w:r>
    </w:p>
    <w:p>
      <w:r>
        <w:rPr>
          <w:rFonts w:ascii="Calibri" w:hAnsi="Calibri"/>
          <w:b/>
          <w:color w:val="525866"/>
          <w:sz w:val="22"/>
        </w:rPr>
        <w:t>Screening Methodology &amp; Inclusion Criteria:</w:t>
      </w:r>
      <w:r>
        <w:rPr>
          <w:rFonts w:ascii="Calibri" w:hAnsi="Calibri"/>
          <w:color w:val="525866"/>
          <w:sz w:val="22"/>
        </w:rPr>
        <w:t xml:space="preserve"> This section includes ONLY commentary that (a) was made within the last 60 days (on or after May 28, 2026), AND (b) pertains to current Q2 2026 conditions, forward-looking demand, or post-Q1 2026 business updates. Commentary from peers discussing their own prior-quarter results (e.g., Q1 2025 or Q4 2025 results) without forward-looking read-through has been explicitly excluded. Peers are categorized as (i) Direct Dental Peers and (ii) Adjacent Healthcare Read-Throughs, with limitations noted for each.</w:t>
      </w:r>
    </w:p>
    <w:p>
      <w:pPr>
        <w:pStyle w:val="Heading3"/>
      </w:pPr>
      <w:r>
        <w:rPr>
          <w:rFonts w:ascii="Calibri" w:hAnsi="Calibri"/>
          <w:b/>
          <w:color w:val="3B4259"/>
          <w:sz w:val="24"/>
        </w:rPr>
        <w:t>A. Direct Dental Peer — Straumann (STMN)</w:t>
      </w:r>
    </w:p>
    <w:p>
      <w:r>
        <w:rPr>
          <w:rFonts w:ascii="Calibri" w:hAnsi="Calibri"/>
          <w:b/>
          <w:color w:val="525866"/>
          <w:sz w:val="22"/>
        </w:rPr>
        <w:t>Date: June 17–19, 2026 | Event: Profitability Outlook Raise (Press Release / WSJ Coverage)</w:t>
      </w:r>
    </w:p>
    <w:p>
      <w:r>
        <w:rPr>
          <w:rFonts w:ascii="Calibri" w:hAnsi="Calibri"/>
          <w:b/>
          <w:color w:val="525866"/>
          <w:sz w:val="22"/>
        </w:rPr>
        <w:t xml:space="preserve">Qualifying Criteria: </w:t>
      </w:r>
      <w:r>
        <w:rPr>
          <w:rFonts w:ascii="Calibri" w:hAnsi="Calibri"/>
          <w:color w:val="525866"/>
          <w:sz w:val="22"/>
        </w:rPr>
        <w:t>This is a forward-looking profitability update reflecting current 2026 business conditions, not a retrospective prior-quarter result. Straumann raised its full-year 2026 core EBIT margin expansion guidance from 30–60 bps to 140–170 bps (ex-currency), citing lower-than-expected tariffs, a more favorable pricing environment in China, and supply chain/manufacturing efficiency gains progressing faster than anticipated.</w:t>
      </w:r>
    </w:p>
    <w:p>
      <w:r>
        <w:rPr>
          <w:rFonts w:ascii="Calibri" w:hAnsi="Calibri"/>
          <w:b/>
          <w:color w:val="525866"/>
          <w:sz w:val="22"/>
        </w:rPr>
        <w:t>Key Read-Through Points for ALGN:</w:t>
      </w:r>
    </w:p>
    <w:p>
      <w:pPr>
        <w:pStyle w:val="ListBullet"/>
        <w:ind w:left="360" w:hanging="360"/>
      </w:pPr>
      <w:r>
        <w:rPr>
          <w:rFonts w:ascii="Calibri" w:hAnsi="Calibri"/>
          <w:b/>
          <w:color w:val="525866"/>
          <w:sz w:val="22"/>
        </w:rPr>
        <w:t xml:space="preserve">China pricing environment improving: </w:t>
      </w:r>
      <w:r>
        <w:rPr>
          <w:rFonts w:ascii="Calibri" w:hAnsi="Calibri"/>
          <w:color w:val="525866"/>
          <w:sz w:val="22"/>
        </w:rPr>
        <w:t>Straumann explicitly cited a "more favorable pricing environment in China" as a current-quarter tailwind. This is directionally positive for ALGN, which reported record Q1 2026 China volumes with double-digit growth and has flagged China as a key international growth driver.</w:t>
      </w:r>
    </w:p>
    <w:p>
      <w:pPr>
        <w:pStyle w:val="ListBullet"/>
        <w:ind w:left="360" w:hanging="360"/>
      </w:pPr>
      <w:r>
        <w:rPr>
          <w:rFonts w:ascii="Calibri" w:hAnsi="Calibri"/>
          <w:b/>
          <w:color w:val="525866"/>
          <w:sz w:val="22"/>
        </w:rPr>
        <w:t xml:space="preserve">Tariff environment benign: </w:t>
      </w:r>
      <w:r>
        <w:rPr>
          <w:rFonts w:ascii="Calibri" w:hAnsi="Calibri"/>
          <w:color w:val="525866"/>
          <w:sz w:val="22"/>
        </w:rPr>
        <w:t>Lower-than-expected tariffs benefiting Straumann's cost structure. ALGN noted in its Q1 earnings release that the Supreme Court's February 2026 ruling eliminated IEEPA tariffs (replaced by Section 122 tariffs with no material impact expected) — Straumann's commentary corroborates a broadly favorable tariff backdrop for dental device manufacturers.</w:t>
      </w:r>
    </w:p>
    <w:p>
      <w:pPr>
        <w:pStyle w:val="ListBullet"/>
        <w:ind w:left="360" w:hanging="360"/>
      </w:pPr>
      <w:r>
        <w:rPr>
          <w:rFonts w:ascii="Calibri" w:hAnsi="Calibri"/>
          <w:b/>
          <w:color w:val="525866"/>
          <w:sz w:val="22"/>
        </w:rPr>
        <w:t xml:space="preserve">Manufacturing efficiency gains: </w:t>
      </w:r>
      <w:r>
        <w:rPr>
          <w:rFonts w:ascii="Calibri" w:hAnsi="Calibri"/>
          <w:color w:val="525866"/>
          <w:sz w:val="22"/>
        </w:rPr>
        <w:t>Straumann's supply chain and manufacturing productivity improvements are progressing faster than anticipated — consistent with ALGN's own restructuring narrative and margin expansion commitment.</w:t>
      </w:r>
    </w:p>
    <w:p>
      <w:r>
        <w:rPr>
          <w:rFonts w:ascii="Calibri" w:hAnsi="Calibri"/>
          <w:b/>
          <w:color w:val="525866"/>
          <w:sz w:val="22"/>
        </w:rPr>
        <w:t xml:space="preserve">Read-Through Limitations: </w:t>
      </w:r>
      <w:r>
        <w:rPr>
          <w:rFonts w:ascii="Calibri" w:hAnsi="Calibri"/>
          <w:i/>
          <w:color w:val="525866"/>
          <w:sz w:val="22"/>
        </w:rPr>
        <w:t xml:space="preserve">Straumann is primarily a dental implant company; its demand drivers (implant volumes, restorative procedures) differ from ALGN's clear aligner market. Straumann's commentary does not address orthodontic patient traffic, clear aligner adoption rates, or consumer sentiment for elective orthodontic treatment. The China pricing improvement may reflect implant-specific dynamics (e.g., VBP normalization for implants) that do not directly translate to clear aligners. Weight: </w:t>
      </w:r>
      <w:r>
        <w:rPr>
          <w:rFonts w:ascii="Calibri" w:hAnsi="Calibri"/>
          <w:i/>
          <w:color w:val="525866"/>
          <w:sz w:val="22"/>
        </w:rPr>
        <w:t>Moderate positive — macro/tariff/China read-through is valid; demand read-through is limited.</w:t>
      </w:r>
    </w:p>
    <w:p>
      <w:pPr>
        <w:pStyle w:val="Heading3"/>
      </w:pPr>
      <w:r>
        <w:rPr>
          <w:rFonts w:ascii="Calibri" w:hAnsi="Calibri"/>
          <w:b/>
          <w:color w:val="3B4259"/>
          <w:sz w:val="24"/>
        </w:rPr>
        <w:t>B. Adjacent Healthcare Read-Throughs (Q1 2026 Earnings, Reported Apr–May 2026)</w:t>
      </w:r>
    </w:p>
    <w:p>
      <w:r>
        <w:rPr>
          <w:rFonts w:ascii="Calibri" w:hAnsi="Calibri"/>
          <w:b/>
          <w:color w:val="525866"/>
          <w:sz w:val="22"/>
        </w:rPr>
        <w:t xml:space="preserve">Qualifying Criteria: </w:t>
      </w:r>
      <w:r>
        <w:rPr>
          <w:rFonts w:ascii="Calibri" w:hAnsi="Calibri"/>
          <w:color w:val="525866"/>
          <w:sz w:val="22"/>
        </w:rPr>
        <w:t>The following companies reported Q1 2026 results in late April / May 2026 and provided forward-looking commentary on Q2 2026 and full-year 2026 conditions. Their Q1 results themselves are NOT the read-through; rather, their forward-looking guidance and demand commentary about Q2 2026 and beyond qualifies for inclusion. These are adjacent medical device / healthcare companies, not direct dental peers — read-through applicability is explicitly noted for each.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Qualifying Forward-Looking Commentary (Q2 2026 / FY 2026)</w:t>
            </w:r>
          </w:p>
        </w:tc>
        <w:tc>
          <w:tcPr>
            <w:tcW w:type="dxa" w:w="1728"/>
            <w:shd w:val="clear" w:color="auto" w:fill="3B4259"/>
          </w:tcPr>
          <w:p>
            <w:r>
              <w:rPr>
                <w:rFonts w:ascii="Calibri" w:hAnsi="Calibri"/>
                <w:b/>
                <w:color w:val="FFFFFF"/>
                <w:sz w:val="22"/>
              </w:rPr>
              <w:t>ALGN Read-Through</w:t>
            </w:r>
          </w:p>
        </w:tc>
        <w:tc>
          <w:tcPr>
            <w:tcW w:type="dxa" w:w="1728"/>
            <w:shd w:val="clear" w:color="auto" w:fill="3B4259"/>
          </w:tcPr>
          <w:p>
            <w:r>
              <w:rPr>
                <w:rFonts w:ascii="Calibri" w:hAnsi="Calibri"/>
                <w:b/>
                <w:color w:val="FFFFFF"/>
                <w:sz w:val="22"/>
              </w:rPr>
              <w:t>Limitation</w:t>
            </w:r>
          </w:p>
        </w:tc>
      </w:tr>
      <w:tr>
        <w:tc>
          <w:tcPr>
            <w:tcW w:type="dxa" w:w="1728"/>
          </w:tcPr>
          <w:p>
            <w:r>
              <w:rPr>
                <w:rFonts w:ascii="Calibri" w:hAnsi="Calibri"/>
                <w:sz w:val="22"/>
              </w:rPr>
              <w:t>Stryker (SYK)</w:t>
            </w:r>
          </w:p>
        </w:tc>
        <w:tc>
          <w:tcPr>
            <w:tcW w:type="dxa" w:w="1728"/>
          </w:tcPr>
          <w:p>
            <w:r>
              <w:rPr>
                <w:rFonts w:ascii="Calibri" w:hAnsi="Calibri"/>
                <w:sz w:val="22"/>
              </w:rPr>
              <w:t>Apr 30, 2026</w:t>
            </w:r>
          </w:p>
        </w:tc>
        <w:tc>
          <w:tcPr>
            <w:tcW w:type="dxa" w:w="1728"/>
          </w:tcPr>
          <w:p>
            <w:r>
              <w:rPr>
                <w:rFonts w:ascii="Calibri" w:hAnsi="Calibri"/>
                <w:sz w:val="22"/>
              </w:rPr>
              <w:t>Confirmed "healthy procedural volumes" and "surgery schedules still full" for Q2 2026; hospital CapEx environment described as "steady" with an "elevated" capital order book going into Q2.</w:t>
            </w:r>
          </w:p>
        </w:tc>
        <w:tc>
          <w:tcPr>
            <w:tcW w:type="dxa" w:w="1728"/>
          </w:tcPr>
          <w:p>
            <w:r>
              <w:rPr>
                <w:rFonts w:ascii="Calibri" w:hAnsi="Calibri"/>
                <w:sz w:val="22"/>
              </w:rPr>
              <w:t>Positive: Healthy elective procedure volumes and stable provider capital spending suggest a supportive environment for elective dental procedures and iTero scanner demand.</w:t>
            </w:r>
          </w:p>
        </w:tc>
        <w:tc>
          <w:tcPr>
            <w:tcW w:type="dxa" w:w="1728"/>
          </w:tcPr>
          <w:p>
            <w:r>
              <w:rPr>
                <w:rFonts w:ascii="Calibri" w:hAnsi="Calibri"/>
                <w:sz w:val="22"/>
              </w:rPr>
              <w:t>Surgical volumes ≠ orthodontic patient traffic. Hospital CapEx ≠ dental practice investment. Indirect read-through only.</w:t>
            </w:r>
          </w:p>
        </w:tc>
      </w:tr>
      <w:tr>
        <w:tc>
          <w:tcPr>
            <w:tcW w:type="dxa" w:w="1728"/>
          </w:tcPr>
          <w:p>
            <w:r>
              <w:rPr>
                <w:rFonts w:ascii="Calibri" w:hAnsi="Calibri"/>
                <w:sz w:val="22"/>
              </w:rPr>
              <w:t>GE HealthCare (GEHC)</w:t>
            </w:r>
          </w:p>
        </w:tc>
        <w:tc>
          <w:tcPr>
            <w:tcW w:type="dxa" w:w="1728"/>
          </w:tcPr>
          <w:p>
            <w:r>
              <w:rPr>
                <w:rFonts w:ascii="Calibri" w:hAnsi="Calibri"/>
                <w:sz w:val="22"/>
              </w:rPr>
              <w:t>Apr 29, 2026</w:t>
            </w:r>
          </w:p>
        </w:tc>
        <w:tc>
          <w:tcPr>
            <w:tcW w:type="dxa" w:w="1728"/>
          </w:tcPr>
          <w:p>
            <w:r>
              <w:rPr>
                <w:rFonts w:ascii="Calibri" w:hAnsi="Calibri"/>
                <w:sz w:val="22"/>
              </w:rPr>
              <w:t>Confirmed "resilient procedure growth" globally and "healthy customer demand globally" for Q2 2026; flagged ~$250M in oil/memory/freight cost inflation for the full year.</w:t>
            </w:r>
          </w:p>
        </w:tc>
        <w:tc>
          <w:tcPr>
            <w:tcW w:type="dxa" w:w="1728"/>
          </w:tcPr>
          <w:p>
            <w:r>
              <w:rPr>
                <w:rFonts w:ascii="Calibri" w:hAnsi="Calibri"/>
                <w:sz w:val="22"/>
              </w:rPr>
              <w:t>Mixed: Global procedure resilience is a mild positive for elective dental demand; freight/oil cost inflation corroborates ALGN's own Q2 guidance conservatism on logistics costs.</w:t>
            </w:r>
          </w:p>
        </w:tc>
        <w:tc>
          <w:tcPr>
            <w:tcW w:type="dxa" w:w="1728"/>
          </w:tcPr>
          <w:p>
            <w:r>
              <w:rPr>
                <w:rFonts w:ascii="Calibri" w:hAnsi="Calibri"/>
                <w:sz w:val="22"/>
              </w:rPr>
              <w:t>Imaging/diagnostics demand ≠ clear aligner demand. Cost inflation read-through is more direct than demand read-through.</w:t>
            </w:r>
          </w:p>
        </w:tc>
      </w:tr>
      <w:tr>
        <w:tc>
          <w:tcPr>
            <w:tcW w:type="dxa" w:w="1728"/>
          </w:tcPr>
          <w:p>
            <w:r>
              <w:rPr>
                <w:rFonts w:ascii="Calibri" w:hAnsi="Calibri"/>
                <w:sz w:val="22"/>
              </w:rPr>
              <w:t>Medtronic (MDT)</w:t>
            </w:r>
          </w:p>
        </w:tc>
        <w:tc>
          <w:tcPr>
            <w:tcW w:type="dxa" w:w="1728"/>
          </w:tcPr>
          <w:p>
            <w:r>
              <w:rPr>
                <w:rFonts w:ascii="Calibri" w:hAnsi="Calibri"/>
                <w:sz w:val="22"/>
              </w:rPr>
              <w:t>May 20, 2026</w:t>
            </w:r>
          </w:p>
        </w:tc>
        <w:tc>
          <w:tcPr>
            <w:tcW w:type="dxa" w:w="1728"/>
          </w:tcPr>
          <w:p>
            <w:r>
              <w:rPr>
                <w:rFonts w:ascii="Calibri" w:hAnsi="Calibri"/>
                <w:sz w:val="22"/>
              </w:rPr>
              <w:t>Hugo robotic procedure volume growing "2x to 3x the market" — confirms robotic/digital surgery adoption is accelerating broadly into Q2 2026.</w:t>
            </w:r>
          </w:p>
        </w:tc>
        <w:tc>
          <w:tcPr>
            <w:tcW w:type="dxa" w:w="1728"/>
          </w:tcPr>
          <w:p>
            <w:r>
              <w:rPr>
                <w:rFonts w:ascii="Calibri" w:hAnsi="Calibri"/>
                <w:sz w:val="22"/>
              </w:rPr>
              <w:t>Mild positive: Accelerating adoption of digital/robotic medical technology is thematically consistent with ALGN's digital dentistry platform narrative, though not a direct demand signal.</w:t>
            </w:r>
          </w:p>
        </w:tc>
        <w:tc>
          <w:tcPr>
            <w:tcW w:type="dxa" w:w="1728"/>
          </w:tcPr>
          <w:p>
            <w:r>
              <w:rPr>
                <w:rFonts w:ascii="Calibri" w:hAnsi="Calibri"/>
                <w:sz w:val="22"/>
              </w:rPr>
              <w:t>Robotic surgery adoption ≠ clear aligner adoption. Thematic read-through only; no direct demand linkage.</w:t>
            </w:r>
          </w:p>
        </w:tc>
      </w:tr>
      <w:tr>
        <w:tc>
          <w:tcPr>
            <w:tcW w:type="dxa" w:w="1728"/>
          </w:tcPr>
          <w:p>
            <w:r>
              <w:rPr>
                <w:rFonts w:ascii="Calibri" w:hAnsi="Calibri"/>
                <w:sz w:val="22"/>
              </w:rPr>
              <w:t>Boston Scientific (BSX)</w:t>
            </w:r>
          </w:p>
        </w:tc>
        <w:tc>
          <w:tcPr>
            <w:tcW w:type="dxa" w:w="1728"/>
          </w:tcPr>
          <w:p>
            <w:r>
              <w:rPr>
                <w:rFonts w:ascii="Calibri" w:hAnsi="Calibri"/>
                <w:sz w:val="22"/>
              </w:rPr>
              <w:t>Apr 22, 2026</w:t>
            </w:r>
          </w:p>
        </w:tc>
        <w:tc>
          <w:tcPr>
            <w:tcW w:type="dxa" w:w="1728"/>
          </w:tcPr>
          <w:p>
            <w:r>
              <w:rPr>
                <w:rFonts w:ascii="Calibri" w:hAnsi="Calibri"/>
                <w:sz w:val="22"/>
              </w:rPr>
              <w:t>Called Q2 2026 "our toughest quarter of the year" and cut full-year guidance.</w:t>
            </w:r>
          </w:p>
        </w:tc>
        <w:tc>
          <w:tcPr>
            <w:tcW w:type="dxa" w:w="1728"/>
          </w:tcPr>
          <w:p>
            <w:r>
              <w:rPr>
                <w:rFonts w:ascii="Calibri" w:hAnsi="Calibri"/>
                <w:sz w:val="22"/>
              </w:rPr>
              <w:t>Negative on macro sentiment, but BSX's issues are EP/WATCHMAN-specific product headwinds, not broad procedure volume weakness. Not a direct read-through for ALGN.</w:t>
            </w:r>
          </w:p>
        </w:tc>
        <w:tc>
          <w:tcPr>
            <w:tcW w:type="dxa" w:w="1728"/>
          </w:tcPr>
          <w:p>
            <w:r>
              <w:rPr>
                <w:rFonts w:ascii="Calibri" w:hAnsi="Calibri"/>
                <w:sz w:val="22"/>
              </w:rPr>
              <w:t>BSX's Q2 weakness is product-specific (EP/WATCHMAN), not a macro demand signal applicable to orthodontics.</w:t>
            </w:r>
          </w:p>
        </w:tc>
      </w:tr>
    </w:tbl>
    <w:p>
      <w:pPr>
        <w:pStyle w:val="Heading3"/>
      </w:pPr>
      <w:r>
        <w:rPr>
          <w:rFonts w:ascii="Calibri" w:hAnsi="Calibri"/>
          <w:b/>
          <w:color w:val="3B4259"/>
          <w:sz w:val="24"/>
        </w:rPr>
        <w:t>C. ALGN Management's Own Post-Q1 Conference Commentary (May–June 2026)</w:t>
      </w:r>
    </w:p>
    <w:p>
      <w:r>
        <w:rPr>
          <w:rFonts w:ascii="Calibri" w:hAnsi="Calibri"/>
          <w:b/>
          <w:color w:val="525866"/>
          <w:sz w:val="22"/>
        </w:rPr>
        <w:t xml:space="preserve">Note: </w:t>
      </w:r>
      <w:r>
        <w:rPr>
          <w:rFonts w:ascii="Calibri" w:hAnsi="Calibri"/>
          <w:color w:val="525866"/>
          <w:sz w:val="22"/>
        </w:rPr>
        <w:t>While not a peer read-through, ALGN management's own conference circuit commentary from May–June 2026 provides the most direct current-quarter signal and is summarized here for completeness.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Conference</w:t>
            </w:r>
          </w:p>
        </w:tc>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Key Q2 2026 Commentary</w:t>
            </w:r>
          </w:p>
        </w:tc>
      </w:tr>
      <w:tr>
        <w:tc>
          <w:tcPr>
            <w:tcW w:type="dxa" w:w="2880"/>
          </w:tcPr>
          <w:p>
            <w:r>
              <w:rPr>
                <w:rFonts w:ascii="Calibri" w:hAnsi="Calibri"/>
                <w:sz w:val="22"/>
              </w:rPr>
              <w:t>Stifel Jaws &amp; Paws Conference</w:t>
            </w:r>
          </w:p>
        </w:tc>
        <w:tc>
          <w:tcPr>
            <w:tcW w:type="dxa" w:w="2880"/>
          </w:tcPr>
          <w:p>
            <w:r>
              <w:rPr>
                <w:rFonts w:ascii="Calibri" w:hAnsi="Calibri"/>
                <w:sz w:val="22"/>
              </w:rPr>
              <w:t>May 28, 2026</w:t>
            </w:r>
          </w:p>
        </w:tc>
        <w:tc>
          <w:tcPr>
            <w:tcW w:type="dxa" w:w="2880"/>
          </w:tcPr>
          <w:p>
            <w:r>
              <w:rPr>
                <w:rFonts w:ascii="Calibri" w:hAnsi="Calibri"/>
                <w:sz w:val="22"/>
              </w:rPr>
              <w:t>CFO Morici: Q2 guidance midpoint implies ~1% sequential revenue growth vs. typical 3–4%; reflects geopolitical uncertainty and higher inflation, not demand deterioration. North America "becoming less negative." International double-digit growth continuing across APAC, EMEA, LatAm. No-AA products showing "good utilization" and building momentum. Down-trading from aligners to wires/brackets "much more stable" vs. 6–12 months ago.</w:t>
            </w:r>
          </w:p>
        </w:tc>
      </w:tr>
      <w:tr>
        <w:tc>
          <w:tcPr>
            <w:tcW w:type="dxa" w:w="2880"/>
          </w:tcPr>
          <w:p>
            <w:r>
              <w:rPr>
                <w:rFonts w:ascii="Calibri" w:hAnsi="Calibri"/>
                <w:sz w:val="22"/>
              </w:rPr>
              <w:t>William Blair Growth Stock Conference</w:t>
            </w:r>
          </w:p>
        </w:tc>
        <w:tc>
          <w:tcPr>
            <w:tcW w:type="dxa" w:w="2880"/>
          </w:tcPr>
          <w:p>
            <w:r>
              <w:rPr>
                <w:rFonts w:ascii="Calibri" w:hAnsi="Calibri"/>
                <w:sz w:val="22"/>
              </w:rPr>
              <w:t>Jun 3, 2026</w:t>
            </w:r>
          </w:p>
        </w:tc>
        <w:tc>
          <w:tcPr>
            <w:tcW w:type="dxa" w:w="2880"/>
          </w:tcPr>
          <w:p>
            <w:r>
              <w:rPr>
                <w:rFonts w:ascii="Calibri" w:hAnsi="Calibri"/>
                <w:sz w:val="22"/>
              </w:rPr>
              <w:t>CEO Hogan &amp; CFO Morici: Acknowledged "financial friction at the potential patient level" in the U.S. and globally; emphasized active conversion strategies (DSOs, HFD financing, smile video with 50% higher close rate). DSOs "nurturing patients through" and driving incremental volume. No explicit Q2 guidance update.</w:t>
            </w:r>
          </w:p>
        </w:tc>
      </w:tr>
      <w:tr>
        <w:tc>
          <w:tcPr>
            <w:tcW w:type="dxa" w:w="2880"/>
          </w:tcPr>
          <w:p>
            <w:r>
              <w:rPr>
                <w:rFonts w:ascii="Calibri" w:hAnsi="Calibri"/>
                <w:sz w:val="22"/>
              </w:rPr>
              <w:t>Jefferies Global Healthcare Conference</w:t>
            </w:r>
          </w:p>
        </w:tc>
        <w:tc>
          <w:tcPr>
            <w:tcW w:type="dxa" w:w="2880"/>
          </w:tcPr>
          <w:p>
            <w:r>
              <w:rPr>
                <w:rFonts w:ascii="Calibri" w:hAnsi="Calibri"/>
                <w:sz w:val="22"/>
              </w:rPr>
              <w:t>Jun 4, 2026</w:t>
            </w:r>
          </w:p>
        </w:tc>
        <w:tc>
          <w:tcPr>
            <w:tcW w:type="dxa" w:w="2880"/>
          </w:tcPr>
          <w:p>
            <w:r>
              <w:rPr>
                <w:rFonts w:ascii="Calibri" w:hAnsi="Calibri"/>
                <w:sz w:val="22"/>
              </w:rPr>
              <w:t>CFO Morici: Reiterated "prudent guidance" of ~1% sequential growth at Q2 midpoint. Pressure on "U.S. and North America retail side" acknowledged. International growth "strong" across APAC, EMEA, LatAm. No-AA product rolling out in North America, Europe, and APAC. Lab pilot program showing "really, really high conversion" and generating volume ALGN "never had before." 6,000+ offices enrolled in HFD financing program.</w:t>
            </w:r>
          </w:p>
        </w:tc>
      </w:tr>
      <w:tr>
        <w:tc>
          <w:tcPr>
            <w:tcW w:type="dxa" w:w="2880"/>
          </w:tcPr>
          <w:p>
            <w:r>
              <w:rPr>
                <w:rFonts w:ascii="Calibri" w:hAnsi="Calibri"/>
                <w:sz w:val="22"/>
              </w:rPr>
              <w:t>Goldman Sachs Global Healthcare Conference</w:t>
            </w:r>
          </w:p>
        </w:tc>
        <w:tc>
          <w:tcPr>
            <w:tcW w:type="dxa" w:w="2880"/>
          </w:tcPr>
          <w:p>
            <w:r>
              <w:rPr>
                <w:rFonts w:ascii="Calibri" w:hAnsi="Calibri"/>
                <w:sz w:val="22"/>
              </w:rPr>
              <w:t>Jun 8, 2026</w:t>
            </w:r>
          </w:p>
        </w:tc>
        <w:tc>
          <w:tcPr>
            <w:tcW w:type="dxa" w:w="2880"/>
          </w:tcPr>
          <w:p>
            <w:r>
              <w:rPr>
                <w:rFonts w:ascii="Calibri" w:hAnsi="Calibri"/>
                <w:sz w:val="22"/>
              </w:rPr>
              <w:t>CFO Morici: Confirmed typical Q1-to-Q2 sequential step-up is "3-plus percent"; Q2 guidance at 1% midpoint reflects deliberate conservatism on Middle East/oil uncertainty. Even in challenging Q2 2025, sequential growth was 3%. Consumer sentiment in North America "mid-40s to low-50s" for multiple quarters — management views this as the operating baseline. China double-digit growth for "a number of quarters." Down-trading "much more stable." No Q2 guidance update provided; will update after quarter end.</w:t>
            </w:r>
          </w:p>
        </w:tc>
      </w:tr>
    </w:tbl>
    <w:p>
      <w:r>
        <w:rPr>
          <w:rFonts w:ascii="Calibri" w:hAnsi="Calibri"/>
          <w:i/>
          <w:color w:val="525866"/>
          <w:sz w:val="22"/>
        </w:rPr>
        <w:t>Sources: ALGN Stifel Jaws &amp; Paws Conference Transcript (May 28, 2026); ALGN William Blair Growth Stock Conference Transcript (Jun 3, 2026); ALGN Jefferies Global Healthcare Conference Transcript (Jun 4, 2026); ALGN Goldman Sachs Global Healthcare Conference Transcript (Jun 8, 2026); Straumann (STMN) press release / WSJ coverage (Jun 17–19, 2026); ISRG Q2 2026 Earnings Preview (internal research, Jul 18, 2026).</w:t>
      </w:r>
    </w:p>
    <w:p>
      <w:r>
        <w:rPr>
          <w:rFonts w:ascii="Calibri" w:hAnsi="Calibri"/>
          <w:b/>
          <w:color w:val="525866"/>
          <w:sz w:val="22"/>
        </w:rPr>
        <w:t>Excluded Commentary (and Reason):</w:t>
      </w:r>
      <w:r>
        <w:rPr>
          <w:rFonts w:ascii="Calibri" w:hAnsi="Calibri"/>
          <w:color w:val="525866"/>
          <w:sz w:val="22"/>
        </w:rPr>
        <w:t xml:space="preserve"> Peer Q1 2025 and Q4 2025 earnings call transcripts discussing prior-quarter results without forward-looking Q2 2026 commentary were excluded per the screening criteria. Any peer commentary that discussed only historical results without a forward-looking component was not included.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dual leadership transition (CLO departure + Chairman retirement/succession) — neither is operationally disruptive, but the CLO departure to a competitor (Illumina) introduces modest headline risk; the $200M buyback launch (May 2026) is the most constructive capital allocation signal.</w:t>
      </w:r>
    </w:p>
    <w:p>
      <w:pPr>
        <w:pStyle w:val="ListBullet"/>
        <w:ind w:left="360" w:hanging="360"/>
      </w:pPr>
      <w:r>
        <w:rPr>
          <w:rFonts w:ascii="Calibri" w:hAnsi="Calibri"/>
          <w:b/>
          <w:color w:val="525866"/>
          <w:sz w:val="22"/>
        </w:rPr>
        <w:t xml:space="preserve">Jul 8, 2026 — CLO Resignation (8-K): </w:t>
      </w:r>
      <w:r>
        <w:rPr>
          <w:rFonts w:ascii="Calibri" w:hAnsi="Calibri"/>
          <w:color w:val="525866"/>
          <w:sz w:val="22"/>
        </w:rPr>
        <w:t>Julie Coletti, EVP &amp; Chief Legal and Regulatory Officer, resigned effective August 1, 2026 to join Illumina as CLO. Implication: Modest headline risk given the regulatory/legal function's importance in a medical device company; however, the departure is to a non-competing company and the role is not operationally central to near-term earnings drivers. Stock fell ~5.7% on the day of the 8-K filing.</w:t>
      </w:r>
    </w:p>
    <w:p>
      <w:pPr>
        <w:pStyle w:val="ListBullet"/>
        <w:ind w:left="360" w:hanging="360"/>
      </w:pPr>
      <w:r>
        <w:rPr>
          <w:rFonts w:ascii="Calibri" w:hAnsi="Calibri"/>
          <w:b/>
          <w:color w:val="525866"/>
          <w:sz w:val="22"/>
        </w:rPr>
        <w:t xml:space="preserve">Jun 18, 2026 — Board Chairman Retirement &amp; Succession (8-K): </w:t>
      </w:r>
      <w:r>
        <w:rPr>
          <w:rFonts w:ascii="Calibri" w:hAnsi="Calibri"/>
          <w:color w:val="525866"/>
          <w:sz w:val="22"/>
        </w:rPr>
        <w:t>C. Raymond Larkin Jr. announced retirement as Chairman effective July 1, 2026 (board member through Dec 31, 2026). Kevin Conroy, independent director, appointed as new Chairman effective July 1, 2026. Implication: Orderly governance transition; no disagreement with company operations cited. Neutral for the print.</w:t>
      </w:r>
    </w:p>
    <w:p>
      <w:pPr>
        <w:pStyle w:val="ListBullet"/>
        <w:ind w:left="360" w:hanging="360"/>
      </w:pPr>
      <w:r>
        <w:rPr>
          <w:rFonts w:ascii="Calibri" w:hAnsi="Calibri"/>
          <w:b/>
          <w:color w:val="525866"/>
          <w:sz w:val="22"/>
        </w:rPr>
        <w:t xml:space="preserve">May 27, 2026 — Technology Update Event: </w:t>
      </w:r>
      <w:r>
        <w:rPr>
          <w:rFonts w:ascii="Calibri" w:hAnsi="Calibri"/>
          <w:color w:val="525866"/>
          <w:sz w:val="22"/>
        </w:rPr>
        <w:t>ALGN hosted a technology update highlighting Invisalign Palate Expander enhancements (hooks/buttons for skeletal issues), mandibular advancement with occlusal block, direct fabrication progress (attachments and specialty retainers in limited market release), and ortho-restorative lab initiatives. Implication: Reinforces the product portfolio expansion narrative and provides incremental confidence in the direct-fab commercialization timeline (3D printed Vivera retainer targeted for Q3/Q4 2026 marketplace launch).</w:t>
      </w:r>
    </w:p>
    <w:p>
      <w:pPr>
        <w:pStyle w:val="ListBullet"/>
        <w:ind w:left="360" w:hanging="360"/>
      </w:pPr>
      <w:r>
        <w:rPr>
          <w:rFonts w:ascii="Calibri" w:hAnsi="Calibri"/>
          <w:b/>
          <w:color w:val="525866"/>
          <w:sz w:val="22"/>
        </w:rPr>
        <w:t xml:space="preserve">May 1, 2026 — $200M Share Repurchase Commenced: </w:t>
      </w:r>
      <w:r>
        <w:rPr>
          <w:rFonts w:ascii="Calibri" w:hAnsi="Calibri"/>
          <w:color w:val="525866"/>
          <w:sz w:val="22"/>
        </w:rPr>
        <w:t>ALGN began its previously announced $200M buyback over a six-month period (through ~October 2026), with $800M remaining under the existing $1B authorization. Implication: Constructive capital return signal; management cited U.S. cash concentration (~20% of total cash) as a practical constraint on pace, but the program is actively running.</w:t>
      </w:r>
    </w:p>
    <w:p>
      <w:pPr>
        <w:pStyle w:val="ListBullet"/>
        <w:ind w:left="360" w:hanging="360"/>
      </w:pPr>
      <w:r>
        <w:rPr>
          <w:rFonts w:ascii="Calibri" w:hAnsi="Calibri"/>
          <w:b/>
          <w:color w:val="525866"/>
          <w:sz w:val="22"/>
        </w:rPr>
        <w:t xml:space="preserve">Apr 29, 2026 — Q1 2026 Beat-and-Reaffirm: </w:t>
      </w:r>
      <w:r>
        <w:rPr>
          <w:rFonts w:ascii="Calibri" w:hAnsi="Calibri"/>
          <w:color w:val="525866"/>
          <w:sz w:val="22"/>
        </w:rPr>
        <w:t>Revenue $1,040.1M (+6.2% YoY), Clear Aligner volume 685,650 cases (record Q1, +6.7% YoY), non-GAAP EPS $2.58 (+21% YoY) — all above consensus. FY2026 guidance reaffirmed. Implication: Sets a constructive baseline for Q2; management's deliberate conservatism on Q2 guidance is well-understood by the Street.</w:t>
      </w:r>
    </w:p>
    <w:p>
      <w:pPr>
        <w:pStyle w:val="ListBullet"/>
        <w:ind w:left="360" w:hanging="360"/>
      </w:pPr>
      <w:r>
        <w:rPr>
          <w:rFonts w:ascii="Calibri" w:hAnsi="Calibri"/>
          <w:b/>
          <w:color w:val="525866"/>
          <w:sz w:val="22"/>
        </w:rPr>
        <w:t xml:space="preserve">Apr 29, 2026 — Tariff Update: </w:t>
      </w:r>
      <w:r>
        <w:rPr>
          <w:rFonts w:ascii="Calibri" w:hAnsi="Calibri"/>
          <w:color w:val="525866"/>
          <w:sz w:val="22"/>
        </w:rPr>
        <w:t>Following the Supreme Court's February 20, 2026 ruling that IEEPA tariffs were unlawful, ALGN is now subject to Section 122 tariffs (effective Feb 24, 2026) with no material impact expected. Implication: Tariff risk is effectively neutralized for the near term; Straumann's June commentary corroborates a benign tariff environment for dental device manufacturers.</w:t>
      </w:r>
    </w:p>
    <w:p>
      <w:pPr>
        <w:pStyle w:val="ListBullet"/>
        <w:ind w:left="360" w:hanging="360"/>
      </w:pPr>
      <w:r>
        <w:rPr>
          <w:rFonts w:ascii="Calibri" w:hAnsi="Calibri"/>
          <w:b/>
          <w:color w:val="525866"/>
          <w:sz w:val="22"/>
        </w:rPr>
        <w:t xml:space="preserve">Ongoing — Doctor Subscription Program (DSP) APAC Launch: </w:t>
      </w:r>
      <w:r>
        <w:rPr>
          <w:rFonts w:ascii="Calibri" w:hAnsi="Calibri"/>
          <w:color w:val="525866"/>
          <w:sz w:val="22"/>
        </w:rPr>
        <w:t>DSP expected to launch in APAC in Q2 2026 (per Q1 earnings call). Implication: Incremental volume driver for the quarter; APAC has been the strongest growth region.</w:t>
      </w:r>
    </w:p>
    <w:p>
      <w:pPr>
        <w:pStyle w:val="ListBullet"/>
        <w:ind w:left="360" w:hanging="360"/>
      </w:pPr>
      <w:r>
        <w:rPr>
          <w:rFonts w:ascii="Calibri" w:hAnsi="Calibri"/>
          <w:b/>
          <w:color w:val="525866"/>
          <w:sz w:val="22"/>
        </w:rPr>
        <w:t xml:space="preserve">Ongoing — Invisalign ART U.S. Pilot: </w:t>
      </w:r>
      <w:r>
        <w:rPr>
          <w:rFonts w:ascii="Calibri" w:hAnsi="Calibri"/>
          <w:color w:val="525866"/>
          <w:sz w:val="22"/>
        </w:rPr>
        <w:t>Following EMEA success, ALGN began a U.S. pilot of Invisalign Advanced Restorative Treatment (ART) with labs and doctors in Q1 2026. Implication: Long-term GP channel expansion opportunity; not a near-term earnings driver but supports the multi-year growth narrative.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ALGN in the period since the Q1 2026 earnings date (April 29, 2026 through July 28, 2026). The absence of insider buying at current trough multiples is notable but not alarming given the company's active $200M buyback program and management's stated confidence in the business trajectory.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in SEC Form 4 database for the period Apr 29 – Jul 28, 2026.</w:t>
            </w:r>
          </w:p>
        </w:tc>
      </w:tr>
    </w:tbl>
    <w:p>
      <w:r>
        <w:rPr>
          <w:rFonts w:ascii="Calibri" w:hAnsi="Calibri"/>
          <w:i/>
          <w:color w:val="525866"/>
          <w:sz w:val="22"/>
        </w:rPr>
        <w:t>Source: SEC Form 4 Filings Database (transaction codes P/S, filing date April 29 – July 28, 2026). No qualifying open-market transactions were returned. The company's active $200M share repurchase program (commenced May 1, 2026) represents the primary capital return signal from management.</w:t>
      </w:r>
    </w:p>
    <w:p>
      <w:r>
        <w:br w:type="page"/>
      </w:r>
    </w:p>
    <w:p>
      <w:pPr>
        <w:pStyle w:val="Heading2"/>
      </w:pPr>
      <w:r>
        <w:rPr>
          <w:rFonts w:ascii="Calibri" w:hAnsi="Calibri"/>
          <w:b/>
          <w:color w:val="3B4259"/>
          <w:sz w:val="28"/>
        </w:rPr>
        <w:t>9. Risks &amp; Key Questions for the Call</w:t>
      </w:r>
    </w:p>
    <w:p>
      <w:r>
        <w:rPr>
          <w:rFonts w:ascii="Calibri" w:hAnsi="Calibri"/>
          <w:b/>
          <w:color w:val="525866"/>
          <w:sz w:val="22"/>
        </w:rPr>
        <w:t xml:space="preserve">Key Takeaway: </w:t>
      </w:r>
      <w:r>
        <w:rPr>
          <w:rFonts w:ascii="Calibri" w:hAnsi="Calibri"/>
          <w:color w:val="525866"/>
          <w:sz w:val="22"/>
        </w:rPr>
        <w:t>The primary risk is that management does not raise the back half of FY2026 guidance despite a Q2 beat, leaving the stock range-bound at trough multiples; the primary upside catalyst is a signal that North America retail is inflecting toward growth and that the no-AA product rollout is gaining measurable traction.</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North America retail stagnation: </w:t>
      </w:r>
      <w:r>
        <w:rPr>
          <w:rFonts w:ascii="Calibri" w:hAnsi="Calibri"/>
          <w:color w:val="525866"/>
          <w:sz w:val="22"/>
        </w:rPr>
        <w:t>Consumer sentiment has been in the mid-40s to low-50s for multiple consecutive quarters; if the retail channel does not show sequential improvement in Q2, the path to FY2026 guidance becomes more dependent on international markets alone, which could raise sustainability concerns.</w:t>
      </w:r>
    </w:p>
    <w:p>
      <w:pPr>
        <w:pStyle w:val="ListBullet"/>
        <w:ind w:left="360" w:hanging="360"/>
      </w:pPr>
      <w:r>
        <w:rPr>
          <w:rFonts w:ascii="Calibri" w:hAnsi="Calibri"/>
          <w:b/>
          <w:color w:val="525866"/>
          <w:sz w:val="22"/>
        </w:rPr>
        <w:t xml:space="preserve">Middle East escalation / macro deterioration: </w:t>
      </w:r>
      <w:r>
        <w:rPr>
          <w:rFonts w:ascii="Calibri" w:hAnsi="Calibri"/>
          <w:color w:val="525866"/>
          <w:sz w:val="22"/>
        </w:rPr>
        <w:t>Management's Q2 guidance embeds deliberate conservatism on Middle East uncertainty; if the conflict escalates materially or oil/logistics costs spike, the Q2 beat thesis is at risk and FY guidance could face downward pressure.</w:t>
      </w:r>
    </w:p>
    <w:p>
      <w:pPr>
        <w:pStyle w:val="ListBullet"/>
        <w:ind w:left="360" w:hanging="360"/>
      </w:pPr>
      <w:r>
        <w:rPr>
          <w:rFonts w:ascii="Calibri" w:hAnsi="Calibri"/>
          <w:b/>
          <w:color w:val="525866"/>
          <w:sz w:val="22"/>
        </w:rPr>
        <w:t xml:space="preserve">FX headwind moderation: </w:t>
      </w:r>
      <w:r>
        <w:rPr>
          <w:rFonts w:ascii="Calibri" w:hAnsi="Calibri"/>
          <w:color w:val="525866"/>
          <w:sz w:val="22"/>
        </w:rPr>
        <w:t>Q1 2026 revenue benefited from ~$44.9M (4.5%) FX tailwind YoY; management guided for FX benefit to moderate toward ~100 bps for the full year, implying a meaningful sequential headwind in H2 2026 that could pressure reported revenue growth.</w:t>
      </w:r>
    </w:p>
    <w:p>
      <w:pPr>
        <w:pStyle w:val="ListBullet"/>
        <w:ind w:left="360" w:hanging="360"/>
      </w:pPr>
      <w:r>
        <w:rPr>
          <w:rFonts w:ascii="Calibri" w:hAnsi="Calibri"/>
          <w:b/>
          <w:color w:val="525866"/>
          <w:sz w:val="22"/>
        </w:rPr>
        <w:t xml:space="preserve">Direct fabrication execution risk: </w:t>
      </w:r>
      <w:r>
        <w:rPr>
          <w:rFonts w:ascii="Calibri" w:hAnsi="Calibri"/>
          <w:color w:val="525866"/>
          <w:sz w:val="22"/>
        </w:rPr>
        <w:t>Direct-fab is gross margin dilutive in 2026 and requires FDA approval for aligners (currently in process); any delay in the approval timeline or slower-than-expected scale ramp could push the margin neutrality target (2027) further out.</w:t>
      </w:r>
    </w:p>
    <w:p>
      <w:pPr>
        <w:pStyle w:val="ListBullet"/>
        <w:ind w:left="360" w:hanging="360"/>
      </w:pPr>
      <w:r>
        <w:rPr>
          <w:rFonts w:ascii="Calibri" w:hAnsi="Calibri"/>
          <w:b/>
          <w:color w:val="525866"/>
          <w:sz w:val="22"/>
        </w:rPr>
        <w:t xml:space="preserve">Multiple compression persistence: </w:t>
      </w:r>
      <w:r>
        <w:rPr>
          <w:rFonts w:ascii="Calibri" w:hAnsi="Calibri"/>
          <w:color w:val="525866"/>
          <w:sz w:val="22"/>
        </w:rPr>
        <w:t>ALGN trades at ~14.1× NTM P/E, a multi-year trough; if the market continues to discount execution risk despite improving fundamentals, the stock may remain range-bound even on a beat.</w:t>
      </w:r>
    </w:p>
    <w:p>
      <w:pPr>
        <w:pStyle w:val="ListBullet"/>
        <w:ind w:left="360" w:hanging="360"/>
      </w:pPr>
      <w:r>
        <w:rPr>
          <w:rFonts w:ascii="Calibri" w:hAnsi="Calibri"/>
          <w:b/>
          <w:color w:val="525866"/>
          <w:sz w:val="22"/>
        </w:rPr>
        <w:t xml:space="preserve">CLO departure / leadership continuity: </w:t>
      </w:r>
      <w:r>
        <w:rPr>
          <w:rFonts w:ascii="Calibri" w:hAnsi="Calibri"/>
          <w:color w:val="525866"/>
          <w:sz w:val="22"/>
        </w:rPr>
        <w:t>Julie Coletti's departure as CLO (effective August 1) introduces a temporary gap in the legal/regulatory function; in a medical device company with ongoing FDA interactions (direct-fab aligner approval), this is a modest but real risk.</w:t>
      </w:r>
    </w:p>
    <w:p>
      <w:pPr>
        <w:pStyle w:val="Heading3"/>
      </w:pPr>
      <w:r>
        <w:rPr>
          <w:rFonts w:ascii="Calibri" w:hAnsi="Calibri"/>
          <w:b/>
          <w:color w:val="3B4259"/>
          <w:sz w:val="24"/>
        </w:rPr>
        <w:t>Key Questions for the Earnings Call</w:t>
      </w:r>
    </w:p>
    <w:p>
      <w:pPr>
        <w:pStyle w:val="ListNumber"/>
        <w:ind w:left="360" w:hanging="360"/>
      </w:pPr>
      <w:r>
        <w:rPr>
          <w:rFonts w:ascii="Calibri" w:hAnsi="Calibri"/>
          <w:b/>
          <w:color w:val="525866"/>
          <w:sz w:val="22"/>
        </w:rPr>
        <w:t xml:space="preserve">North America inflection: </w:t>
      </w:r>
      <w:r>
        <w:rPr>
          <w:rFonts w:ascii="Calibri" w:hAnsi="Calibri"/>
          <w:color w:val="525866"/>
          <w:sz w:val="22"/>
        </w:rPr>
        <w:t>Is North America retail showing any sequential improvement in Q2, and what is the timeline for a return to growth? Are the no-AA product rollout and HFD financing program generating measurable incremental volume in the retail channel?</w:t>
      </w:r>
    </w:p>
    <w:p>
      <w:pPr>
        <w:pStyle w:val="ListNumber"/>
        <w:ind w:left="360" w:hanging="360"/>
      </w:pPr>
      <w:r>
        <w:rPr>
          <w:rFonts w:ascii="Calibri" w:hAnsi="Calibri"/>
          <w:b/>
          <w:color w:val="525866"/>
          <w:sz w:val="22"/>
        </w:rPr>
        <w:t xml:space="preserve">FY2026 guidance raise: </w:t>
      </w:r>
      <w:r>
        <w:rPr>
          <w:rFonts w:ascii="Calibri" w:hAnsi="Calibri"/>
          <w:color w:val="525866"/>
          <w:sz w:val="22"/>
        </w:rPr>
        <w:t>Given the Q1 beat and stable international momentum, will management raise the FY2026 revenue growth guidance above the 3–4% range, or does Middle East uncertainty justify maintaining the current framework?</w:t>
      </w:r>
    </w:p>
    <w:p>
      <w:pPr>
        <w:pStyle w:val="ListNumber"/>
        <w:ind w:left="360" w:hanging="360"/>
      </w:pPr>
      <w:r>
        <w:rPr>
          <w:rFonts w:ascii="Calibri" w:hAnsi="Calibri"/>
          <w:b/>
          <w:color w:val="525866"/>
          <w:sz w:val="22"/>
        </w:rPr>
        <w:t xml:space="preserve">Middle East update: </w:t>
      </w:r>
      <w:r>
        <w:rPr>
          <w:rFonts w:ascii="Calibri" w:hAnsi="Calibri"/>
          <w:color w:val="525866"/>
          <w:sz w:val="22"/>
        </w:rPr>
        <w:t>Has the Middle East situation evolved since the Q1 call? Is the impact on EMEA patient traffic and freight costs tracking in line with, better than, or worse than the prudent assumptions embedded in Q2 guidance?</w:t>
      </w:r>
    </w:p>
    <w:p>
      <w:pPr>
        <w:pStyle w:val="ListNumber"/>
        <w:ind w:left="360" w:hanging="360"/>
      </w:pPr>
      <w:r>
        <w:rPr>
          <w:rFonts w:ascii="Calibri" w:hAnsi="Calibri"/>
          <w:b/>
          <w:color w:val="525866"/>
          <w:sz w:val="22"/>
        </w:rPr>
        <w:t xml:space="preserve">Direct fabrication timeline: </w:t>
      </w:r>
      <w:r>
        <w:rPr>
          <w:rFonts w:ascii="Calibri" w:hAnsi="Calibri"/>
          <w:color w:val="525866"/>
          <w:sz w:val="22"/>
        </w:rPr>
        <w:t>What is the current status of the FDA approval process for direct-fab aligners? Is the 3D printed Vivera retainer on track for Q3/Q4 2026 marketplace launch, and what is the expected volume contribution?</w:t>
      </w:r>
    </w:p>
    <w:p>
      <w:pPr>
        <w:pStyle w:val="ListNumber"/>
        <w:ind w:left="360" w:hanging="360"/>
      </w:pPr>
      <w:r>
        <w:rPr>
          <w:rFonts w:ascii="Calibri" w:hAnsi="Calibri"/>
          <w:b/>
          <w:color w:val="525866"/>
          <w:sz w:val="22"/>
        </w:rPr>
        <w:t xml:space="preserve">ASP trajectory: </w:t>
      </w:r>
      <w:r>
        <w:rPr>
          <w:rFonts w:ascii="Calibri" w:hAnsi="Calibri"/>
          <w:color w:val="525866"/>
          <w:sz w:val="22"/>
        </w:rPr>
        <w:t>With no-AA products rolling out more broadly and DSP expanding to APAC, how should investors think about ASP trajectory in H2 2026 and into 2027? Is the 1–2% FY2026 ASP decline assumption still the right framework?</w:t>
      </w:r>
    </w:p>
    <w:p>
      <w:pPr>
        <w:pStyle w:val="ListNumber"/>
        <w:ind w:left="360" w:hanging="360"/>
      </w:pPr>
      <w:r>
        <w:rPr>
          <w:rFonts w:ascii="Calibri" w:hAnsi="Calibri"/>
          <w:b/>
          <w:color w:val="525866"/>
          <w:sz w:val="22"/>
        </w:rPr>
        <w:t xml:space="preserve">Capital allocation: </w:t>
      </w:r>
      <w:r>
        <w:rPr>
          <w:rFonts w:ascii="Calibri" w:hAnsi="Calibri"/>
          <w:color w:val="525866"/>
          <w:sz w:val="22"/>
        </w:rPr>
        <w:t>How much of the $200M buyback has been executed through Q2? Is management considering accelerating the pace given the stock's trough multiple, and what is the plan for the $800M remaining under the existing authorization?</w:t>
      </w:r>
    </w:p>
    <w:p>
      <w:pPr>
        <w:pStyle w:val="ListNumber"/>
        <w:ind w:left="360" w:hanging="360"/>
      </w:pPr>
      <w:r>
        <w:rPr>
          <w:rFonts w:ascii="Calibri" w:hAnsi="Calibri"/>
          <w:b/>
          <w:color w:val="525866"/>
          <w:sz w:val="22"/>
        </w:rPr>
        <w:t xml:space="preserve">CLO succession: </w:t>
      </w:r>
      <w:r>
        <w:rPr>
          <w:rFonts w:ascii="Calibri" w:hAnsi="Calibri"/>
          <w:color w:val="525866"/>
          <w:sz w:val="22"/>
        </w:rPr>
        <w:t>What is the plan for the CLO role following Julie Coletti's departure on August 1? Is there an interim appointment, and does the departure affect the timeline for any pending regulatory submissions?</w:t>
      </w:r>
    </w:p>
    <w:p>
      <w:r>
        <w:br w:type="page"/>
      </w:r>
    </w:p>
    <w:p>
      <w:pPr>
        <w:pStyle w:val="Heading2"/>
      </w:pPr>
      <w:r>
        <w:rPr>
          <w:rFonts w:ascii="Calibri" w:hAnsi="Calibri"/>
          <w:b/>
          <w:color w:val="3B4259"/>
          <w:sz w:val="28"/>
        </w:rPr>
        <w:t>Appendix: Valuation Context</w:t>
      </w:r>
    </w:p>
    <w:p>
      <w:r>
        <w:rPr>
          <w:rFonts w:ascii="Calibri" w:hAnsi="Calibri"/>
          <w:b/>
          <w:color w:val="525866"/>
          <w:sz w:val="22"/>
        </w:rPr>
        <w:t>ALGN NTM Valuation Multiples (as of July 28,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1M Ago</w:t>
            </w:r>
          </w:p>
        </w:tc>
        <w:tc>
          <w:tcPr>
            <w:tcW w:type="dxa" w:w="1440"/>
            <w:shd w:val="clear" w:color="auto" w:fill="3B4259"/>
          </w:tcPr>
          <w:p>
            <w:r>
              <w:rPr>
                <w:rFonts w:ascii="Calibri" w:hAnsi="Calibri"/>
                <w:b/>
                <w:color w:val="FFFFFF"/>
                <w:sz w:val="22"/>
              </w:rPr>
              <w:t>3M Ago</w:t>
            </w:r>
          </w:p>
        </w:tc>
        <w:tc>
          <w:tcPr>
            <w:tcW w:type="dxa" w:w="1440"/>
            <w:shd w:val="clear" w:color="auto" w:fill="3B4259"/>
          </w:tcPr>
          <w:p>
            <w:r>
              <w:rPr>
                <w:rFonts w:ascii="Calibri" w:hAnsi="Calibri"/>
                <w:b/>
                <w:color w:val="FFFFFF"/>
                <w:sz w:val="22"/>
              </w:rPr>
              <w:t>12M Ago</w:t>
            </w:r>
          </w:p>
        </w:tc>
        <w:tc>
          <w:tcPr>
            <w:tcW w:type="dxa" w:w="1440"/>
            <w:shd w:val="clear" w:color="auto" w:fill="3B4259"/>
          </w:tcPr>
          <w:p>
            <w:r>
              <w:rPr>
                <w:rFonts w:ascii="Calibri" w:hAnsi="Calibri"/>
                <w:b/>
                <w:color w:val="FFFFFF"/>
                <w:sz w:val="22"/>
              </w:rPr>
              <w:t>12M Multiple Change</w:t>
            </w:r>
          </w:p>
        </w:tc>
      </w:tr>
      <w:tr>
        <w:tc>
          <w:tcPr>
            <w:tcW w:type="dxa" w:w="1440"/>
          </w:tcPr>
          <w:p>
            <w:r>
              <w:rPr>
                <w:rFonts w:ascii="Calibri" w:hAnsi="Calibri"/>
                <w:sz w:val="22"/>
              </w:rPr>
              <w:t>EV / EBITDA (NTM)</w:t>
            </w:r>
          </w:p>
        </w:tc>
        <w:tc>
          <w:tcPr>
            <w:tcW w:type="dxa" w:w="1440"/>
          </w:tcPr>
          <w:p>
            <w:r>
              <w:rPr>
                <w:rFonts w:ascii="Calibri" w:hAnsi="Calibri"/>
                <w:sz w:val="22"/>
              </w:rPr>
              <w:t>9.2×</w:t>
            </w:r>
          </w:p>
        </w:tc>
        <w:tc>
          <w:tcPr>
            <w:tcW w:type="dxa" w:w="1440"/>
          </w:tcPr>
          <w:p>
            <w:r>
              <w:rPr>
                <w:rFonts w:ascii="Calibri" w:hAnsi="Calibri"/>
                <w:sz w:val="22"/>
              </w:rPr>
              <w:t>9.9×</w:t>
            </w:r>
          </w:p>
        </w:tc>
        <w:tc>
          <w:tcPr>
            <w:tcW w:type="dxa" w:w="1440"/>
          </w:tcPr>
          <w:p>
            <w:r>
              <w:rPr>
                <w:rFonts w:ascii="Calibri" w:hAnsi="Calibri"/>
                <w:sz w:val="22"/>
              </w:rPr>
              <w:t>10.8×</w:t>
            </w:r>
          </w:p>
        </w:tc>
        <w:tc>
          <w:tcPr>
            <w:tcW w:type="dxa" w:w="1440"/>
          </w:tcPr>
          <w:p>
            <w:r>
              <w:rPr>
                <w:rFonts w:ascii="Calibri" w:hAnsi="Calibri"/>
                <w:sz w:val="22"/>
              </w:rPr>
              <w:t>12.7×</w:t>
            </w:r>
          </w:p>
        </w:tc>
        <w:tc>
          <w:tcPr>
            <w:tcW w:type="dxa" w:w="1440"/>
          </w:tcPr>
          <w:p>
            <w:r>
              <w:rPr>
                <w:rFonts w:ascii="Calibri" w:hAnsi="Calibri"/>
                <w:sz w:val="22"/>
              </w:rPr>
              <w:t>−27.5%</w:t>
            </w:r>
          </w:p>
        </w:tc>
      </w:tr>
      <w:tr>
        <w:tc>
          <w:tcPr>
            <w:tcW w:type="dxa" w:w="1440"/>
          </w:tcPr>
          <w:p>
            <w:r>
              <w:rPr>
                <w:rFonts w:ascii="Calibri" w:hAnsi="Calibri"/>
                <w:sz w:val="22"/>
              </w:rPr>
              <w:t>P / E (NTM)</w:t>
            </w:r>
          </w:p>
        </w:tc>
        <w:tc>
          <w:tcPr>
            <w:tcW w:type="dxa" w:w="1440"/>
          </w:tcPr>
          <w:p>
            <w:r>
              <w:rPr>
                <w:rFonts w:ascii="Calibri" w:hAnsi="Calibri"/>
                <w:sz w:val="22"/>
              </w:rPr>
              <w:t>14.1×</w:t>
            </w:r>
          </w:p>
        </w:tc>
        <w:tc>
          <w:tcPr>
            <w:tcW w:type="dxa" w:w="1440"/>
          </w:tcPr>
          <w:p>
            <w:r>
              <w:rPr>
                <w:rFonts w:ascii="Calibri" w:hAnsi="Calibri"/>
                <w:sz w:val="22"/>
              </w:rPr>
              <w:t>14.9×</w:t>
            </w:r>
          </w:p>
        </w:tc>
        <w:tc>
          <w:tcPr>
            <w:tcW w:type="dxa" w:w="1440"/>
          </w:tcPr>
          <w:p>
            <w:r>
              <w:rPr>
                <w:rFonts w:ascii="Calibri" w:hAnsi="Calibri"/>
                <w:sz w:val="22"/>
              </w:rPr>
              <w:t>16.5×</w:t>
            </w:r>
          </w:p>
        </w:tc>
        <w:tc>
          <w:tcPr>
            <w:tcW w:type="dxa" w:w="1440"/>
          </w:tcPr>
          <w:p>
            <w:r>
              <w:rPr>
                <w:rFonts w:ascii="Calibri" w:hAnsi="Calibri"/>
                <w:sz w:val="22"/>
              </w:rPr>
              <w:t>18.7×</w:t>
            </w:r>
          </w:p>
        </w:tc>
        <w:tc>
          <w:tcPr>
            <w:tcW w:type="dxa" w:w="1440"/>
          </w:tcPr>
          <w:p>
            <w:r>
              <w:rPr>
                <w:rFonts w:ascii="Calibri" w:hAnsi="Calibri"/>
                <w:sz w:val="22"/>
              </w:rPr>
              <w:t>−24.3%</w:t>
            </w:r>
          </w:p>
        </w:tc>
      </w:tr>
      <w:tr>
        <w:tc>
          <w:tcPr>
            <w:tcW w:type="dxa" w:w="1440"/>
          </w:tcPr>
          <w:p>
            <w:r>
              <w:rPr>
                <w:rFonts w:ascii="Calibri" w:hAnsi="Calibri"/>
                <w:sz w:val="22"/>
              </w:rPr>
              <w:t>EV / Sales (NTM)</w:t>
            </w:r>
          </w:p>
        </w:tc>
        <w:tc>
          <w:tcPr>
            <w:tcW w:type="dxa" w:w="1440"/>
          </w:tcPr>
          <w:p>
            <w:r>
              <w:rPr>
                <w:rFonts w:ascii="Calibri" w:hAnsi="Calibri"/>
                <w:sz w:val="22"/>
              </w:rPr>
              <w:t>2.6×</w:t>
            </w:r>
          </w:p>
        </w:tc>
        <w:tc>
          <w:tcPr>
            <w:tcW w:type="dxa" w:w="1440"/>
          </w:tcPr>
          <w:p>
            <w:r>
              <w:rPr>
                <w:rFonts w:ascii="Calibri" w:hAnsi="Calibri"/>
                <w:sz w:val="22"/>
              </w:rPr>
              <w:t>2.7×</w:t>
            </w:r>
          </w:p>
        </w:tc>
        <w:tc>
          <w:tcPr>
            <w:tcW w:type="dxa" w:w="1440"/>
          </w:tcPr>
          <w:p>
            <w:r>
              <w:rPr>
                <w:rFonts w:ascii="Calibri" w:hAnsi="Calibri"/>
                <w:sz w:val="22"/>
              </w:rPr>
              <w:t>3.0×</w:t>
            </w:r>
          </w:p>
        </w:tc>
        <w:tc>
          <w:tcPr>
            <w:tcW w:type="dxa" w:w="1440"/>
          </w:tcPr>
          <w:p>
            <w:r>
              <w:rPr>
                <w:rFonts w:ascii="Calibri" w:hAnsi="Calibri"/>
                <w:sz w:val="22"/>
              </w:rPr>
              <w:t>3.2×</w:t>
            </w:r>
          </w:p>
        </w:tc>
        <w:tc>
          <w:tcPr>
            <w:tcW w:type="dxa" w:w="1440"/>
          </w:tcPr>
          <w:p>
            <w:r>
              <w:rPr>
                <w:rFonts w:ascii="Calibri" w:hAnsi="Calibri"/>
                <w:sz w:val="22"/>
              </w:rPr>
              <w:t>−20.3%</w:t>
            </w:r>
          </w:p>
        </w:tc>
      </w:tr>
      <w:tr>
        <w:tc>
          <w:tcPr>
            <w:tcW w:type="dxa" w:w="1440"/>
          </w:tcPr>
          <w:p>
            <w:r>
              <w:rPr>
                <w:rFonts w:ascii="Calibri" w:hAnsi="Calibri"/>
                <w:sz w:val="22"/>
              </w:rPr>
              <w:t>P / FCF (NTM)</w:t>
            </w:r>
          </w:p>
        </w:tc>
        <w:tc>
          <w:tcPr>
            <w:tcW w:type="dxa" w:w="1440"/>
          </w:tcPr>
          <w:p>
            <w:r>
              <w:rPr>
                <w:rFonts w:ascii="Calibri" w:hAnsi="Calibri"/>
                <w:sz w:val="22"/>
              </w:rPr>
              <w:t>14.7×</w:t>
            </w:r>
          </w:p>
        </w:tc>
        <w:tc>
          <w:tcPr>
            <w:tcW w:type="dxa" w:w="1440"/>
          </w:tcPr>
          <w:p>
            <w:r>
              <w:rPr>
                <w:rFonts w:ascii="Calibri" w:hAnsi="Calibri"/>
                <w:sz w:val="22"/>
              </w:rPr>
              <w:t>15.2×</w:t>
            </w:r>
          </w:p>
        </w:tc>
        <w:tc>
          <w:tcPr>
            <w:tcW w:type="dxa" w:w="1440"/>
          </w:tcPr>
          <w:p>
            <w:r>
              <w:rPr>
                <w:rFonts w:ascii="Calibri" w:hAnsi="Calibri"/>
                <w:sz w:val="22"/>
              </w:rPr>
              <w:t>16.2×</w:t>
            </w:r>
          </w:p>
        </w:tc>
        <w:tc>
          <w:tcPr>
            <w:tcW w:type="dxa" w:w="1440"/>
          </w:tcPr>
          <w:p>
            <w:r>
              <w:rPr>
                <w:rFonts w:ascii="Calibri" w:hAnsi="Calibri"/>
                <w:sz w:val="22"/>
              </w:rPr>
              <w:t>20.0×</w:t>
            </w:r>
          </w:p>
        </w:tc>
        <w:tc>
          <w:tcPr>
            <w:tcW w:type="dxa" w:w="1440"/>
          </w:tcPr>
          <w:p>
            <w:r>
              <w:rPr>
                <w:rFonts w:ascii="Calibri" w:hAnsi="Calibri"/>
                <w:sz w:val="22"/>
              </w:rPr>
              <w:t>−26.5%</w:t>
            </w:r>
          </w:p>
        </w:tc>
      </w:tr>
    </w:tbl>
    <w:p>
      <w:r>
        <w:rPr>
          <w:rFonts w:ascii="Calibri" w:hAnsi="Calibri"/>
          <w:i/>
          <w:color w:val="525866"/>
          <w:sz w:val="22"/>
        </w:rPr>
        <w:t>Source: Stock Performance Decomposition Data (Implied Platform). All multiples are NTM (next twelve months) consensus-based. The primary valuation metric for ALGN is NTM P/E given the company's profitability profile and the market's focus on non-GAAP EPS as the key earnings metric. The current 14.1× NTM P/E represents a significant discount to the company's 3–5 year historical average of approximately 30–40×, reflecting the market's skepticism about near-term growth acceleration and the execution risk around the direct fabrication transition. A re-rating toward 18–20× (still well below historical averages) would imply ~30–40% upside from current levels if management delivers on its FY2026 margin expansion and volume growth commitments.</w:t>
      </w:r>
    </w:p>
    <w:p>
      <w:r>
        <w:rPr>
          <w:rFonts w:ascii="Calibri" w:hAnsi="Calibri"/>
          <w:b/>
          <w:color w:val="525866"/>
          <w:sz w:val="22"/>
        </w:rPr>
        <w:t xml:space="preserve">Disclosures: </w:t>
      </w:r>
      <w:r>
        <w:rPr>
          <w:rFonts w:ascii="Calibri" w:hAnsi="Calibri"/>
          <w:i/>
          <w:color w:val="525866"/>
          <w:sz w:val="22"/>
        </w:rPr>
        <w:t>This document is prepared for informational purposes only. All consensus estimates sourced from Visible Alpha. Stock price data sourced from Yahoo Finance via the Implied Platform. All figures are as of July 28, 2026 unless otherwise noted. Past performance is not indicative of future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