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American Tower (AMT) before writing the preview. Let me gather recent filings, earnings, and news.Let me read the most recent earnings materials and check the prior-year Q2 for context.Let me get recent news and the stock's recent performance for context.Let me pull the year-ago Q2 (2025Q2) release for the comparison base and check any DISH/SBA news.Let me read the year-ago Q2 2025 release to establish the comparison base.I now have what I need. Here's the earnings preview.</w:t>
      </w:r>
    </w:p>
    <w:p>
      <w:r>
        <w:pict>
          <v:rect style="width:0;height:1.5pt" o:hralign="center" o:hrstd="t" o:hr="t"/>
        </w:pict>
      </w:r>
    </w:p>
    <w:bookmarkStart w:id="22" w:name="X77a6803cb0e41e6e1a4f4b315f6e9b6272f2fe2"/>
    <w:p>
      <w:pPr>
        <w:pStyle w:val="Heading1"/>
      </w:pPr>
      <w:r>
        <w:t xml:space="preserve">American Tower (AMT) — Q2 2026 Earnings Preview</w:t>
      </w:r>
    </w:p>
    <w:bookmarkStart w:id="9" w:name="Xea7ca8ce51bc79fe4c0e6a32eb05b4d528c2c9e"/>
    <w:p>
      <w:pPr>
        <w:pStyle w:val="Heading3"/>
      </w:pPr>
      <w:r>
        <w:t xml:space="preserve">Reports before market open, Tuesday, July 28, 2026 | Conference call 8:30 a.m. ET</w:t>
      </w:r>
    </w:p>
    <w:bookmarkEnd w:id="9"/>
    <w:bookmarkStart w:id="10" w:name="the-setup-in-one-paragraph"/>
    <w:p>
      <w:pPr>
        <w:pStyle w:val="Heading2"/>
      </w:pPr>
      <w:r>
        <w:t xml:space="preserve">The setup in one paragraph</w:t>
      </w:r>
    </w:p>
    <w:p>
      <w:pPr>
        <w:pStyle w:val="FirstParagraph"/>
      </w:pPr>
      <w:r>
        <w:t xml:space="preserve">American Tower heads into Q2 with management framing the company as being on</w:t>
      </w:r>
      <w:r>
        <w:t xml:space="preserve"> </w:t>
      </w:r>
      <w:r>
        <w:rPr>
          <w:b/>
          <w:bCs/>
        </w:rPr>
        <w:t xml:space="preserve">"its strongest strategic footing in at least a decade."</w:t>
      </w:r>
      <w:r>
        <w:t xml:space="preserve"> </w:t>
      </w:r>
      <w:r>
        <w:t xml:space="preserve">The story going into this print is less about the tower leasing base (steady, but weighed down by known DISH/Sprint churn) and more about three swing factors: (1) whether FX-driven guidance raises continue, (2) the acceleration at CoreSite (data centers), and (3) capital-allocation signaling amid a busy tower-industry M&amp;A backdrop. The stock has round-tripped in 2026 — opening the year near $174.80, peaking around</w:t>
      </w:r>
      <w:r>
        <w:t xml:space="preserve"> </w:t>
      </w:r>
      <m:oMath>
        <m:r>
          <m:t>194</m:t>
        </m:r>
        <m:r>
          <m:t>i</m:t>
        </m:r>
        <m:r>
          <m:t>n</m:t>
        </m:r>
        <m:r>
          <m:t>e</m:t>
        </m:r>
        <m:r>
          <m:t>a</m:t>
        </m:r>
        <m:r>
          <m:t>r</m:t>
        </m:r>
        <m:r>
          <m:t>l</m:t>
        </m:r>
        <m:r>
          <m:t>y</m:t>
        </m:r>
        <m:r>
          <m:t>J</m:t>
        </m:r>
        <m:r>
          <m:t>u</m:t>
        </m:r>
        <m:r>
          <m:t>n</m:t>
        </m:r>
        <m:r>
          <m:t>e</m:t>
        </m:r>
        <m:r>
          <m:rPr>
            <m:sty m:val="p"/>
          </m:rPr>
          <m:t>,</m:t>
        </m:r>
        <m:r>
          <m:t>a</m:t>
        </m:r>
        <m:r>
          <m:t>n</m:t>
        </m:r>
        <m:r>
          <m:t>d</m:t>
        </m:r>
        <m:r>
          <m:t>d</m:t>
        </m:r>
        <m:r>
          <m:t>r</m:t>
        </m:r>
        <m:r>
          <m:t>i</m:t>
        </m:r>
        <m:r>
          <m:t>f</m:t>
        </m:r>
        <m:r>
          <m:t>t</m:t>
        </m:r>
        <m:r>
          <m:t>i</m:t>
        </m:r>
        <m:r>
          <m:t>n</m:t>
        </m:r>
        <m:r>
          <m:t>g</m:t>
        </m:r>
        <m:r>
          <m:t>b</m:t>
        </m:r>
        <m:r>
          <m:t>a</m:t>
        </m:r>
        <m:r>
          <m:t>c</m:t>
        </m:r>
        <m:r>
          <m:t>k</m:t>
        </m:r>
        <m:r>
          <m:t>t</m:t>
        </m:r>
        <m:r>
          <m:t>o</m:t>
        </m:r>
        <m:r>
          <m:t> </m:t>
        </m:r>
      </m:oMath>
      <w:r>
        <w:t xml:space="preserve">166.77 by July 27 — so expectations are reset lower into the quarter.</w:t>
      </w:r>
    </w:p>
    <w:p>
      <w:r>
        <w:pict>
          <v:rect style="width:0;height:1.5pt" o:hralign="center" o:hrstd="t" o:hr="t"/>
        </w:pict>
      </w:r>
    </w:p>
    <w:bookmarkEnd w:id="10"/>
    <w:bookmarkStart w:id="11" w:name="X2249d96629adc802388f105ff94667d09b5f237"/>
    <w:p>
      <w:pPr>
        <w:pStyle w:val="Heading2"/>
      </w:pPr>
      <w:r>
        <w:t xml:space="preserve">1. What the numbers should look like (framing the comp)</w:t>
      </w:r>
    </w:p>
    <w:p>
      <w:pPr>
        <w:pStyle w:val="FirstParagraph"/>
      </w:pPr>
      <w:r>
        <w:rPr>
          <w:b/>
          <w:bCs/>
        </w:rPr>
        <w:t xml:space="preserve">Year-ago base (Q2 2025 actuals — the comparison quarter):</w:t>
      </w:r>
      <w:r>
        <w:t xml:space="preserve"> </w:t>
      </w:r>
      <w:r>
        <w:t xml:space="preserve">| Metric | Q2 2025 |</w:t>
      </w:r>
      <w:r>
        <w:t xml:space="preserve"> </w:t>
      </w:r>
      <w:r>
        <w:t xml:space="preserve">|---|---|</w:t>
      </w:r>
      <w:r>
        <w:t xml:space="preserve"> </w:t>
      </w:r>
      <w:r>
        <w:t xml:space="preserve">| Total property revenue | $2,527M (+1.2% y/y) |</w:t>
      </w:r>
      <w:r>
        <w:t xml:space="preserve"> </w:t>
      </w:r>
      <w:r>
        <w:t xml:space="preserve">| Total revenue | $2,627M |</w:t>
      </w:r>
      <w:r>
        <w:t xml:space="preserve"> </w:t>
      </w:r>
      <w:r>
        <w:t xml:space="preserve">| Adjusted EBITDA | $1,752M (66.7% margin) |</w:t>
      </w:r>
      <w:r>
        <w:t xml:space="preserve"> </w:t>
      </w:r>
      <w:r>
        <w:t xml:space="preserve">| AFFO attributable / share |</w:t>
      </w:r>
      <w:r>
        <w:t xml:space="preserve"> </w:t>
      </w:r>
      <m:oMath>
        <m:r>
          <m:t>1</m:t>
        </m:r>
        <m:r>
          <m:rPr>
            <m:sty m:val="p"/>
          </m:rPr>
          <m:t>,</m:t>
        </m:r>
        <m:r>
          <m:t>218</m:t>
        </m:r>
        <m:r>
          <m:t>M</m:t>
        </m:r>
        <m:r>
          <m:rPr>
            <m:sty m:val="p"/>
          </m:rPr>
          <m:t>/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t xml:space="preserve">2.60** |</w:t>
      </w:r>
      <w:r>
        <w:t xml:space="preserve"> </w:t>
      </w:r>
      <w:r>
        <w:t xml:space="preserve">| Consolidated organic tenant billings growth |</w:t>
      </w:r>
      <w:r>
        <w:t xml:space="preserve"> </w:t>
      </w:r>
      <w:r>
        <w:rPr>
          <w:b/>
          <w:bCs/>
        </w:rPr>
        <w:t xml:space="preserve">4.7%</w:t>
      </w:r>
      <w:r>
        <w:t xml:space="preserve"> </w:t>
      </w:r>
      <w:r>
        <w:t xml:space="preserve">|</w:t>
      </w:r>
      <w:r>
        <w:t xml:space="preserve"> </w:t>
      </w:r>
      <w:r>
        <w:t xml:space="preserve">| Net leverage | 5.1x |</w:t>
      </w:r>
      <w:r>
        <w:t xml:space="preserve"> </w:t>
      </w:r>
      <w:r>
        <w:t xml:space="preserve">| Services revenue | $99.5M (near-record) |</w:t>
      </w:r>
    </w:p>
    <w:p>
      <w:pPr>
        <w:pStyle w:val="BodyText"/>
      </w:pPr>
      <w:r>
        <w:rPr>
          <w:b/>
          <w:bCs/>
        </w:rPr>
        <w:t xml:space="preserve">The trajectory from Q1 2026 (last reported):</w:t>
      </w:r>
      <w:r>
        <w:t xml:space="preserve"> </w:t>
      </w:r>
      <w:r>
        <w:t xml:space="preserve">Q1 property revenue grew 7.3% to $2,670M, adjusted EBITDA +5.2% to $1,835M, and AFFO/share was $2.84 (+3.3%). Consolidated organic tenant billings growth was reported at ~1.7% — but **~4% excluding one-time DISH churn**, which is the number management wants investors to anchor on.</w:t>
      </w:r>
    </w:p>
    <w:p>
      <w:pPr>
        <w:pStyle w:val="BodyText"/>
      </w:pPr>
      <w:r>
        <w:rPr>
          <w:b/>
          <w:bCs/>
        </w:rPr>
        <w:t xml:space="preserve">Full-year 2026 guidance (raised in April) — the yardstick for any Q2 revision:</w:t>
      </w:r>
      <w:r>
        <w:t xml:space="preserve"> </w:t>
      </w:r>
      <w:r>
        <w:t xml:space="preserve">| FY2026 Guide (midpoint) | Value | Implied growth |</w:t>
      </w:r>
      <w:r>
        <w:t xml:space="preserve"> </w:t>
      </w:r>
      <w:r>
        <w:t xml:space="preserve">|---|---|---|</w:t>
      </w:r>
      <w:r>
        <w:t xml:space="preserve"> </w:t>
      </w:r>
      <w:r>
        <w:t xml:space="preserve">| Total property revenue | ~</w:t>
      </w:r>
      <m:oMath>
        <m:r>
          <m:t>10</m:t>
        </m:r>
        <m:r>
          <m:rPr>
            <m:sty m:val="p"/>
          </m:rPr>
          <m:t>,</m:t>
        </m:r>
        <m:r>
          <m:t>660</m:t>
        </m:r>
        <m:r>
          <m:t>M</m:t>
        </m:r>
        <m:r>
          <m:rPr>
            <m:sty m:val="p"/>
          </m:rPr>
          <m:t>|</m:t>
        </m:r>
        <m:r>
          <m:rPr>
            <m:sty m:val="p"/>
          </m:rPr>
          <m:t>+</m:t>
        </m:r>
        <m:r>
          <m:t>3.4</m:t>
        </m:r>
        <m:r>
          <m:rPr>
            <m:sty m:val="p"/>
          </m:rPr>
          <m:t>|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rPr>
            <m:sty m:val="p"/>
          </m:rPr>
          <m:t>|</m:t>
        </m:r>
        <m:r>
          <m:t> </m:t>
        </m:r>
      </m:oMath>
      <w:r>
        <w:t xml:space="preserve">7,230M | +1.4% |</w:t>
      </w:r>
      <w:r>
        <w:t xml:space="preserve"> </w:t>
      </w:r>
      <w:r>
        <w:t xml:space="preserve">| AFFO attributable / share |</w:t>
      </w:r>
      <w:r>
        <w:t xml:space="preserve"> </w:t>
      </w:r>
      <m:oMath>
        <m:r>
          <m:t>10.90</m:t>
        </m:r>
        <m:r>
          <m:rPr>
            <m:sty m:val="p"/>
          </m:rPr>
          <m:t>–</m:t>
        </m:r>
      </m:oMath>
      <w:r>
        <w:rPr>
          <w:b/>
          <w:bCs/>
        </w:rPr>
        <w:t xml:space="preserve">11.07</w:t>
      </w:r>
      <w:r>
        <w:t xml:space="preserve"> </w:t>
      </w:r>
      <w:r>
        <w:t xml:space="preserve">(~</w:t>
      </w:r>
      <m:oMath>
        <m:r>
          <m:t>10.99</m:t>
        </m:r>
        <m:r>
          <m:rPr>
            <m:sty m:val="p"/>
          </m:rPr>
          <m:t>)</m:t>
        </m:r>
        <m:r>
          <m:rPr>
            <m:sty m:val="p"/>
          </m:rPr>
          <m:t>|</m:t>
        </m:r>
        <m:r>
          <m:rPr>
            <m:sty m:val="p"/>
          </m:rPr>
          <m:t>+</m:t>
        </m:r>
        <m:r>
          <m:t>2.1</m:t>
        </m:r>
        <m:r>
          <m:rPr>
            <m:sty m:val="p"/>
          </m:rPr>
          <m:t>|</m:t>
        </m:r>
        <m:r>
          <m:t>C</m:t>
        </m:r>
        <m:r>
          <m:t>o</m:t>
        </m:r>
        <m:r>
          <m:t>n</m:t>
        </m:r>
        <m:r>
          <m:t>s</m:t>
        </m:r>
        <m:r>
          <m:t>o</m:t>
        </m:r>
        <m:r>
          <m:t>l</m:t>
        </m:r>
        <m:r>
          <m:t>i</m:t>
        </m:r>
        <m:r>
          <m:t>d</m:t>
        </m:r>
        <m:r>
          <m:t>a</m:t>
        </m:r>
        <m:r>
          <m:t>t</m:t>
        </m:r>
        <m:r>
          <m:t>e</m:t>
        </m:r>
        <m:r>
          <m:t>d</m:t>
        </m:r>
        <m:r>
          <m:t>o</m:t>
        </m:r>
        <m:r>
          <m:t>r</m:t>
        </m:r>
        <m:r>
          <m:t>g</m:t>
        </m:r>
        <m:r>
          <m:t>a</m:t>
        </m:r>
        <m:r>
          <m:t>n</m:t>
        </m:r>
        <m:r>
          <m:t>i</m:t>
        </m:r>
        <m:r>
          <m:t>c</m:t>
        </m:r>
        <m:r>
          <m:t>t</m:t>
        </m:r>
        <m:r>
          <m:t>e</m:t>
        </m:r>
        <m:r>
          <m:t>n</m:t>
        </m:r>
        <m:r>
          <m:t>a</m:t>
        </m:r>
        <m:r>
          <m:t>n</m:t>
        </m:r>
        <m:r>
          <m:t>t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n</m:t>
        </m:r>
        <m:r>
          <m:t>g</m:t>
        </m:r>
        <m:r>
          <m:t>s</m:t>
        </m:r>
        <m:r>
          <m:rPr>
            <m:sty m:val="p"/>
          </m:rPr>
          <m:t>|</m:t>
        </m:r>
        <m:r>
          <m:t> </m:t>
        </m:r>
        <m:r>
          <m:t>1</m:t>
        </m:r>
        <m:r>
          <m:rPr>
            <m:sty m:val="p"/>
          </m:rPr>
          <m:t>|</m:t>
        </m:r>
        <m:r>
          <m:t>D</m:t>
        </m:r>
        <m:r>
          <m:t>a</m:t>
        </m:r>
        <m:r>
          <m:t>t</m:t>
        </m:r>
        <m:r>
          <m:t>a</m:t>
        </m:r>
        <m:r>
          <m:t>c</m:t>
        </m:r>
        <m:r>
          <m:t>e</m:t>
        </m:r>
        <m:r>
          <m:t>n</m:t>
        </m:r>
        <m:r>
          <m:t>t</m:t>
        </m:r>
        <m:r>
          <m:t>e</m:t>
        </m:r>
        <m:r>
          <m:t>r</m:t>
        </m:r>
        <m:r>
          <m:t>p</m:t>
        </m:r>
        <m:r>
          <m:t>r</m:t>
        </m:r>
        <m:r>
          <m:t>o</m:t>
        </m:r>
        <m:r>
          <m:t>p</m:t>
        </m:r>
        <m:r>
          <m:t>e</m:t>
        </m:r>
        <m:r>
          <m:t>r</m:t>
        </m:r>
        <m:r>
          <m:t>t</m:t>
        </m:r>
        <m:r>
          <m:t>y</m:t>
        </m:r>
        <m:r>
          <m:t>r</m:t>
        </m:r>
        <m:r>
          <m:t>e</m:t>
        </m:r>
        <m:r>
          <m:t>v</m:t>
        </m:r>
        <m:r>
          <m:t>e</m:t>
        </m:r>
        <m:r>
          <m:t>n</m:t>
        </m:r>
        <m:r>
          <m:t>u</m:t>
        </m:r>
        <m:r>
          <m:t>e</m:t>
        </m:r>
        <m:r>
          <m:rPr>
            <m:sty m:val="p"/>
          </m:rPr>
          <m:t>|</m:t>
        </m:r>
        <m:r>
          <m:t> </m:t>
        </m:r>
      </m:oMath>
      <w:r>
        <w:t xml:space="preserve">1,185M | +12.5% |</w:t>
      </w:r>
    </w:p>
    <w:p>
      <w:pPr>
        <w:pStyle w:val="BodyText"/>
      </w:pPr>
      <w:r>
        <w:t xml:space="preserve">With Q1 already at</w:t>
      </w:r>
      <w:r>
        <w:t xml:space="preserve"> </w:t>
      </w:r>
      <m:oMath>
        <m:r>
          <m:t>2.84</m:t>
        </m:r>
        <m:r>
          <m:t>o</m:t>
        </m:r>
        <m:r>
          <m:t>f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10.99 full-year AFFO/share midpoint, and management having guided that</w:t>
      </w:r>
      <w:r>
        <w:t xml:space="preserve"> </w:t>
      </w:r>
      <w:r>
        <w:rPr>
          <w:b/>
          <w:bCs/>
        </w:rPr>
        <w:t xml:space="preserve">AFFO/share growth is back-half weighted</w:t>
      </w:r>
      <w:r>
        <w:t xml:space="preserve"> </w:t>
      </w:r>
      <w:r>
        <w:t xml:space="preserve">(timing of maintenance capex and cash taxes), Q2 AFFO/share is likely to land in the broad vicinity of the year-ago $2.60, with FX as the key wildcard.</w:t>
      </w:r>
    </w:p>
    <w:p>
      <w:r>
        <w:pict>
          <v:rect style="width:0;height:1.5pt" o:hralign="center" o:hrstd="t" o:hr="t"/>
        </w:pict>
      </w:r>
    </w:p>
    <w:bookmarkEnd w:id="11"/>
    <w:bookmarkStart w:id="17" w:name="X5c32ed6ec2aec75e4ceca77598b12a3388f8641"/>
    <w:p>
      <w:pPr>
        <w:pStyle w:val="Heading2"/>
      </w:pPr>
      <w:r>
        <w:t xml:space="preserve">2. The five things that actually move the stock on July 28</w:t>
      </w:r>
    </w:p>
    <w:bookmarkStart w:id="12" w:name="X5689e6372649482c0b723f96eadbaa1a6cf1bbb"/>
    <w:p>
      <w:pPr>
        <w:pStyle w:val="Heading3"/>
      </w:pPr>
      <w:r>
        <w:t xml:space="preserve">(a) Will guidance get raised again — and is it "quality" or just FX?</w:t>
      </w:r>
    </w:p>
    <w:p>
      <w:pPr>
        <w:pStyle w:val="FirstParagraph"/>
      </w:pPr>
      <w:r>
        <w:t xml:space="preserve">Both 2025 and 2026 saw a Q2 (April) style FX-and-straight-line-driven raise. In April, AMT lifted the full-year midpoints by $145M (revenue), $105M (EBITDA) and</w:t>
      </w:r>
      <w:r>
        <w:t xml:space="preserve"> </w:t>
      </w:r>
      <m:oMath>
        <m:r>
          <m:t>0.12</m:t>
        </m:r>
        <m:r>
          <m:rPr>
            <m:sty m:val="p"/>
          </m:rPr>
          <m:t>(</m:t>
        </m:r>
        <m:r>
          <m:t>A</m:t>
        </m:r>
        <m:r>
          <m:t>F</m:t>
        </m:r>
        <m:r>
          <m:t>F</m:t>
        </m:r>
        <m:r>
          <m:t>O</m:t>
        </m:r>
        <m:r>
          <m:rPr>
            <m:sty m:val="p"/>
          </m:rPr>
          <m:t>/</m:t>
        </m:r>
        <m:r>
          <m:t>s</m:t>
        </m:r>
        <m:r>
          <m:t>h</m:t>
        </m:r>
        <m:r>
          <m:t>a</m:t>
        </m:r>
        <m:r>
          <m:t>r</m:t>
        </m:r>
        <m:r>
          <m:t>e</m:t>
        </m:r>
        <m:r>
          <m:rPr>
            <m:sty m:val="p"/>
          </m:rPr>
          <m:t>)</m:t>
        </m:r>
        <m:r>
          <m:rPr>
            <m:sty m:val="p"/>
          </m:rPr>
          <m:t>—</m:t>
        </m:r>
        <m:r>
          <m:t>b</m:t>
        </m:r>
        <m:r>
          <m:t>u</m:t>
        </m:r>
        <m:r>
          <m:t>t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w</m:t>
        </m:r>
        <m:r>
          <m:t>a</m:t>
        </m:r>
        <m:r>
          <m:t>s</m:t>
        </m:r>
        <m:r>
          <m:t>e</m:t>
        </m:r>
        <m:r>
          <m:t>x</m:t>
        </m:r>
        <m:r>
          <m:t>p</m:t>
        </m:r>
        <m:r>
          <m:t>l</m:t>
        </m:r>
        <m:r>
          <m:t>i</m:t>
        </m:r>
        <m:r>
          <m:t>c</m:t>
        </m:r>
        <m:r>
          <m:t>i</m:t>
        </m:r>
        <m:r>
          <m:t>t</m:t>
        </m:r>
        <m:r>
          <m:t>t</m:t>
        </m:r>
        <m:r>
          <m:t>h</m:t>
        </m:r>
        <m:r>
          <m:t>a</m:t>
        </m:r>
        <m:r>
          <m:t>t</m:t>
        </m:r>
        <m:r>
          <m:t> </m:t>
        </m:r>
      </m:oMath>
      <w:r>
        <w:t xml:space="preserve">110M of the revenue raise was</w:t>
      </w:r>
      <w:r>
        <w:t xml:space="preserve"> </w:t>
      </w:r>
      <w:r>
        <w:rPr>
          <w:b/>
          <w:bCs/>
        </w:rPr>
        <w:t xml:space="preserve">FX</w:t>
      </w:r>
      <w:r>
        <w:t xml:space="preserve"> </w:t>
      </w:r>
      <w:r>
        <w:t xml:space="preserve">and ~$35M was non-cash straight-line (Oi in Latin America),</w:t>
      </w:r>
      <w:r>
        <w:t xml:space="preserve"> </w:t>
      </w:r>
      <w:r>
        <w:rPr>
          <w:i/>
          <w:iCs/>
        </w:rPr>
        <w:t xml:space="preserve">not</w:t>
      </w:r>
      <w:r>
        <w:t xml:space="preserve"> </w:t>
      </w:r>
      <w:r>
        <w:t xml:space="preserve">core outperformance.</w:t>
      </w:r>
      <w:r>
        <w:t xml:space="preserve"> </w:t>
      </w:r>
      <w:r>
        <w:rPr>
          <w:b/>
          <w:bCs/>
        </w:rPr>
        <w:t xml:space="preserve">Watch for whether any Q2 raise reflects underlying leasing strength versus another currency translation benefit.</w:t>
      </w:r>
      <w:r>
        <w:t xml:space="preserve"> </w:t>
      </w:r>
      <w:r>
        <w:t xml:space="preserve">The prior guide was set at BRL 5.50 and EUR 0.85; a weaker dollar since then would be an additional tailwind, a stronger one a headwind.</w:t>
      </w:r>
    </w:p>
    <w:bookmarkEnd w:id="12"/>
    <w:bookmarkStart w:id="13" w:name="X8e112a836fedfa0aeafc21bd0331abf7c80adaa"/>
    <w:p>
      <w:pPr>
        <w:pStyle w:val="Heading3"/>
      </w:pPr>
      <w:r>
        <w:t xml:space="preserve">(b) DISH churn cadence and the "clean" ~4% organic number</w:t>
      </w:r>
    </w:p>
    <w:p>
      <w:pPr>
        <w:pStyle w:val="FirstParagraph"/>
      </w:pPr>
      <w:r>
        <w:t xml:space="preserve">Management has "completely derisked" guidance by removing DISH from the numbers, so</w:t>
      </w:r>
      <w:r>
        <w:t xml:space="preserve"> </w:t>
      </w:r>
      <w:r>
        <w:rPr>
          <w:b/>
          <w:bCs/>
        </w:rPr>
        <w:t xml:space="preserve">any DISH resolution is upside, not downside.</w:t>
      </w:r>
      <w:r>
        <w:t xml:space="preserve"> </w:t>
      </w:r>
      <w:r>
        <w:t xml:space="preserve">Key nuance: U.S. churn is</w:t>
      </w:r>
      <w:r>
        <w:t xml:space="preserve"> </w:t>
      </w:r>
      <w:r>
        <w:rPr>
          <w:b/>
          <w:bCs/>
        </w:rPr>
        <w:t xml:space="preserve">back-half weighted</w:t>
      </w:r>
      <w:r>
        <w:t xml:space="preserve"> </w:t>
      </w:r>
      <w:r>
        <w:t xml:space="preserve">in 2026. In Africa/APAC, for example, they guided ~10% organic in H1 stepping down to ~7% in H2 as churn hits. Q2 is still a "cleaner" first-half quarter, so U.S. &amp; Canada organic growth ex-DISH should again print ~5%. The read-through investors want: is the underlying leasing pipeline (mid-band 5G, densification) holding up as carrier capex stays in the ~$30–35B range?</w:t>
      </w:r>
    </w:p>
    <w:bookmarkEnd w:id="13"/>
    <w:bookmarkStart w:id="14" w:name="X80d974db45b1570aef4c27b7a0af10d8d48a078"/>
    <w:p>
      <w:pPr>
        <w:pStyle w:val="Heading3"/>
      </w:pPr>
      <w:r>
        <w:t xml:space="preserve">(c) CoreSite — the real growth engine and the interconnection inflection</w:t>
      </w:r>
    </w:p>
    <w:p>
      <w:pPr>
        <w:pStyle w:val="FirstParagraph"/>
      </w:pPr>
      <w:r>
        <w:t xml:space="preserve">This is where the narrative has shifted most. Q1 data-center cash revenue grew ~17%, and management flagged a</w:t>
      </w:r>
      <w:r>
        <w:t xml:space="preserve"> </w:t>
      </w:r>
      <w:r>
        <w:rPr>
          <w:b/>
          <w:bCs/>
        </w:rPr>
        <w:t xml:space="preserve">"clear inflection in interconnection activity"</w:t>
      </w:r>
      <w:r>
        <w:t xml:space="preserve"> </w:t>
      </w:r>
      <w:r>
        <w:t xml:space="preserve">— higher-margin, stickier revenue driven by hybrid/multi-cloud and AI inferencing. They also boosted held-for-development capacity by 200 MW and are spending ~$695M of development capex in data centers this year.</w:t>
      </w:r>
      <w:r>
        <w:t xml:space="preserve"> </w:t>
      </w:r>
      <w:r>
        <w:rPr>
          <w:b/>
          <w:bCs/>
        </w:rPr>
        <w:t xml:space="preserve">Watch for: another leg up in interconnection, a possible new-market or capacity announcement, and any updated commentary on CoreSite's strategic role</w:t>
      </w:r>
      <w:r>
        <w:t xml:space="preserve"> </w:t>
      </w:r>
      <w:r>
        <w:t xml:space="preserve">(management is "increasingly enthusiastic about accelerating CoreSite's expansion," and pointedly reiterated it's a long-term keeper amid sky-high private DC multiples).</w:t>
      </w:r>
    </w:p>
    <w:bookmarkEnd w:id="14"/>
    <w:bookmarkStart w:id="15" w:name="d-the-services-comp-is-tough"/>
    <w:p>
      <w:pPr>
        <w:pStyle w:val="Heading3"/>
      </w:pPr>
      <w:r>
        <w:t xml:space="preserve">(d) The services comp is tough</w:t>
      </w:r>
    </w:p>
    <w:p>
      <w:pPr>
        <w:pStyle w:val="FirstParagraph"/>
      </w:pPr>
      <w:r>
        <w:t xml:space="preserve">Q2 2025 services revenue was ~$99.5M — one of the highest quarters on record — versus just $67.6M in Q1 2026 (down 9.4% y/y). Management has already flagged services as a ~100 bps AFFO/share headwind this year.</w:t>
      </w:r>
      <w:r>
        <w:t xml:space="preserve"> </w:t>
      </w:r>
      <w:r>
        <w:rPr>
          <w:b/>
          <w:bCs/>
        </w:rPr>
        <w:t xml:space="preserve">A soft services y/y line is expected and shouldn't be misread as core weakness</w:t>
      </w:r>
      <w:r>
        <w:t xml:space="preserve">, but it will pressure the optics of total revenue growth.</w:t>
      </w:r>
    </w:p>
    <w:bookmarkEnd w:id="15"/>
    <w:bookmarkStart w:id="16" w:name="e-capital-allocation-and-the-ma-backdrop"/>
    <w:p>
      <w:pPr>
        <w:pStyle w:val="Heading3"/>
      </w:pPr>
      <w:r>
        <w:t xml:space="preserve">(e) Capital allocation and the M&amp;A backdrop</w:t>
      </w:r>
    </w:p>
    <w:p>
      <w:pPr>
        <w:pStyle w:val="FirstParagraph"/>
      </w:pPr>
      <w:r>
        <w:t xml:space="preserve">AMT ended Q1 at</w:t>
      </w:r>
      <w:r>
        <w:t xml:space="preserve"> </w:t>
      </w:r>
      <w:r>
        <w:rPr>
          <w:b/>
          <w:bCs/>
        </w:rPr>
        <w:t xml:space="preserve">4.9x net leverage</w:t>
      </w:r>
      <w:r>
        <w:t xml:space="preserve"> </w:t>
      </w:r>
      <w:r>
        <w:t xml:space="preserve">(lowest in the peer group, highest credit rating), had repurchased &gt;$565M of stock since starting buybacks in Q4, and grew the dividend ~5%. On the call, expect heavy focus on: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Buyback pace</w:t>
      </w:r>
      <w:r>
        <w:t xml:space="preserve"> </w:t>
      </w:r>
      <w:r>
        <w:t xml:space="preserve">and whether it accelerates given the pullback in the shares.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The SBA take-private / private-market chatter.</w:t>
      </w:r>
      <w:r>
        <w:t xml:space="preserve"> </w:t>
      </w:r>
      <w:r>
        <w:t xml:space="preserve">Management leaned into the "disconnect between public and private tower multiples," framing it as validation of the long-term value of towers and hinting at openness to U.S. M&amp;A "at the right terms." Any signal on portfolio optimization (buy or sell) is a potential catalyst.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Build-to-suit optionality</w:t>
      </w:r>
      <w:r>
        <w:t xml:space="preserve"> </w:t>
      </w:r>
      <w:r>
        <w:t xml:space="preserve">— 700+ new European sites planned, and management is angling to re-enter U.S. new builds as economics rationalize.</w:t>
      </w:r>
    </w:p>
    <w:p>
      <w:r>
        <w:pict>
          <v:rect style="width:0;height:1.5pt" o:hralign="center" o:hrstd="t" o:hr="t"/>
        </w:pict>
      </w:r>
    </w:p>
    <w:bookmarkEnd w:id="16"/>
    <w:bookmarkEnd w:id="17"/>
    <w:bookmarkStart w:id="18" w:name="X2924ff65a0a28ddbb81bf2d602917b5e99fa90d"/>
    <w:p>
      <w:pPr>
        <w:pStyle w:val="Heading2"/>
      </w:pPr>
      <w:r>
        <w:t xml:space="preserve">3. International: the two-sided story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Europe</w:t>
      </w:r>
      <w:r>
        <w:t xml:space="preserve"> </w:t>
      </w:r>
      <w:r>
        <w:t xml:space="preserve">(guided ~+10.9% property revenue): performing above the underwritten Telefónica case; mid-single-digit organic plus a build-to-suit pipeline. A bright spot to watch.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Africa &amp; APAC</w:t>
      </w:r>
      <w:r>
        <w:t xml:space="preserve"> </w:t>
      </w:r>
      <w:r>
        <w:t xml:space="preserve">(~+12.8%): double-digit organic, strong sales, but H2 churn step-down looming.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Latin America</w:t>
      </w:r>
      <w:r>
        <w:t xml:space="preserve"> </w:t>
      </w:r>
      <w:r>
        <w:t xml:space="preserve">(~+5.9% reported /</w:t>
      </w:r>
      <w:r>
        <w:t xml:space="preserve"> </w:t>
      </w:r>
      <w:r>
        <w:rPr>
          <w:b/>
          <w:bCs/>
        </w:rPr>
        <w:t xml:space="preserve">negative organic ~-3%</w:t>
      </w:r>
      <w:r>
        <w:t xml:space="preserve">): the pain point. Brazil churn (Oi/consolidation) is elevated in 2026 — partly pulled forward from 2027 — but management sees an</w:t>
      </w:r>
      <w:r>
        <w:t xml:space="preserve"> </w:t>
      </w:r>
      <w:r>
        <w:rPr>
          <w:b/>
          <w:bCs/>
        </w:rPr>
        <w:t xml:space="preserve">earlier-than-expected market repair</w:t>
      </w:r>
      <w:r>
        <w:t xml:space="preserve">, with a return to positive organic growth in 2027 and normalized growth by 2028, aided by three well-capitalized Brazilian carriers now investing.</w:t>
      </w:r>
      <w:r>
        <w:t xml:space="preserve"> </w:t>
      </w:r>
      <w:r>
        <w:rPr>
          <w:b/>
          <w:bCs/>
        </w:rPr>
        <w:t xml:space="preserve">Any confirmation that Brazil is inflecting is a medium-term positive.</w:t>
      </w:r>
    </w:p>
    <w:p>
      <w:r>
        <w:pict>
          <v:rect style="width:0;height:1.5pt" o:hralign="center" o:hrstd="t" o:hr="t"/>
        </w:pict>
      </w:r>
    </w:p>
    <w:bookmarkEnd w:id="18"/>
    <w:bookmarkStart w:id="19" w:name="X319fe854af8ccc1118f28bacc4f2dc840509206"/>
    <w:p>
      <w:pPr>
        <w:pStyle w:val="Heading2"/>
      </w:pPr>
      <w:r>
        <w:t xml:space="preserve">4. Optionality / longer-dated call options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DISH/EchoStar litigation:</w:t>
      </w:r>
      <w:r>
        <w:t xml:space="preserve"> </w:t>
      </w:r>
      <w:r>
        <w:t xml:space="preserve">AMT maintains its contract is enforceable; a favorable outcome is pure upside to guidance.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Satellite (AST SpaceMobile stake):</w:t>
      </w:r>
      <w:r>
        <w:t xml:space="preserve"> </w:t>
      </w:r>
      <w:r>
        <w:t xml:space="preserve">management views it as complementary, not a threat, and dismisses satellite disintermediation fears for its (few, low-value) ultra-rural towers.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6G / edge / AI-RAN:</w:t>
      </w:r>
      <w:r>
        <w:t xml:space="preserve"> </w:t>
      </w:r>
      <w:r>
        <w:t xml:space="preserve">management is bullish that 6G's 6–7 GHz spectrum implies denser networks (more towers) and that CoreSite + distributed land positions AMT uniquely for edge compute — early, unquantified, but a genuine long-term theme.</w:t>
      </w:r>
    </w:p>
    <w:p>
      <w:r>
        <w:pict>
          <v:rect style="width:0;height:1.5pt" o:hralign="center" o:hrstd="t" o:hr="t"/>
        </w:pict>
      </w:r>
    </w:p>
    <w:bookmarkEnd w:id="19"/>
    <w:bookmarkStart w:id="20" w:name="Xfc1123acf60a5b86ddf589d5e51fd0d04b88bc4"/>
    <w:p>
      <w:pPr>
        <w:pStyle w:val="Heading2"/>
      </w:pPr>
      <w:r>
        <w:t xml:space="preserve">5. Valuation &amp; stock setup</w:t>
      </w:r>
    </w:p>
    <w:p>
      <w:pPr>
        <w:pStyle w:val="FirstParagraph"/>
      </w:pPr>
      <w:r>
        <w:t xml:space="preserve">At ~</w:t>
      </w:r>
      <m:oMath>
        <m:r>
          <m:t>166.77</m:t>
        </m:r>
        <m:r>
          <m:rPr>
            <m:sty m:val="p"/>
          </m:rPr>
          <m:t>,</m:t>
        </m:r>
        <m:r>
          <m:t>A</m:t>
        </m:r>
        <m:r>
          <m:t>M</m:t>
        </m:r>
        <m:r>
          <m:t>T</m:t>
        </m:r>
        <m:r>
          <m:t>t</m:t>
        </m:r>
        <m:r>
          <m:t>r</m:t>
        </m:r>
        <m:r>
          <m:t>a</m:t>
        </m:r>
        <m:r>
          <m:t>d</m:t>
        </m:r>
        <m:r>
          <m:t>e</m:t>
        </m:r>
        <m:r>
          <m:t>s</m:t>
        </m:r>
        <m:r>
          <m:t>a</m:t>
        </m:r>
        <m:r>
          <m:t>r</m:t>
        </m:r>
        <m:r>
          <m:t>o</m:t>
        </m:r>
        <m:r>
          <m:t>u</m:t>
        </m:r>
        <m:r>
          <m:t>n</m:t>
        </m:r>
        <m:r>
          <m:t>d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 </m:t>
        </m:r>
        <m:r>
          <m:t>15</m:t>
        </m:r>
        <m:r>
          <m:t>x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t</m:t>
        </m:r>
        <m:r>
          <m:t>h</m:t>
        </m:r>
        <m:r>
          <m:t>e</m:t>
        </m:r>
        <m:r>
          <m:t> </m:t>
        </m:r>
      </m:oMath>
      <w:r>
        <w:t xml:space="preserve">10.99 midpoint FY26 AFFO/share, with a dividend yield in the low-4% range and ~5% dividend growth. The shares are roughly flat-to-down YTD and ~14% off the early-June high, so sentiment is cautious into the print. Peers CCI (~</w:t>
      </w:r>
      <m:oMath>
        <m:r>
          <m:t>74</m:t>
        </m:r>
        <m:r>
          <m:rPr>
            <m:sty m:val="p"/>
          </m:rPr>
          <m:t>)</m:t>
        </m:r>
        <m:r>
          <m:t>a</m:t>
        </m:r>
        <m:r>
          <m:t>n</m:t>
        </m:r>
        <m:r>
          <m:t>d</m:t>
        </m:r>
        <m:r>
          <m:t>S</m:t>
        </m:r>
        <m:r>
          <m:t>B</m:t>
        </m:r>
        <m:r>
          <m:t>A</m:t>
        </m:r>
        <m:r>
          <m:t>C</m:t>
        </m:r>
        <m:r>
          <m:rPr>
            <m:sty m:val="p"/>
          </m:rPr>
          <m:t>(</m:t>
        </m:r>
        <m:r>
          <m:t> </m:t>
        </m:r>
      </m:oMath>
      <w:r>
        <w:t xml:space="preserve">173) have also drifted lower recently. The bull case rests on: derisked (DISH-out) guidance, a strengthening CoreSite/interconnection engine, deleveraging toward the low-4x range with growing buybacks, and Brazil bottoming. The bear case: core organic growth is still low-single-digit and heavily FX/straight-line flattered, U.S. tower activity remains muted, and back-half churn plus a tough services comp cap reported growth.</w:t>
      </w:r>
    </w:p>
    <w:p>
      <w:r>
        <w:pict>
          <v:rect style="width:0;height:1.5pt" o:hralign="center" o:hrstd="t" o:hr="t"/>
        </w:pict>
      </w:r>
    </w:p>
    <w:bookmarkEnd w:id="20"/>
    <w:bookmarkStart w:id="21" w:name="bottom-line--what-to-listen-for"/>
    <w:p>
      <w:pPr>
        <w:pStyle w:val="Heading2"/>
      </w:pPr>
      <w:r>
        <w:t xml:space="preserve">Bottom line — what to listen for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Is the raise (if any) core or FX?</w:t>
      </w:r>
      <w:r>
        <w:t xml:space="preserve"> </w:t>
      </w:r>
      <w:r>
        <w:t xml:space="preserve">Quality of the guidance revision matters more than the number.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CoreSite interconnection + any capacity/market news</w:t>
      </w:r>
      <w:r>
        <w:t xml:space="preserve"> </w:t>
      </w:r>
      <w:r>
        <w:t xml:space="preserve">— the highest-conviction growth signal.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U.S. ex-DISH organic (~5%) holding</w:t>
      </w:r>
      <w:r>
        <w:t xml:space="preserve">, plus any hint of a build-to-suit re-acceleration or DISH resolution.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Capital-allocation tone</w:t>
      </w:r>
      <w:r>
        <w:t xml:space="preserve"> </w:t>
      </w:r>
      <w:r>
        <w:t xml:space="preserve">— buyback pace, leverage path, and how management positions itself against the SBA/private-market M&amp;A backdrop.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Brazil trajectory</w:t>
      </w:r>
      <w:r>
        <w:t xml:space="preserve"> </w:t>
      </w:r>
      <w:r>
        <w:t xml:space="preserve">— confirmation of the earlier-than-expected 2027 inflection.</w:t>
      </w:r>
    </w:p>
    <w:p>
      <w:pPr>
        <w:pStyle w:val="FirstParagraph"/>
      </w:pPr>
      <w:r>
        <w:rPr>
          <w:i/>
          <w:iCs/>
        </w:rPr>
        <w:t xml:space="preserve">Note: figures above are drawn from AMT's Q1 2026 and Q2 2025 earnings releases and the Q1 2026 earnings call; forward expectations reflect company guidance, not independent consensus estimates. This is an informational preview, not investment advice.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2026-07-28T00:29:42Z</dcterms:created>
  <dcterms:modified xsi:type="dcterms:W3CDTF">2026-07-28T00:29:42Z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