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amt-earnings-predictions--2026-07-28"/>
    <w:p>
      <w:pPr>
        <w:pStyle w:val="Heading1"/>
      </w:pPr>
      <w:r>
        <w:t xml:space="preserve">AMT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AFFO per share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~$2.74 vs. cons $2.71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revenue (Q2 2026)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~$2.72B vs. cons $2.705B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CoreSite data center revenue growth (cash basis, 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~14% vs. cons/guide ~13%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AFFO/share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10.90</m:t>
              </m:r>
              <m:r>
                <m:rPr>
                  <m:sty m:val="p"/>
                </m:rPr>
                <m:t>−</m:t>
              </m:r>
            </m:oMath>
            <w:r>
              <w:t xml:space="preserve">11.07 (midpoint ~</w:t>
            </w:r>
            <m:oMath>
              <m:r>
                <m:t>10.99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10.98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consolidated organic tenant billings growth guidance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~2% vs. cons ~2%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DISH bankruptcy recovery embedded in guidance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0</m:t>
              </m:r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v</m:t>
              </m:r>
              <m:r>
                <m:t>e</m:t>
              </m:r>
              <m:r>
                <m:t>r</m:t>
              </m:r>
              <m:r>
                <m:t>y</m:t>
              </m:r>
              <m:r>
                <m:t>e</m:t>
              </m:r>
              <m:r>
                <m:t>m</m:t>
              </m:r>
              <m:r>
                <m:t>b</m:t>
              </m:r>
              <m:r>
                <m:t>e</m:t>
              </m:r>
              <m:r>
                <m:t>d</m:t>
              </m:r>
              <m:r>
                <m:t>d</m:t>
              </m:r>
              <m:r>
                <m:t>e</m:t>
              </m:r>
              <m:r>
                <m:t>d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2B AMT claim value under litigation (FY2026-2027)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+1.2%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AMT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+0.4% (FADE)</w:t>
            </w:r>
          </w:p>
        </w:tc>
        <w:tc>
          <w:tcPr/>
          <w:p>
            <w:pPr>
              <w:pStyle w:val="Compact"/>
            </w:pPr>
            <w:r>
              <w:t xml:space="preserve">An in-line-to-modest-beat quarter with no incremental DISH churn and continued buybacks should spark a relief bounce off depressed valuation (stock -25% YTD), but with guidance merely reaffirmed rather than raised again (the FX/Brazil straight-line tailwinds that drove the Q1 raise are largely one-time), out-period AFFO/EBITDA estimates are unlikely to move up meaningfully, capping follow-through. The unresolved DISH bankruptcy auction timeline (Aug 10-17) and a hawkish Fed keeping long rates elevated remain overhangs that historically have caused AMT rallies to fade within days as multiple-sensitive REIT investors stay cautious until there is cash resolution/settlement clarity.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2026-07-28T00:27:17Z</dcterms:created>
  <dcterms:modified xsi:type="dcterms:W3CDTF">2026-07-28T00:27:17Z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