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1cfbcd63f35d016789bc7971187b4954b3bb6f5"/>
    <w:p>
      <w:pPr>
        <w:pStyle w:val="Heading1"/>
      </w:pPr>
      <w:r>
        <w:t xml:space="preserve">American Tower (AMT) Q2 2026 Earnings Preview</w:t>
      </w:r>
    </w:p>
    <w:p>
      <w:pPr>
        <w:pStyle w:val="BlockText"/>
      </w:pPr>
      <w:r>
        <w:rPr>
          <w:b/>
          <w:bCs/>
        </w:rPr>
        <w:t xml:space="preserve">Timing note:</w:t>
      </w:r>
      <w:r>
        <w:t xml:space="preserve"> </w:t>
      </w:r>
      <w:r>
        <w:t xml:space="preserve">The supplied event date is</w:t>
      </w:r>
      <w:r>
        <w:t xml:space="preserve"> </w:t>
      </w:r>
      <w:r>
        <w:rPr>
          <w:b/>
          <w:bCs/>
        </w:rPr>
        <w:t xml:space="preserve">July 28, 2026</w:t>
      </w:r>
      <w:r>
        <w:t xml:space="preserve">, which is today rather than tomorrow. This preview treats the Q2 release and call as still pending. If the event is actually scheduled for July 29, the analysis is unchanged.</w:t>
      </w:r>
    </w:p>
    <w:bookmarkStart w:id="9" w:name="investment-setup"/>
    <w:p>
      <w:pPr>
        <w:pStyle w:val="Heading2"/>
      </w:pPr>
      <w:r>
        <w:t xml:space="preserve">Investment setup</w:t>
      </w:r>
    </w:p>
    <w:p>
      <w:pPr>
        <w:pStyle w:val="FirstParagraph"/>
      </w:pPr>
      <w:r>
        <w:t xml:space="preserve">American Tower enters Q2 earnings with a favorable operating narrative but several material offsets:</w:t>
      </w:r>
    </w:p>
    <w:p>
      <w:pPr>
        <w:pStyle w:val="Compact"/>
        <w:numPr>
          <w:ilvl w:val="0"/>
          <w:numId w:val="1001"/>
        </w:numPr>
      </w:pPr>
      <w:r>
        <w:t xml:space="preserve">Wireless-data growth and network densification support the long-term tower thesis.</w:t>
      </w:r>
    </w:p>
    <w:p>
      <w:pPr>
        <w:pStyle w:val="Compact"/>
        <w:numPr>
          <w:ilvl w:val="0"/>
          <w:numId w:val="1001"/>
        </w:numPr>
      </w:pPr>
      <w:r>
        <w:t xml:space="preserve">CoreSite is benefiting from cloud, interconnection and AI-related demand.</w:t>
      </w:r>
    </w:p>
    <w:p>
      <w:pPr>
        <w:pStyle w:val="Compact"/>
        <w:numPr>
          <w:ilvl w:val="0"/>
          <w:numId w:val="1001"/>
        </w:numPr>
      </w:pPr>
      <w:r>
        <w:t xml:space="preserve">DISH-related churn is depressing reported U.S. growth.</w:t>
      </w:r>
    </w:p>
    <w:p>
      <w:pPr>
        <w:pStyle w:val="Compact"/>
        <w:numPr>
          <w:ilvl w:val="0"/>
          <w:numId w:val="1001"/>
        </w:numPr>
      </w:pPr>
      <w:r>
        <w:t xml:space="preserve">Latin America remains in a consolidation-driven downturn.</w:t>
      </w:r>
    </w:p>
    <w:p>
      <w:pPr>
        <w:pStyle w:val="Compact"/>
        <w:numPr>
          <w:ilvl w:val="0"/>
          <w:numId w:val="1001"/>
        </w:numPr>
      </w:pPr>
      <w:r>
        <w:t xml:space="preserve">Higher refinancing costs and long-term interest rates remain important for this highly leveraged REIT.</w:t>
      </w:r>
    </w:p>
    <w:p>
      <w:pPr>
        <w:pStyle w:val="Compact"/>
        <w:numPr>
          <w:ilvl w:val="0"/>
          <w:numId w:val="1001"/>
        </w:numPr>
      </w:pPr>
      <w:r>
        <w:t xml:space="preserve">Much of the Q1 guidance increase came from foreign exchange and noncash straight-line revenue rather than improved core leasing assumptions.</w:t>
      </w:r>
    </w:p>
    <w:p>
      <w:pPr>
        <w:pStyle w:val="FirstParagraph"/>
      </w:pPr>
      <w:r>
        <w:t xml:space="preserve">AMT closed at</w:t>
      </w:r>
      <w:r>
        <w:t xml:space="preserve"> </w:t>
      </w:r>
      <w:r>
        <w:rPr>
          <w:b/>
          <w:bCs/>
        </w:rPr>
        <w:t xml:space="preserve">$166.77 on July 27</w:t>
      </w:r>
      <w:r>
        <w:t xml:space="preserve">, down approximately</w:t>
      </w:r>
      <w:r>
        <w:t xml:space="preserve"> </w:t>
      </w:r>
      <w:r>
        <w:rPr>
          <w:b/>
          <w:bCs/>
        </w:rPr>
        <w:t xml:space="preserve">4.6% year to date</w:t>
      </w:r>
      <w:r>
        <w:t xml:space="preserve">,</w:t>
      </w:r>
      <w:r>
        <w:t xml:space="preserve"> </w:t>
      </w:r>
      <w:r>
        <w:rPr>
          <w:b/>
          <w:bCs/>
        </w:rPr>
        <w:t xml:space="preserve">6.5% since the Q1 report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14% below its 2026 high</w:t>
      </w:r>
      <w:r>
        <w:t xml:space="preserve">. At that price, the stock trades around</w:t>
      </w:r>
      <w:r>
        <w:t xml:space="preserve"> </w:t>
      </w:r>
      <w:r>
        <w:rPr>
          <w:b/>
          <w:bCs/>
        </w:rPr>
        <w:t xml:space="preserve">15.2x</w:t>
      </w:r>
      <w:r>
        <w:t xml:space="preserve"> </w:t>
      </w:r>
      <w:r>
        <w:t xml:space="preserve">the midpoint of 2026 AFFO-per-share guidance and offers an approximately</w:t>
      </w:r>
      <w:r>
        <w:t xml:space="preserve"> </w:t>
      </w:r>
      <w:r>
        <w:rPr>
          <w:b/>
          <w:bCs/>
        </w:rPr>
        <w:t xml:space="preserve">4.3% annualized dividend yield</w:t>
      </w:r>
      <w:r>
        <w:t xml:space="preserve">, based on the Q1 dividend.</w:t>
      </w:r>
    </w:p>
    <w:p>
      <w:pPr>
        <w:pStyle w:val="BodyText"/>
      </w:pPr>
      <w:r>
        <w:t xml:space="preserve">The stock’s reaction should therefore depend less on a conventional quarterly “beat” and more on whether management can defend the quality and durability of its 2026 outlook.</w:t>
      </w:r>
    </w:p>
    <w:p>
      <w:r>
        <w:pict>
          <v:rect style="width:0;height:1.5pt" o:hralign="center" o:hrstd="t" o:hr="t"/>
        </w:pict>
      </w:r>
    </w:p>
    <w:bookmarkEnd w:id="9"/>
    <w:bookmarkStart w:id="11" w:name="X4a874b9d62f541cb2f1835cf43c11c7f3003731"/>
    <w:p>
      <w:pPr>
        <w:pStyle w:val="Heading2"/>
      </w:pPr>
      <w:r>
        <w:t xml:space="preserve">Starting point: Q1 results and 2026 guidance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Q1 2026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YoY growth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FY2026 guidance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Property revenue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$2.670B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7.3%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10.585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t xml:space="preserve">10.735B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$1.835B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5.2%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7.195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t xml:space="preserve">7.265B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AFFO/share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$2.84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3.3%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10.90</m:t>
              </m:r>
              <m:r>
                <m:rPr>
                  <m:sty m:val="p"/>
                </m:rPr>
                <m:t>–</m:t>
              </m:r>
            </m:oMath>
            <w:r>
              <w:t xml:space="preserve">11.07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Organic tenant billings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1.7%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Approximately 1%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leverage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4.9x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No formal target given</w:t>
            </w:r>
          </w:p>
        </w:tc>
      </w:tr>
    </w:tbl>
    <w:p>
      <w:pPr>
        <w:pStyle w:val="BodyText"/>
      </w:pPr>
      <w:r>
        <w:t xml:space="preserve">Management characterized Q1 somewhat differently after adjusting for unusual factors:</w:t>
      </w:r>
    </w:p>
    <w:p>
      <w:pPr>
        <w:pStyle w:val="Compact"/>
        <w:numPr>
          <w:ilvl w:val="0"/>
          <w:numId w:val="1002"/>
        </w:numPr>
      </w:pPr>
      <w:r>
        <w:t xml:space="preserve">Property revenue grew approximately</w:t>
      </w:r>
      <w:r>
        <w:t xml:space="preserve"> </w:t>
      </w:r>
      <w:r>
        <w:rPr>
          <w:b/>
          <w:bCs/>
        </w:rPr>
        <w:t xml:space="preserve">5% on a cash, FX-neutral basis excluding DISH churn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Organic tenant billings grew approximately</w:t>
      </w:r>
      <w:r>
        <w:t xml:space="preserve"> </w:t>
      </w:r>
      <w:r>
        <w:rPr>
          <w:b/>
          <w:bCs/>
        </w:rPr>
        <w:t xml:space="preserve">4% excluding DISH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CoreSite cash revenue grew approximately</w:t>
      </w:r>
      <w:r>
        <w:t xml:space="preserve"> </w:t>
      </w:r>
      <w:r>
        <w:rPr>
          <w:b/>
          <w:bCs/>
        </w:rPr>
        <w:t xml:space="preserve">17%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AFFO per share grew approximately</w:t>
      </w:r>
      <w:r>
        <w:t xml:space="preserve"> </w:t>
      </w:r>
      <w:r>
        <w:rPr>
          <w:b/>
          <w:bCs/>
        </w:rPr>
        <w:t xml:space="preserve">4% excluding DISH, FX and refinancing effects</w:t>
      </w:r>
      <w:r>
        <w:t xml:space="preserve">.</w:t>
      </w:r>
    </w:p>
    <w:p>
      <w:pPr>
        <w:pStyle w:val="FirstParagraph"/>
      </w:pPr>
      <w:r>
        <w:t xml:space="preserve">The company raised its full-year outlook in April, but the increase was primarily attributable to approximately</w:t>
      </w:r>
      <w:r>
        <w:t xml:space="preserve"> </w:t>
      </w:r>
      <m:oMath>
        <m:r>
          <m:t>107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o</m:t>
        </m:r>
        <m:r>
          <m:t>f</m:t>
        </m:r>
        <m:r>
          <m:t>i</m:t>
        </m:r>
        <m:r>
          <m:t>n</m:t>
        </m:r>
        <m:r>
          <m:t>c</m:t>
        </m:r>
        <m:r>
          <m:t>r</m:t>
        </m:r>
        <m:r>
          <m:t>e</m:t>
        </m:r>
        <m:r>
          <m:t>m</m:t>
        </m:r>
        <m:r>
          <m:t>e</m:t>
        </m:r>
        <m:r>
          <m:t>n</m:t>
        </m:r>
        <m:r>
          <m:t>t</m:t>
        </m:r>
        <m:r>
          <m:t>a</m:t>
        </m:r>
        <m:r>
          <m:t>l</m:t>
        </m:r>
        <m:r>
          <m:t>F</m:t>
        </m:r>
        <m:r>
          <m:t>X</m:t>
        </m:r>
        <m:r>
          <m:t>b</m:t>
        </m:r>
        <m:r>
          <m:t>e</m:t>
        </m:r>
        <m:r>
          <m:t>n</m:t>
        </m:r>
        <m:r>
          <m:t>e</m:t>
        </m:r>
        <m:r>
          <m:t>f</m:t>
        </m:r>
        <m:r>
          <m:t>i</m:t>
        </m:r>
        <m:r>
          <m:t>t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a</m:t>
        </m:r>
        <m:r>
          <m:t>n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35 million of accelerated Latin American straight-line revenue</w:t>
      </w:r>
      <w:r>
        <w:t xml:space="preserve">.</w:t>
      </w:r>
    </w:p>
    <w:bookmarkStart w:id="10" w:name="guidance-implied-quarterly-pace"/>
    <w:p>
      <w:pPr>
        <w:pStyle w:val="Heading3"/>
      </w:pPr>
      <w:r>
        <w:t xml:space="preserve">Guidance-implied quarterly pace</w:t>
      </w:r>
    </w:p>
    <w:p>
      <w:pPr>
        <w:pStyle w:val="FirstParagraph"/>
      </w:pPr>
      <w:r>
        <w:t xml:space="preserve">This is not a Q2 forecast, but after Q1, reaching the midpoint of full-year guidance requires an average over Q2–Q4 of roughly: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$2.664 billion of property revenue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$1.798 billion of adjusted EBITDA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$2.72 of AFFO per share</w:t>
      </w:r>
    </w:p>
    <w:p>
      <w:pPr>
        <w:pStyle w:val="FirstParagraph"/>
      </w:pPr>
      <w:r>
        <w:t xml:space="preserve">Management previously said FX-neutral AFFO-per-share growth should be stronger in the second half because of maintenance-capex and cash-tax timing. Consequently, Q2 does not necessarily need to match Q1’s $2.84 of AFFO per share for the annual outlook to remain credible.</w:t>
      </w:r>
    </w:p>
    <w:p>
      <w:r>
        <w:pict>
          <v:rect style="width:0;height:1.5pt" o:hralign="center" o:hrstd="t" o:hr="t"/>
        </w:pict>
      </w:r>
    </w:p>
    <w:bookmarkEnd w:id="10"/>
    <w:bookmarkEnd w:id="11"/>
    <w:bookmarkStart w:id="21" w:name="the-six-issues-that-matter-most"/>
    <w:p>
      <w:pPr>
        <w:pStyle w:val="Heading2"/>
      </w:pPr>
      <w:r>
        <w:t xml:space="preserve">The six issues that matter most</w:t>
      </w:r>
    </w:p>
    <w:bookmarkStart w:id="12" w:name="X6a295814429b33c1fbd6ac5acc265ed69dcbbb8"/>
    <w:p>
      <w:pPr>
        <w:pStyle w:val="Heading3"/>
      </w:pPr>
      <w:r>
        <w:t xml:space="preserve">1. Is underlying U.S. tower demand holding up?</w:t>
      </w:r>
    </w:p>
    <w:p>
      <w:pPr>
        <w:pStyle w:val="FirstParagraph"/>
      </w:pPr>
      <w:r>
        <w:t xml:space="preserve">Reported U.S. and Canada organic tenant-billings growth was only</w:t>
      </w:r>
      <w:r>
        <w:t xml:space="preserve"> </w:t>
      </w:r>
      <w:r>
        <w:rPr>
          <w:b/>
          <w:bCs/>
        </w:rPr>
        <w:t xml:space="preserve">0.6% in Q1</w:t>
      </w:r>
      <w:r>
        <w:t xml:space="preserve">, but management estimated approximately</w:t>
      </w:r>
      <w:r>
        <w:t xml:space="preserve"> </w:t>
      </w:r>
      <w:r>
        <w:rPr>
          <w:b/>
          <w:bCs/>
        </w:rPr>
        <w:t xml:space="preserve">5% growth excluding DISH churn</w:t>
      </w:r>
      <w:r>
        <w:t xml:space="preserve">. U.S. cancellations increased to $63 million from $29 million in the prior-year quarter, illustrating how significantly the customer event is obscuring underlying leasing.</w:t>
      </w:r>
    </w:p>
    <w:p>
      <w:pPr>
        <w:pStyle w:val="BodyText"/>
      </w:pPr>
      <w:r>
        <w:t xml:space="preserve">Investors should focus on:</w:t>
      </w:r>
    </w:p>
    <w:p>
      <w:pPr>
        <w:pStyle w:val="Compact"/>
        <w:numPr>
          <w:ilvl w:val="0"/>
          <w:numId w:val="1004"/>
        </w:numPr>
      </w:pPr>
      <w:r>
        <w:t xml:space="preserve">Organic growth excluding DISH</w:t>
      </w:r>
    </w:p>
    <w:p>
      <w:pPr>
        <w:pStyle w:val="Compact"/>
        <w:numPr>
          <w:ilvl w:val="0"/>
          <w:numId w:val="1004"/>
        </w:numPr>
      </w:pPr>
      <w:r>
        <w:t xml:space="preserve">New colocations and amendments</w:t>
      </w:r>
    </w:p>
    <w:p>
      <w:pPr>
        <w:pStyle w:val="Compact"/>
        <w:numPr>
          <w:ilvl w:val="0"/>
          <w:numId w:val="1004"/>
        </w:numPr>
      </w:pPr>
      <w:r>
        <w:t xml:space="preserve">Carrier densification activity</w:t>
      </w:r>
    </w:p>
    <w:p>
      <w:pPr>
        <w:pStyle w:val="Compact"/>
        <w:numPr>
          <w:ilvl w:val="0"/>
          <w:numId w:val="1004"/>
        </w:numPr>
      </w:pPr>
      <w:r>
        <w:t xml:space="preserve">Services revenue and backlog</w:t>
      </w:r>
    </w:p>
    <w:p>
      <w:pPr>
        <w:pStyle w:val="Compact"/>
        <w:numPr>
          <w:ilvl w:val="0"/>
          <w:numId w:val="1004"/>
        </w:numPr>
      </w:pPr>
      <w:r>
        <w:t xml:space="preserve">Any change in expected DISH churn timing or magnitude</w:t>
      </w:r>
    </w:p>
    <w:p>
      <w:pPr>
        <w:pStyle w:val="Compact"/>
        <w:numPr>
          <w:ilvl w:val="0"/>
          <w:numId w:val="1004"/>
        </w:numPr>
      </w:pPr>
      <w:r>
        <w:t xml:space="preserve">Commentary regarding AT&amp;T, Verizon and T-Mobile capital spending</w:t>
      </w:r>
    </w:p>
    <w:p>
      <w:pPr>
        <w:pStyle w:val="FirstParagraph"/>
      </w:pPr>
      <w:r>
        <w:t xml:space="preserve">Management says DISH has been fully removed from earnings guidance and that any litigation recovery would be upside. The critical question is whether the ex-DISH business remains near its mid-single-digit normalized growth profile.</w:t>
      </w:r>
    </w:p>
    <w:p>
      <w:pPr>
        <w:pStyle w:val="BodyText"/>
      </w:pPr>
      <w:r>
        <w:t xml:space="preserve">A solid quarter would show stable underlying applications and leasing despite weak reported growth. A deterioration in the ex-DISH number would be considerably more concerning than the already-anticipated churn.</w:t>
      </w:r>
    </w:p>
    <w:bookmarkEnd w:id="12"/>
    <w:bookmarkStart w:id="13" w:name="Xa4842d346510454ca2a171fd1f87a6c16765ea1"/>
    <w:p>
      <w:pPr>
        <w:pStyle w:val="Heading3"/>
      </w:pPr>
      <w:r>
        <w:t xml:space="preserve">2. Can CoreSite continue outperforming its 13% growth outlook?</w:t>
      </w:r>
    </w:p>
    <w:p>
      <w:pPr>
        <w:pStyle w:val="FirstParagraph"/>
      </w:pPr>
      <w:r>
        <w:t xml:space="preserve">CoreSite is AMT’s clearest growth engine. Q1 data-center property revenue rose</w:t>
      </w:r>
      <w:r>
        <w:t xml:space="preserve"> </w:t>
      </w:r>
      <w:r>
        <w:rPr>
          <w:b/>
          <w:bCs/>
        </w:rPr>
        <w:t xml:space="preserve">18.4% as reported</w:t>
      </w:r>
      <w:r>
        <w:t xml:space="preserve">, while cash revenue increased approximately</w:t>
      </w:r>
      <w:r>
        <w:t xml:space="preserve"> </w:t>
      </w:r>
      <w:r>
        <w:rPr>
          <w:b/>
          <w:bCs/>
        </w:rPr>
        <w:t xml:space="preserve">17%</w:t>
      </w:r>
      <w:r>
        <w:t xml:space="preserve">. Management continues to guide to roughly</w:t>
      </w:r>
      <w:r>
        <w:t xml:space="preserve"> </w:t>
      </w:r>
      <w:r>
        <w:rPr>
          <w:b/>
          <w:bCs/>
        </w:rPr>
        <w:t xml:space="preserve">13% full-year data-center growth</w:t>
      </w:r>
      <w:r>
        <w:t xml:space="preserve">.</w:t>
      </w:r>
    </w:p>
    <w:p>
      <w:pPr>
        <w:pStyle w:val="BodyText"/>
      </w:pPr>
      <w:r>
        <w:t xml:space="preserve">The call should provide evidence on:</w:t>
      </w:r>
    </w:p>
    <w:p>
      <w:pPr>
        <w:pStyle w:val="Compact"/>
        <w:numPr>
          <w:ilvl w:val="0"/>
          <w:numId w:val="1005"/>
        </w:numPr>
      </w:pPr>
      <w:r>
        <w:t xml:space="preserve">New leasing and renewal activity</w:t>
      </w:r>
    </w:p>
    <w:p>
      <w:pPr>
        <w:pStyle w:val="Compact"/>
        <w:numPr>
          <w:ilvl w:val="0"/>
          <w:numId w:val="1005"/>
        </w:numPr>
      </w:pPr>
      <w:r>
        <w:t xml:space="preserve">Interconnection growth</w:t>
      </w:r>
    </w:p>
    <w:p>
      <w:pPr>
        <w:pStyle w:val="Compact"/>
        <w:numPr>
          <w:ilvl w:val="0"/>
          <w:numId w:val="1005"/>
        </w:numPr>
      </w:pPr>
      <w:r>
        <w:t xml:space="preserve">AI-inference and neo-cloud deployments</w:t>
      </w:r>
    </w:p>
    <w:p>
      <w:pPr>
        <w:pStyle w:val="Compact"/>
        <w:numPr>
          <w:ilvl w:val="0"/>
          <w:numId w:val="1005"/>
        </w:numPr>
      </w:pPr>
      <w:r>
        <w:t xml:space="preserve">Available capacity and development timelines</w:t>
      </w:r>
    </w:p>
    <w:p>
      <w:pPr>
        <w:pStyle w:val="Compact"/>
        <w:numPr>
          <w:ilvl w:val="0"/>
          <w:numId w:val="1005"/>
        </w:numPr>
      </w:pPr>
      <w:r>
        <w:t xml:space="preserve">Power procurement</w:t>
      </w:r>
    </w:p>
    <w:p>
      <w:pPr>
        <w:pStyle w:val="Compact"/>
        <w:numPr>
          <w:ilvl w:val="0"/>
          <w:numId w:val="1005"/>
        </w:numPr>
      </w:pPr>
      <w:r>
        <w:t xml:space="preserve">Returns on incremental development capital</w:t>
      </w:r>
    </w:p>
    <w:p>
      <w:pPr>
        <w:pStyle w:val="Compact"/>
        <w:numPr>
          <w:ilvl w:val="0"/>
          <w:numId w:val="1005"/>
        </w:numPr>
      </w:pPr>
      <w:r>
        <w:t xml:space="preserve">Any prospective entry into new markets</w:t>
      </w:r>
    </w:p>
    <w:p>
      <w:pPr>
        <w:pStyle w:val="FirstParagraph"/>
      </w:pPr>
      <w:r>
        <w:t xml:space="preserve">AMT plans approximately</w:t>
      </w:r>
      <w:r>
        <w:t xml:space="preserve"> </w:t>
      </w:r>
      <w:r>
        <w:rPr>
          <w:b/>
          <w:bCs/>
        </w:rPr>
        <w:t xml:space="preserve">$695 million of 2026 data-center development spending</w:t>
      </w:r>
      <w:r>
        <w:t xml:space="preserve">. Management has also said its capacity held for development increased by roughly 200 megawatts from a prior base near 280 megawatts.</w:t>
      </w:r>
    </w:p>
    <w:p>
      <w:pPr>
        <w:pStyle w:val="BodyText"/>
      </w:pPr>
      <w:r>
        <w:t xml:space="preserve">Strong demand is not enough by itself. Investors need to see that AMT can convert demand into high-return, timely capacity without permitting, power or construction delays. CoreSite growth meaningfully above 13% would also provide an important counterweight to tower churn.</w:t>
      </w:r>
    </w:p>
    <w:bookmarkEnd w:id="13"/>
    <w:bookmarkStart w:id="17" w:name="X0ab8406c432f5ce0b0e4eb8c2609c1888d73dae"/>
    <w:p>
      <w:pPr>
        <w:pStyle w:val="Heading3"/>
      </w:pPr>
      <w:r>
        <w:t xml:space="preserve">3. International performance remains highly uneven</w:t>
      </w:r>
    </w:p>
    <w:p>
      <w:pPr>
        <w:pStyle w:val="FirstParagraph"/>
      </w:pPr>
      <w:r>
        <w:t xml:space="preserve">AMT’s regional portfolio is moving in different directions: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Region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Q1 organic tenant-billings growth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FY2026 indication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U.S. &amp; Canada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0.6%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Approximately 0.5%</w:t>
            </w:r>
          </w:p>
        </w:tc>
      </w:tr>
      <w:tr>
        <w:tc>
          <w:tcPr/>
          <w:p>
            <w:pPr>
              <w:pStyle w:val="Compact"/>
            </w:pPr>
            <w:r>
              <w:t xml:space="preserve">Latin America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-2.0%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Approximately -3%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Africa &amp; APAC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10.5%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Approximately 8.5%</w:t>
            </w:r>
          </w:p>
        </w:tc>
      </w:tr>
      <w:tr>
        <w:tc>
          <w:tcPr/>
          <w:p>
            <w:pPr>
              <w:pStyle w:val="Compact"/>
            </w:pPr>
            <w:r>
              <w:t xml:space="preserve">Europe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3.9%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Approximately 4%</w:t>
            </w:r>
          </w:p>
        </w:tc>
      </w:tr>
    </w:tbl>
    <w:bookmarkStart w:id="14" w:name="latin-america"/>
    <w:p>
      <w:pPr>
        <w:pStyle w:val="Heading4"/>
      </w:pPr>
      <w:r>
        <w:t xml:space="preserve">Latin America</w:t>
      </w:r>
    </w:p>
    <w:p>
      <w:pPr>
        <w:pStyle w:val="FirstParagraph"/>
      </w:pPr>
      <w:r>
        <w:t xml:space="preserve">Brazilian carrier consolidation and Oi-related churn remain the principal problem. Management expects 2026 to represent peak churn, followed by positive low-single-digit growth in 2027 and more normalized performance from 2028.</w:t>
      </w:r>
    </w:p>
    <w:p>
      <w:pPr>
        <w:pStyle w:val="BodyText"/>
      </w:pPr>
      <w:r>
        <w:t xml:space="preserve">Investors should listen for:</w:t>
      </w:r>
    </w:p>
    <w:p>
      <w:pPr>
        <w:pStyle w:val="Compact"/>
        <w:numPr>
          <w:ilvl w:val="0"/>
          <w:numId w:val="1006"/>
        </w:numPr>
      </w:pPr>
      <w:r>
        <w:t xml:space="preserve">Whether churn remains within the existing plan</w:t>
      </w:r>
    </w:p>
    <w:p>
      <w:pPr>
        <w:pStyle w:val="Compact"/>
        <w:numPr>
          <w:ilvl w:val="0"/>
          <w:numId w:val="1006"/>
        </w:numPr>
      </w:pPr>
      <w:r>
        <w:t xml:space="preserve">Evidence of improving Brazilian carrier applications</w:t>
      </w:r>
    </w:p>
    <w:p>
      <w:pPr>
        <w:pStyle w:val="Compact"/>
        <w:numPr>
          <w:ilvl w:val="0"/>
          <w:numId w:val="1006"/>
        </w:numPr>
      </w:pPr>
      <w:r>
        <w:t xml:space="preserve">Whether any 2027 churn has been pulled forward</w:t>
      </w:r>
    </w:p>
    <w:p>
      <w:pPr>
        <w:pStyle w:val="Compact"/>
        <w:numPr>
          <w:ilvl w:val="0"/>
          <w:numId w:val="1006"/>
        </w:numPr>
      </w:pPr>
      <w:r>
        <w:t xml:space="preserve">The quality and cash implications of Oi straight-line revenue</w:t>
      </w:r>
    </w:p>
    <w:p>
      <w:pPr>
        <w:pStyle w:val="Compact"/>
        <w:numPr>
          <w:ilvl w:val="0"/>
          <w:numId w:val="1006"/>
        </w:numPr>
      </w:pPr>
      <w:r>
        <w:t xml:space="preserve">Confirmation of the projected 2027 recovery</w:t>
      </w:r>
    </w:p>
    <w:bookmarkEnd w:id="14"/>
    <w:bookmarkStart w:id="15" w:name="africa-and-apac"/>
    <w:p>
      <w:pPr>
        <w:pStyle w:val="Heading4"/>
      </w:pPr>
      <w:r>
        <w:t xml:space="preserve">Africa and APAC</w:t>
      </w:r>
    </w:p>
    <w:p>
      <w:pPr>
        <w:pStyle w:val="FirstParagraph"/>
      </w:pPr>
      <w:r>
        <w:t xml:space="preserve">This remains the fastest-growing tower segment. Management previously expected approximately</w:t>
      </w:r>
      <w:r>
        <w:t xml:space="preserve"> </w:t>
      </w:r>
      <w:r>
        <w:rPr>
          <w:b/>
          <w:bCs/>
        </w:rPr>
        <w:t xml:space="preserve">10% organic growth in the first half</w:t>
      </w:r>
      <w:r>
        <w:t xml:space="preserve"> </w:t>
      </w:r>
      <w:r>
        <w:t xml:space="preserve">and approximately</w:t>
      </w:r>
      <w:r>
        <w:t xml:space="preserve"> </w:t>
      </w:r>
      <w:r>
        <w:rPr>
          <w:b/>
          <w:bCs/>
        </w:rPr>
        <w:t xml:space="preserve">7% in the second half</w:t>
      </w:r>
      <w:r>
        <w:t xml:space="preserve">. Q2 should test that first-half expectation.</w:t>
      </w:r>
    </w:p>
    <w:p>
      <w:pPr>
        <w:pStyle w:val="BodyText"/>
      </w:pPr>
      <w:r>
        <w:t xml:space="preserve">Fuel and power costs are the main margin issue, even when reimbursed through pass-through revenue.</w:t>
      </w:r>
    </w:p>
    <w:bookmarkEnd w:id="15"/>
    <w:bookmarkStart w:id="16" w:name="europe"/>
    <w:p>
      <w:pPr>
        <w:pStyle w:val="Heading4"/>
      </w:pPr>
      <w:r>
        <w:t xml:space="preserve">Europe</w:t>
      </w:r>
    </w:p>
    <w:p>
      <w:pPr>
        <w:pStyle w:val="FirstParagraph"/>
      </w:pPr>
      <w:r>
        <w:t xml:space="preserve">Europe offers mid-single-digit organic growth plus substantial new construction. AMT expects to build more than</w:t>
      </w:r>
      <w:r>
        <w:t xml:space="preserve"> </w:t>
      </w:r>
      <w:r>
        <w:rPr>
          <w:b/>
          <w:bCs/>
        </w:rPr>
        <w:t xml:space="preserve">700 European sites</w:t>
      </w:r>
      <w:r>
        <w:t xml:space="preserve"> </w:t>
      </w:r>
      <w:r>
        <w:t xml:space="preserve">this year. The important questions are whether those sites are being completed on schedule and whether projected returns remain comfortably above AMT’s cost of capital.</w:t>
      </w:r>
    </w:p>
    <w:bookmarkEnd w:id="16"/>
    <w:bookmarkEnd w:id="17"/>
    <w:bookmarkStart w:id="18" w:name="X49d97843dce41e766de19049ef79db2a3b62f2e"/>
    <w:p>
      <w:pPr>
        <w:pStyle w:val="Heading3"/>
      </w:pPr>
      <w:r>
        <w:t xml:space="preserve">4. The composition of guidance matters more than another headline increase</w:t>
      </w:r>
    </w:p>
    <w:p>
      <w:pPr>
        <w:pStyle w:val="FirstParagraph"/>
      </w:pPr>
      <w:r>
        <w:t xml:space="preserve">The Q1 guidance raise was largely mechanical:</w:t>
      </w:r>
    </w:p>
    <w:p>
      <w:pPr>
        <w:pStyle w:val="Compact"/>
        <w:numPr>
          <w:ilvl w:val="0"/>
          <w:numId w:val="1007"/>
        </w:numPr>
      </w:pPr>
      <w:r>
        <w:t xml:space="preserve">Favorable currency translation</w:t>
      </w:r>
    </w:p>
    <w:p>
      <w:pPr>
        <w:pStyle w:val="Compact"/>
        <w:numPr>
          <w:ilvl w:val="0"/>
          <w:numId w:val="1007"/>
        </w:numPr>
      </w:pPr>
      <w:r>
        <w:t xml:space="preserve">Accelerated noncash straight-line revenue</w:t>
      </w:r>
    </w:p>
    <w:p>
      <w:pPr>
        <w:pStyle w:val="Compact"/>
        <w:numPr>
          <w:ilvl w:val="0"/>
          <w:numId w:val="1007"/>
        </w:numPr>
      </w:pPr>
      <w:r>
        <w:t xml:space="preserve">Unrealized currency gains affecting GAAP net income</w:t>
      </w:r>
    </w:p>
    <w:p>
      <w:pPr>
        <w:pStyle w:val="FirstParagraph"/>
      </w:pPr>
      <w:r>
        <w:t xml:space="preserve">For Q2, a guidance increase driven by better leasing, CoreSite demand, operating efficiency or lower cash costs would be much more meaningful than another FX-driven adjustment.</w:t>
      </w:r>
    </w:p>
    <w:p>
      <w:pPr>
        <w:pStyle w:val="BodyText"/>
      </w:pPr>
      <w:r>
        <w:t xml:space="preserve">Investors should separate: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Cash, FX-neutral operating growth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Foreign-currency translation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Straight-line accounting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Pass-through revenue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Unrealized currency effects on GAAP earnings</w:t>
      </w:r>
    </w:p>
    <w:p>
      <w:pPr>
        <w:pStyle w:val="FirstParagraph"/>
      </w:pPr>
      <w:r>
        <w:t xml:space="preserve">GAAP EPS could again be volatile because of currency movements. AFFO, organic tenant billings and cash-adjusted EBITDA are better indicators of the underlying business.</w:t>
      </w:r>
    </w:p>
    <w:bookmarkEnd w:id="18"/>
    <w:bookmarkStart w:id="19" w:name="X7c97e9728f6670adb51d023725252dba5e8c66f"/>
    <w:p>
      <w:pPr>
        <w:pStyle w:val="Heading3"/>
      </w:pPr>
      <w:r>
        <w:t xml:space="preserve">5. Refinancing costs and leverage are back in focus</w:t>
      </w:r>
    </w:p>
    <w:p>
      <w:pPr>
        <w:pStyle w:val="FirstParagraph"/>
      </w:pPr>
      <w:r>
        <w:t xml:space="preserve">AMT ended Q1 with: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$37.3 billion of total debt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$35.7 billion of net debt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4.9x net leverage</w:t>
      </w:r>
    </w:p>
    <w:p>
      <w:pPr>
        <w:pStyle w:val="Compact"/>
        <w:numPr>
          <w:ilvl w:val="0"/>
          <w:numId w:val="1009"/>
        </w:numPr>
      </w:pPr>
      <w:r>
        <w:t xml:space="preserve">Approximately</w:t>
      </w:r>
      <w:r>
        <w:t xml:space="preserve"> </w:t>
      </w:r>
      <w:r>
        <w:rPr>
          <w:b/>
          <w:bCs/>
        </w:rPr>
        <w:t xml:space="preserve">$10.4 billion of liquidity</w:t>
      </w:r>
    </w:p>
    <w:p>
      <w:pPr>
        <w:pStyle w:val="FirstParagraph"/>
      </w:pPr>
      <w:r>
        <w:t xml:space="preserve">Management expects refinancing activity to reduce 2026 AFFO-per-share growth by approximately</w:t>
      </w:r>
      <w:r>
        <w:t xml:space="preserve"> </w:t>
      </w:r>
      <w:r>
        <w:rPr>
          <w:b/>
          <w:bCs/>
        </w:rPr>
        <w:t xml:space="preserve">100 basis points</w:t>
      </w:r>
      <w:r>
        <w:t xml:space="preserve">.</w:t>
      </w:r>
    </w:p>
    <w:p>
      <w:pPr>
        <w:pStyle w:val="BodyText"/>
      </w:pPr>
      <w:r>
        <w:t xml:space="preserve">In May, AMT extended major credit-facility maturities and added provisions permitting up to</w:t>
      </w:r>
      <w:r>
        <w:t xml:space="preserve"> </w:t>
      </w:r>
      <w:r>
        <w:rPr>
          <w:b/>
          <w:bCs/>
        </w:rPr>
        <w:t xml:space="preserve">$5 billion of acquisition-related borrowing</w:t>
      </w:r>
      <w:r>
        <w:t xml:space="preserve"> </w:t>
      </w:r>
      <w:r>
        <w:t xml:space="preserve">under limited conditions. That improves liquidity and flexibility, but it also increases the importance of management’s capital-allocation commentary.</w:t>
      </w:r>
    </w:p>
    <w:p>
      <w:pPr>
        <w:pStyle w:val="BodyText"/>
      </w:pPr>
      <w:r>
        <w:t xml:space="preserve">With long-term rates elevated, investors should watch:</w:t>
      </w:r>
    </w:p>
    <w:p>
      <w:pPr>
        <w:pStyle w:val="Compact"/>
        <w:numPr>
          <w:ilvl w:val="0"/>
          <w:numId w:val="1010"/>
        </w:numPr>
      </w:pPr>
      <w:r>
        <w:t xml:space="preserve">Current and projected cash-interest expense</w:t>
      </w:r>
    </w:p>
    <w:p>
      <w:pPr>
        <w:pStyle w:val="Compact"/>
        <w:numPr>
          <w:ilvl w:val="0"/>
          <w:numId w:val="1010"/>
        </w:numPr>
      </w:pPr>
      <w:r>
        <w:t xml:space="preserve">Fixed-versus-floating debt exposure</w:t>
      </w:r>
    </w:p>
    <w:p>
      <w:pPr>
        <w:pStyle w:val="Compact"/>
        <w:numPr>
          <w:ilvl w:val="0"/>
          <w:numId w:val="1010"/>
        </w:numPr>
      </w:pPr>
      <w:r>
        <w:t xml:space="preserve">Refinancing rates</w:t>
      </w:r>
    </w:p>
    <w:p>
      <w:pPr>
        <w:pStyle w:val="Compact"/>
        <w:numPr>
          <w:ilvl w:val="0"/>
          <w:numId w:val="1010"/>
        </w:numPr>
      </w:pPr>
      <w:r>
        <w:t xml:space="preserve">Leverage at quarter-end</w:t>
      </w:r>
    </w:p>
    <w:p>
      <w:pPr>
        <w:pStyle w:val="Compact"/>
        <w:numPr>
          <w:ilvl w:val="0"/>
          <w:numId w:val="1010"/>
        </w:numPr>
      </w:pPr>
      <w:r>
        <w:t xml:space="preserve">Whether deleveraging is taking priority over repurchases or M&amp;A</w:t>
      </w:r>
    </w:p>
    <w:p>
      <w:pPr>
        <w:pStyle w:val="FirstParagraph"/>
      </w:pPr>
      <w:r>
        <w:t xml:space="preserve">Holding leverage around or below 4.9x would be reassuring. A material increase without an immediately accretive investment would likely be poorly received.</w:t>
      </w:r>
    </w:p>
    <w:bookmarkEnd w:id="19"/>
    <w:bookmarkStart w:id="20" w:name="Xe880e042e24562398da3ca7ce09efe4bf4e3230"/>
    <w:p>
      <w:pPr>
        <w:pStyle w:val="Heading3"/>
      </w:pPr>
      <w:r>
        <w:t xml:space="preserve">6. What happens to excess capital?</w:t>
      </w:r>
    </w:p>
    <w:p>
      <w:pPr>
        <w:pStyle w:val="FirstParagraph"/>
      </w:pPr>
      <w:r>
        <w:t xml:space="preserve">AMT repurchased approximately</w:t>
      </w:r>
      <w:r>
        <w:t xml:space="preserve"> </w:t>
      </w:r>
      <m:oMath>
        <m:r>
          <m:t>184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o</m:t>
        </m:r>
        <m:r>
          <m:t>f</m:t>
        </m:r>
        <m:r>
          <m:t>s</m:t>
        </m:r>
        <m:r>
          <m:t>h</m:t>
        </m:r>
        <m:r>
          <m:t>a</m:t>
        </m:r>
        <m:r>
          <m:t>r</m:t>
        </m:r>
        <m:r>
          <m:t>e</m:t>
        </m:r>
        <m:r>
          <m:t>s</m:t>
        </m:r>
        <m:r>
          <m:t>i</m:t>
        </m:r>
        <m:r>
          <m:t>n</m:t>
        </m:r>
        <m:r>
          <m:t>Q</m:t>
        </m:r>
        <m:r>
          <m:t>1</m:t>
        </m:r>
        <m:r>
          <m:t>a</m:t>
        </m:r>
        <m:r>
          <m:t>n</m:t>
        </m:r>
        <m:r>
          <m:t>d</m:t>
        </m:r>
        <m:r>
          <m:t>a</m:t>
        </m:r>
        <m:r>
          <m:t>n</m:t>
        </m:r>
        <m:r>
          <m:t>o</m:t>
        </m:r>
        <m:r>
          <m:t>t</m:t>
        </m:r>
        <m:r>
          <m:t>h</m:t>
        </m:r>
        <m:r>
          <m:t>e</m:t>
        </m:r>
        <m:r>
          <m:t>r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19 million</w:t>
      </w:r>
      <w:r>
        <w:t xml:space="preserve"> </w:t>
      </w:r>
      <w:r>
        <w:t xml:space="preserve">through April 21, bringing total repurchases since the program began in late 2025 to more than</w:t>
      </w:r>
      <w:r>
        <w:t xml:space="preserve"> </w:t>
      </w:r>
      <w:r>
        <w:rPr>
          <w:b/>
          <w:bCs/>
        </w:rPr>
        <w:t xml:space="preserve">$565 million</w:t>
      </w:r>
      <w:r>
        <w:t xml:space="preserve">.</w:t>
      </w:r>
    </w:p>
    <w:p>
      <w:pPr>
        <w:pStyle w:val="BodyText"/>
      </w:pPr>
      <w:r>
        <w:t xml:space="preserve">Management’s priorities remain:</w:t>
      </w:r>
    </w:p>
    <w:p>
      <w:pPr>
        <w:pStyle w:val="Compact"/>
        <w:numPr>
          <w:ilvl w:val="0"/>
          <w:numId w:val="1011"/>
        </w:numPr>
      </w:pPr>
      <w:r>
        <w:t xml:space="preserve">Fund the dividend</w:t>
      </w:r>
    </w:p>
    <w:p>
      <w:pPr>
        <w:pStyle w:val="Compact"/>
        <w:numPr>
          <w:ilvl w:val="0"/>
          <w:numId w:val="1011"/>
        </w:numPr>
      </w:pPr>
      <w:r>
        <w:t xml:space="preserve">Invest in developed-market towers and CoreSite</w:t>
      </w:r>
    </w:p>
    <w:p>
      <w:pPr>
        <w:pStyle w:val="Compact"/>
        <w:numPr>
          <w:ilvl w:val="0"/>
          <w:numId w:val="1011"/>
        </w:numPr>
      </w:pPr>
      <w:r>
        <w:t xml:space="preserve">Consider accretive M&amp;A</w:t>
      </w:r>
    </w:p>
    <w:p>
      <w:pPr>
        <w:pStyle w:val="Compact"/>
        <w:numPr>
          <w:ilvl w:val="0"/>
          <w:numId w:val="1011"/>
        </w:numPr>
      </w:pPr>
      <w:r>
        <w:t xml:space="preserve">Repurchase undervalued shares</w:t>
      </w:r>
    </w:p>
    <w:p>
      <w:pPr>
        <w:pStyle w:val="Compact"/>
        <w:numPr>
          <w:ilvl w:val="0"/>
          <w:numId w:val="1011"/>
        </w:numPr>
      </w:pPr>
      <w:r>
        <w:t xml:space="preserve">Reduce leverage</w:t>
      </w:r>
    </w:p>
    <w:p>
      <w:pPr>
        <w:pStyle w:val="FirstParagraph"/>
      </w:pPr>
      <w:r>
        <w:t xml:space="preserve">At the current stock price, repurchases may appear attractive relative to many acquisition opportunities. Investors should nevertheless watch whether the amended credit facilities signal a more active M&amp;A stance. Management has repeatedly said it has no strategic need to overpay, particularly in emerging markets.</w:t>
      </w:r>
    </w:p>
    <w:p>
      <w:r>
        <w:pict>
          <v:rect style="width:0;height:1.5pt" o:hralign="center" o:hrstd="t" o:hr="t"/>
        </w:pict>
      </w:r>
    </w:p>
    <w:bookmarkEnd w:id="20"/>
    <w:bookmarkEnd w:id="21"/>
    <w:bookmarkStart w:id="22" w:name="key-q2-comparisons"/>
    <w:p>
      <w:pPr>
        <w:pStyle w:val="Heading2"/>
      </w:pPr>
      <w:r>
        <w:t xml:space="preserve">Key Q2 comparisons</w:t>
      </w:r>
    </w:p>
    <w:p>
      <w:pPr>
        <w:pStyle w:val="FirstParagraph"/>
      </w:pPr>
      <w:r>
        <w:t xml:space="preserve">The year-ago quarter provides the following baseline: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2025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Property revenue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$2.527B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$1.752B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AFFO/share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$2.60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Organic tenant-billings growth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4.7%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Data-center property-revenue growth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13.5%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leverage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5.1x</w:t>
            </w:r>
          </w:p>
        </w:tc>
      </w:tr>
    </w:tbl>
    <w:p>
      <w:pPr>
        <w:pStyle w:val="BodyText"/>
      </w:pPr>
      <w:r>
        <w:t xml:space="preserve">The AFFO comparison is relatively favorable, while the organic-growth comparison is difficult because Q2 2026 includes the planned DISH and Latin American churn. A year-over-year decline in reported organic growth is therefore expected; the magnitude and normalized ex-DISH result will matter more.</w:t>
      </w:r>
    </w:p>
    <w:p>
      <w:r>
        <w:pict>
          <v:rect style="width:0;height:1.5pt" o:hralign="center" o:hrstd="t" o:hr="t"/>
        </w:pict>
      </w:r>
    </w:p>
    <w:bookmarkEnd w:id="22"/>
    <w:bookmarkStart w:id="26" w:name="potential-outcomes"/>
    <w:p>
      <w:pPr>
        <w:pStyle w:val="Heading2"/>
      </w:pPr>
      <w:r>
        <w:t xml:space="preserve">Potential outcomes</w:t>
      </w:r>
    </w:p>
    <w:bookmarkStart w:id="23" w:name="bullish"/>
    <w:p>
      <w:pPr>
        <w:pStyle w:val="Heading3"/>
      </w:pPr>
      <w:r>
        <w:t xml:space="preserve">Bullish</w:t>
      </w:r>
    </w:p>
    <w:p>
      <w:pPr>
        <w:pStyle w:val="Compact"/>
        <w:numPr>
          <w:ilvl w:val="0"/>
          <w:numId w:val="1012"/>
        </w:numPr>
      </w:pPr>
      <w:r>
        <w:t xml:space="preserve">Full-year guidance is maintained or raised for core operating reasons.</w:t>
      </w:r>
    </w:p>
    <w:p>
      <w:pPr>
        <w:pStyle w:val="Compact"/>
        <w:numPr>
          <w:ilvl w:val="0"/>
          <w:numId w:val="1012"/>
        </w:numPr>
      </w:pPr>
      <w:r>
        <w:t xml:space="preserve">U.S. organic growth remains near 5% excluding DISH.</w:t>
      </w:r>
    </w:p>
    <w:p>
      <w:pPr>
        <w:pStyle w:val="Compact"/>
        <w:numPr>
          <w:ilvl w:val="0"/>
          <w:numId w:val="1012"/>
        </w:numPr>
      </w:pPr>
      <w:r>
        <w:t xml:space="preserve">CoreSite continues growing above the 13% full-year assumption.</w:t>
      </w:r>
    </w:p>
    <w:p>
      <w:pPr>
        <w:pStyle w:val="Compact"/>
        <w:numPr>
          <w:ilvl w:val="0"/>
          <w:numId w:val="1012"/>
        </w:numPr>
      </w:pPr>
      <w:r>
        <w:t xml:space="preserve">Latin American churn shows no incremental deterioration.</w:t>
      </w:r>
    </w:p>
    <w:p>
      <w:pPr>
        <w:pStyle w:val="Compact"/>
        <w:numPr>
          <w:ilvl w:val="0"/>
          <w:numId w:val="1012"/>
        </w:numPr>
      </w:pPr>
      <w:r>
        <w:t xml:space="preserve">Leverage remains at or below 4.9x.</w:t>
      </w:r>
    </w:p>
    <w:p>
      <w:pPr>
        <w:pStyle w:val="Compact"/>
        <w:numPr>
          <w:ilvl w:val="0"/>
          <w:numId w:val="1012"/>
        </w:numPr>
      </w:pPr>
      <w:r>
        <w:t xml:space="preserve">Management continues repurchases without compromising the balance sheet.</w:t>
      </w:r>
    </w:p>
    <w:bookmarkEnd w:id="23"/>
    <w:bookmarkStart w:id="24" w:name="neutral"/>
    <w:p>
      <w:pPr>
        <w:pStyle w:val="Heading3"/>
      </w:pPr>
      <w:r>
        <w:t xml:space="preserve">Neutral</w:t>
      </w:r>
    </w:p>
    <w:p>
      <w:pPr>
        <w:pStyle w:val="Compact"/>
        <w:numPr>
          <w:ilvl w:val="0"/>
          <w:numId w:val="1013"/>
        </w:numPr>
      </w:pPr>
      <w:r>
        <w:t xml:space="preserve">Results track the existing outlook.</w:t>
      </w:r>
    </w:p>
    <w:p>
      <w:pPr>
        <w:pStyle w:val="Compact"/>
        <w:numPr>
          <w:ilvl w:val="0"/>
          <w:numId w:val="1013"/>
        </w:numPr>
      </w:pPr>
      <w:r>
        <w:t xml:space="preserve">Guidance is reiterated, with FX benefits offsetting refinancing or operating pressures.</w:t>
      </w:r>
    </w:p>
    <w:p>
      <w:pPr>
        <w:pStyle w:val="Compact"/>
        <w:numPr>
          <w:ilvl w:val="0"/>
          <w:numId w:val="1013"/>
        </w:numPr>
      </w:pPr>
      <w:r>
        <w:t xml:space="preserve">CoreSite remains strong but moderates from Q1.</w:t>
      </w:r>
    </w:p>
    <w:p>
      <w:pPr>
        <w:pStyle w:val="Compact"/>
        <w:numPr>
          <w:ilvl w:val="0"/>
          <w:numId w:val="1013"/>
        </w:numPr>
      </w:pPr>
      <w:r>
        <w:t xml:space="preserve">Reported tower growth remains weak because of already-anticipated churn.</w:t>
      </w:r>
    </w:p>
    <w:p>
      <w:pPr>
        <w:pStyle w:val="Compact"/>
        <w:numPr>
          <w:ilvl w:val="0"/>
          <w:numId w:val="1013"/>
        </w:numPr>
      </w:pPr>
      <w:r>
        <w:t xml:space="preserve">Management offers no major change to capital allocation.</w:t>
      </w:r>
    </w:p>
    <w:bookmarkEnd w:id="24"/>
    <w:bookmarkStart w:id="25" w:name="bearish"/>
    <w:p>
      <w:pPr>
        <w:pStyle w:val="Heading3"/>
      </w:pPr>
      <w:r>
        <w:t xml:space="preserve">Bearish</w:t>
      </w:r>
    </w:p>
    <w:p>
      <w:pPr>
        <w:pStyle w:val="Compact"/>
        <w:numPr>
          <w:ilvl w:val="0"/>
          <w:numId w:val="1014"/>
        </w:numPr>
      </w:pPr>
      <w:r>
        <w:t xml:space="preserve">U.S. growth weakens even after excluding DISH.</w:t>
      </w:r>
    </w:p>
    <w:p>
      <w:pPr>
        <w:pStyle w:val="Compact"/>
        <w:numPr>
          <w:ilvl w:val="0"/>
          <w:numId w:val="1014"/>
        </w:numPr>
      </w:pPr>
      <w:r>
        <w:t xml:space="preserve">Latin American churn exceeds expectations or the projected recovery slips.</w:t>
      </w:r>
    </w:p>
    <w:p>
      <w:pPr>
        <w:pStyle w:val="Compact"/>
        <w:numPr>
          <w:ilvl w:val="0"/>
          <w:numId w:val="1014"/>
        </w:numPr>
      </w:pPr>
      <w:r>
        <w:t xml:space="preserve">CoreSite leasing or development timelines soften.</w:t>
      </w:r>
    </w:p>
    <w:p>
      <w:pPr>
        <w:pStyle w:val="Compact"/>
        <w:numPr>
          <w:ilvl w:val="0"/>
          <w:numId w:val="1014"/>
        </w:numPr>
      </w:pPr>
      <w:r>
        <w:t xml:space="preserve">Higher fuel, power, interest or development costs pressure cash margins.</w:t>
      </w:r>
    </w:p>
    <w:p>
      <w:pPr>
        <w:pStyle w:val="Compact"/>
        <w:numPr>
          <w:ilvl w:val="0"/>
          <w:numId w:val="1014"/>
        </w:numPr>
      </w:pPr>
      <w:r>
        <w:t xml:space="preserve">Guidance relies more heavily on FX and straight-line accounting.</w:t>
      </w:r>
    </w:p>
    <w:p>
      <w:pPr>
        <w:pStyle w:val="Compact"/>
        <w:numPr>
          <w:ilvl w:val="0"/>
          <w:numId w:val="1014"/>
        </w:numPr>
      </w:pPr>
      <w:r>
        <w:t xml:space="preserve">Leverage rises while management signals larger-scale M&amp;A.</w:t>
      </w:r>
    </w:p>
    <w:p>
      <w:r>
        <w:pict>
          <v:rect style="width:0;height:1.5pt" o:hralign="center" o:hrstd="t" o:hr="t"/>
        </w:pict>
      </w:r>
    </w:p>
    <w:bookmarkEnd w:id="25"/>
    <w:bookmarkEnd w:id="26"/>
    <w:bookmarkStart w:id="27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The central question is not whether AMT can produce an accounting beat. It is whether the company can demonstrate that</w:t>
      </w:r>
      <w:r>
        <w:t xml:space="preserve"> </w:t>
      </w:r>
      <w:r>
        <w:rPr>
          <w:b/>
          <w:bCs/>
        </w:rPr>
        <w:t xml:space="preserve">normalized tower growth, CoreSite expansion and operating efficiencies are sufficient to restore sustainable mid- to upper-single-digit AFFO-per-share growth after the 2026 churn and refinancing headwinds pass</w:t>
      </w:r>
      <w:r>
        <w:t xml:space="preserve">.</w:t>
      </w:r>
    </w:p>
    <w:p>
      <w:pPr>
        <w:pStyle w:val="BodyText"/>
      </w:pPr>
      <w:r>
        <w:t xml:space="preserve">The most important figures will be:</w:t>
      </w:r>
    </w:p>
    <w:p>
      <w:pPr>
        <w:pStyle w:val="Compact"/>
        <w:numPr>
          <w:ilvl w:val="0"/>
          <w:numId w:val="1015"/>
        </w:numPr>
      </w:pPr>
      <w:r>
        <w:t xml:space="preserve">U.S. organic tenant-billings growth</w:t>
      </w:r>
      <w:r>
        <w:t xml:space="preserve"> </w:t>
      </w:r>
      <w:r>
        <w:rPr>
          <w:b/>
          <w:bCs/>
        </w:rPr>
        <w:t xml:space="preserve">excluding DISH</w:t>
      </w:r>
    </w:p>
    <w:p>
      <w:pPr>
        <w:pStyle w:val="Compact"/>
        <w:numPr>
          <w:ilvl w:val="0"/>
          <w:numId w:val="1015"/>
        </w:numPr>
      </w:pPr>
      <w:r>
        <w:t xml:space="preserve">CoreSite cash-revenue and interconnection growth</w:t>
      </w:r>
    </w:p>
    <w:p>
      <w:pPr>
        <w:pStyle w:val="Compact"/>
        <w:numPr>
          <w:ilvl w:val="0"/>
          <w:numId w:val="1015"/>
        </w:numPr>
      </w:pPr>
      <w:r>
        <w:t xml:space="preserve">Latin American churn and the 2027 recovery outlook</w:t>
      </w:r>
    </w:p>
    <w:p>
      <w:pPr>
        <w:pStyle w:val="Compact"/>
        <w:numPr>
          <w:ilvl w:val="0"/>
          <w:numId w:val="1015"/>
        </w:numPr>
      </w:pPr>
      <w:r>
        <w:t xml:space="preserve">Cash, FX-neutral guidance changes</w:t>
      </w:r>
    </w:p>
    <w:p>
      <w:pPr>
        <w:pStyle w:val="Compact"/>
        <w:numPr>
          <w:ilvl w:val="0"/>
          <w:numId w:val="1015"/>
        </w:numPr>
      </w:pPr>
      <w:r>
        <w:t xml:space="preserve">Net leverage and cash-interest expense</w:t>
      </w:r>
    </w:p>
    <w:p>
      <w:pPr>
        <w:pStyle w:val="Compact"/>
        <w:numPr>
          <w:ilvl w:val="0"/>
          <w:numId w:val="1015"/>
        </w:numPr>
      </w:pPr>
      <w:r>
        <w:t xml:space="preserve">Repurchase activity versus M&amp;A and deleveraging</w:t>
      </w:r>
    </w:p>
    <w:p>
      <w:pPr>
        <w:pStyle w:val="FirstParagraph"/>
      </w:pPr>
      <w:r>
        <w:t xml:space="preserve">With the shares near 15x 2026 AFFO guidance, expectations do not appear especially demanding. But AMT needs to show that its inexpensive-looking valuation reflects temporary, identifiable headwinds—not a weakening underlying growth rate.</w:t>
      </w:r>
    </w:p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2026-07-28T00:24:59Z</dcterms:created>
  <dcterms:modified xsi:type="dcterms:W3CDTF">2026-07-28T00:24:59Z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