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679479bf2ab21e71dbc8a8be65c5f823173e7b"/>
    <w:p>
      <w:pPr>
        <w:pStyle w:val="Heading1"/>
      </w:pPr>
      <w:r>
        <w:t xml:space="preserve">American Tower (NYSE: AMT) — 2Q26 Earnings Preview</w:t>
      </w:r>
    </w:p>
    <w:p>
      <w:pPr>
        <w:pStyle w:val="BlockText"/>
      </w:pPr>
      <w:r>
        <w:rPr>
          <w:b/>
          <w:bCs/>
        </w:rPr>
        <w:t xml:space="preserve">Timing note:</w:t>
      </w:r>
      <w:r>
        <w:t xml:space="preserve"> </w:t>
      </w:r>
      <w:r>
        <w:t xml:space="preserve">July 28, 2026 is</w:t>
      </w:r>
      <w:r>
        <w:t xml:space="preserve"> </w:t>
      </w:r>
      <w:r>
        <w:rPr>
          <w:b/>
          <w:bCs/>
        </w:rPr>
        <w:t xml:space="preserve">today</w:t>
      </w:r>
      <w:r>
        <w:t xml:space="preserve">, not tomorrow. This preview is written as of the July 27 market close, ahead of AMT’s scheduled</w:t>
      </w:r>
      <w:r>
        <w:t xml:space="preserve"> </w:t>
      </w:r>
      <w:r>
        <w:rPr>
          <w:b/>
          <w:bCs/>
        </w:rPr>
        <w:t xml:space="preserve">2Q26 earnings call on July 28, 2026</w:t>
      </w:r>
      <w:r>
        <w:t xml:space="preserve">.</w:t>
      </w:r>
    </w:p>
    <w:bookmarkStart w:id="9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American Tower enters 2Q with a constructive long-term setup but a relatively high burden of proof on the</w:t>
      </w:r>
      <w:r>
        <w:t xml:space="preserve"> </w:t>
      </w:r>
      <w:r>
        <w:rPr>
          <w:b/>
          <w:bCs/>
        </w:rPr>
        <w:t xml:space="preserve">quality</w:t>
      </w:r>
      <w:r>
        <w:t xml:space="preserve"> </w:t>
      </w:r>
      <w:r>
        <w:t xml:space="preserve">of growth. The central question is not likely to be headline revenue or GAAP EPS—both can be meaningfully affected by FX, straight-line accounting, and prior-year comparison noise. Instead, investors should focus on whether AMT is demonstrating that it can transition from a 2026 year shaped by</w:t>
      </w:r>
      <w:r>
        <w:t xml:space="preserve"> </w:t>
      </w:r>
      <w:r>
        <w:rPr>
          <w:b/>
          <w:bCs/>
        </w:rPr>
        <w:t xml:space="preserve">DISH-related churn and Brazil consolidation</w:t>
      </w:r>
      <w:r>
        <w:t xml:space="preserve"> </w:t>
      </w:r>
      <w:r>
        <w:t xml:space="preserve">to its stated durable</w:t>
      </w:r>
      <w:r>
        <w:t xml:space="preserve"> </w:t>
      </w:r>
      <w:r>
        <w:rPr>
          <w:b/>
          <w:bCs/>
        </w:rPr>
        <w:t xml:space="preserve">mid- to upper-single-digit AFFO/share growth</w:t>
      </w:r>
      <w:r>
        <w:t xml:space="preserve"> </w:t>
      </w:r>
      <w:r>
        <w:t xml:space="preserve">framework.</w:t>
      </w:r>
    </w:p>
    <w:p>
      <w:pPr>
        <w:pStyle w:val="BodyText"/>
      </w:pPr>
      <w:r>
        <w:t xml:space="preserve">The key positives are clear:</w:t>
      </w:r>
    </w:p>
    <w:p>
      <w:pPr>
        <w:pStyle w:val="Compact"/>
        <w:numPr>
          <w:ilvl w:val="0"/>
          <w:numId w:val="1001"/>
        </w:numPr>
      </w:pPr>
      <w:r>
        <w:t xml:space="preserve">CoreSite is growing rapidly and has become a more important source of incremental growth and capital deployment.</w:t>
      </w:r>
    </w:p>
    <w:p>
      <w:pPr>
        <w:pStyle w:val="Compact"/>
        <w:numPr>
          <w:ilvl w:val="0"/>
          <w:numId w:val="1001"/>
        </w:numPr>
      </w:pPr>
      <w:r>
        <w:t xml:space="preserve">AMT has reduced balance-sheet and geographic-risk exposure, ending 1Q at</w:t>
      </w:r>
      <w:r>
        <w:t xml:space="preserve"> </w:t>
      </w:r>
      <w:r>
        <w:rPr>
          <w:b/>
          <w:bCs/>
        </w:rPr>
        <w:t xml:space="preserve">4.9x net leverage</w:t>
      </w:r>
      <w:r>
        <w:t xml:space="preserve"> </w:t>
      </w:r>
      <w:r>
        <w:t xml:space="preserve">with a</w:t>
      </w:r>
      <w:r>
        <w:t xml:space="preserve"> </w:t>
      </w:r>
      <w:r>
        <w:rPr>
          <w:b/>
          <w:bCs/>
        </w:rPr>
        <w:t xml:space="preserve">BBB+</w:t>
      </w:r>
      <w:r>
        <w:t xml:space="preserve"> </w:t>
      </w:r>
      <w:r>
        <w:t xml:space="preserve">credit rating.</w:t>
      </w:r>
    </w:p>
    <w:p>
      <w:pPr>
        <w:pStyle w:val="Compact"/>
        <w:numPr>
          <w:ilvl w:val="0"/>
          <w:numId w:val="1001"/>
        </w:numPr>
      </w:pPr>
      <w:r>
        <w:t xml:space="preserve">The company has removed DISH from its guidance, making any eventual contract recovery or new spectrum deployment potential upside rather than a required assumption.</w:t>
      </w:r>
    </w:p>
    <w:p>
      <w:pPr>
        <w:pStyle w:val="Compact"/>
        <w:numPr>
          <w:ilvl w:val="0"/>
          <w:numId w:val="1001"/>
        </w:numPr>
      </w:pPr>
      <w:r>
        <w:t xml:space="preserve">Management has been actively returning capital through dividend growth and share repurchases.</w:t>
      </w:r>
    </w:p>
    <w:p>
      <w:pPr>
        <w:pStyle w:val="FirstParagraph"/>
      </w:pPr>
      <w:r>
        <w:t xml:space="preserve">But 2Q needs to confirm three things: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U.S. underlying leasing remains healthy once DISH churn is excluded.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Brazil/Latin America churn is peaking rather than deteriorating.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CoreSite’s AI- and interconnection-led demand is translating into sustained revenue growth without an unfavorable step-up in development spend or margin pressure.</w:t>
      </w:r>
    </w:p>
    <w:p>
      <w:r>
        <w:pict>
          <v:rect style="width:0;height:1.5pt" o:hralign="center" o:hrstd="t" o:hr="t"/>
        </w:pict>
      </w:r>
    </w:p>
    <w:bookmarkEnd w:id="9"/>
    <w:bookmarkStart w:id="13" w:name="what-matters-most-this-quarter"/>
    <w:p>
      <w:pPr>
        <w:pStyle w:val="Heading2"/>
      </w:pPr>
      <w:r>
        <w:t xml:space="preserve">What matters most this quarter</w:t>
      </w:r>
    </w:p>
    <w:bookmarkStart w:id="10" w:name="X901efbb6dd1fa5b36a4442a3f4c0dc64f674baa"/>
    <w:p>
      <w:pPr>
        <w:pStyle w:val="Heading3"/>
      </w:pPr>
      <w:r>
        <w:t xml:space="preserve">1. Underlying U.S. tower growth after DISH</w:t>
      </w:r>
    </w:p>
    <w:p>
      <w:pPr>
        <w:pStyle w:val="FirstParagraph"/>
      </w:pPr>
      <w:r>
        <w:t xml:space="preserve">AMT’s reported 1Q U.S. &amp; Canada organic tenant billings growth was only</w:t>
      </w:r>
      <w:r>
        <w:t xml:space="preserve"> </w:t>
      </w:r>
      <w:r>
        <w:rPr>
          <w:b/>
          <w:bCs/>
        </w:rPr>
        <w:t xml:space="preserve">0.6%</w:t>
      </w:r>
      <w:r>
        <w:t xml:space="preserve">, but management characterized the underlying figure as roughly</w:t>
      </w:r>
      <w:r>
        <w:t xml:space="preserve"> </w:t>
      </w:r>
      <w:r>
        <w:rPr>
          <w:b/>
          <w:bCs/>
        </w:rPr>
        <w:t xml:space="preserve">5% excluding one-time DISH churn</w:t>
      </w:r>
      <w:r>
        <w:t xml:space="preserve">. For full-year 2026, AMT guided to approximately</w:t>
      </w:r>
      <w:r>
        <w:t xml:space="preserve"> </w:t>
      </w:r>
      <w:r>
        <w:rPr>
          <w:b/>
          <w:bCs/>
        </w:rPr>
        <w:t xml:space="preserve">0.5% U.S. &amp; Canada organic tenant billings growth</w:t>
      </w:r>
      <w:r>
        <w:t xml:space="preserve">, again reflecting the DISH effect.</w:t>
      </w:r>
    </w:p>
    <w:p>
      <w:pPr>
        <w:pStyle w:val="BodyText"/>
      </w:pPr>
      <w:r>
        <w:t xml:space="preserve">That makes 2Q a critical read on the base business:</w:t>
      </w:r>
    </w:p>
    <w:p>
      <w:pPr>
        <w:pStyle w:val="Compact"/>
        <w:numPr>
          <w:ilvl w:val="0"/>
          <w:numId w:val="1003"/>
        </w:numPr>
      </w:pPr>
      <w:r>
        <w:t xml:space="preserve">Are colocations and amendments from the three national carriers holding at a mid-single-digit underlying growth rate?</w:t>
      </w:r>
    </w:p>
    <w:p>
      <w:pPr>
        <w:pStyle w:val="Compact"/>
        <w:numPr>
          <w:ilvl w:val="0"/>
          <w:numId w:val="1003"/>
        </w:numPr>
      </w:pPr>
      <w:r>
        <w:t xml:space="preserve">Is carrier activity broad-based, or concentrated in a limited number of projects and markets?</w:t>
      </w:r>
    </w:p>
    <w:p>
      <w:pPr>
        <w:pStyle w:val="Compact"/>
        <w:numPr>
          <w:ilvl w:val="0"/>
          <w:numId w:val="1003"/>
        </w:numPr>
      </w:pPr>
      <w:r>
        <w:t xml:space="preserve">Is there more evidence of capacity-driven activity tied to mobile-data consumption, fixed wireless, densification, or incremental spectrum deployment?</w:t>
      </w:r>
    </w:p>
    <w:p>
      <w:pPr>
        <w:pStyle w:val="FirstParagraph"/>
      </w:pPr>
      <w:r>
        <w:rPr>
          <w:b/>
          <w:bCs/>
        </w:rPr>
        <w:t xml:space="preserve">Investor interpretation:</w:t>
      </w:r>
      <w:r>
        <w:t xml:space="preserve"> </w:t>
      </w:r>
      <w:r>
        <w:t xml:space="preserve">A modest reported U.S. growth figure should not automatically be viewed negatively if management again demonstrates roughly mid-single-digit growth excluding DISH. Conversely, weakness in the normalized figure would challenge the company’s longer-term tower-growth algorithm.</w:t>
      </w:r>
    </w:p>
    <w:p>
      <w:r>
        <w:pict>
          <v:rect style="width:0;height:1.5pt" o:hralign="center" o:hrstd="t" o:hr="t"/>
        </w:pict>
      </w:r>
    </w:p>
    <w:bookmarkEnd w:id="10"/>
    <w:bookmarkStart w:id="11" w:name="X78232624eb89512b4fffc74f64033c75145708e"/>
    <w:p>
      <w:pPr>
        <w:pStyle w:val="Heading3"/>
      </w:pPr>
      <w:r>
        <w:t xml:space="preserve">2. Latin America: evidence that the Brazil reset is nearing an end</w:t>
      </w:r>
    </w:p>
    <w:p>
      <w:pPr>
        <w:pStyle w:val="FirstParagraph"/>
      </w:pPr>
      <w:r>
        <w:t xml:space="preserve">Latin America remains AMT’s most important operating swing factor. In 1Q, Latin America organic tenant billings growth was</w:t>
      </w:r>
      <w:r>
        <w:t xml:space="preserve"> </w:t>
      </w:r>
      <w:r>
        <w:rPr>
          <w:b/>
          <w:bCs/>
        </w:rPr>
        <w:t xml:space="preserve">negative 2%</w:t>
      </w:r>
      <w:r>
        <w:t xml:space="preserve">, primarily due to elevated churn in Brazil. Management has framed 2026 as a trough year because certain churn was delayed from 2025 and other Oi-related churn was accelerated from 2027 into 2026.</w:t>
      </w:r>
    </w:p>
    <w:p>
      <w:pPr>
        <w:pStyle w:val="BodyText"/>
      </w:pPr>
      <w:r>
        <w:t xml:space="preserve">The company’s full-year outlook still assumes approximately</w:t>
      </w:r>
      <w:r>
        <w:t xml:space="preserve"> </w:t>
      </w:r>
      <w:r>
        <w:rPr>
          <w:b/>
          <w:bCs/>
        </w:rPr>
        <w:t xml:space="preserve">negative 3% organic tenant billings growth</w:t>
      </w:r>
      <w:r>
        <w:t xml:space="preserve"> </w:t>
      </w:r>
      <w:r>
        <w:t xml:space="preserve">in Latin America. Management expects a return to positive, low-single-digit growth in 2027 and more normalized growth thereafter.</w:t>
      </w:r>
    </w:p>
    <w:p>
      <w:pPr>
        <w:pStyle w:val="BodyText"/>
      </w:pPr>
      <w:r>
        <w:t xml:space="preserve">For 2Q, focus on:</w:t>
      </w:r>
    </w:p>
    <w:p>
      <w:pPr>
        <w:pStyle w:val="Compact"/>
        <w:numPr>
          <w:ilvl w:val="0"/>
          <w:numId w:val="1004"/>
        </w:numPr>
      </w:pPr>
      <w:r>
        <w:t xml:space="preserve">Whether Brazil cancellation trends are tracking management’s full-year assumptions.</w:t>
      </w:r>
    </w:p>
    <w:p>
      <w:pPr>
        <w:pStyle w:val="Compact"/>
        <w:numPr>
          <w:ilvl w:val="0"/>
          <w:numId w:val="1004"/>
        </w:numPr>
      </w:pPr>
      <w:r>
        <w:t xml:space="preserve">New leasing, amendments, and carrier demand across the region.</w:t>
      </w:r>
    </w:p>
    <w:p>
      <w:pPr>
        <w:pStyle w:val="Compact"/>
        <w:numPr>
          <w:ilvl w:val="0"/>
          <w:numId w:val="1004"/>
        </w:numPr>
      </w:pPr>
      <w:r>
        <w:t xml:space="preserve">Any indication that the market is becoming more rational following consolidation.</w:t>
      </w:r>
    </w:p>
    <w:p>
      <w:pPr>
        <w:pStyle w:val="Compact"/>
        <w:numPr>
          <w:ilvl w:val="0"/>
          <w:numId w:val="1004"/>
        </w:numPr>
      </w:pPr>
      <w:r>
        <w:t xml:space="preserve">FX effects versus genuine local-currency operating progress.</w:t>
      </w:r>
    </w:p>
    <w:p>
      <w:pPr>
        <w:pStyle w:val="FirstParagraph"/>
      </w:pPr>
      <w:r>
        <w:rPr>
          <w:b/>
          <w:bCs/>
        </w:rPr>
        <w:t xml:space="preserve">What would be constructive:</w:t>
      </w:r>
      <w:r>
        <w:t xml:space="preserve"> </w:t>
      </w:r>
      <w:r>
        <w:t xml:space="preserve">Management reiterates that churn has peaked, reports improving application volumes or new-business activity in Brazil, and maintains confidence in a return to growth next year.</w:t>
      </w:r>
    </w:p>
    <w:p>
      <w:pPr>
        <w:pStyle w:val="BodyText"/>
      </w:pPr>
      <w:r>
        <w:rPr>
          <w:b/>
          <w:bCs/>
        </w:rPr>
        <w:t xml:space="preserve">What would concern investors:</w:t>
      </w:r>
      <w:r>
        <w:t xml:space="preserve"> </w:t>
      </w:r>
      <w:r>
        <w:t xml:space="preserve">A guidance reduction, further deterioration in Brazilian churn, or less confidence in the timing of the 2027 recovery.</w:t>
      </w:r>
    </w:p>
    <w:p>
      <w:r>
        <w:pict>
          <v:rect style="width:0;height:1.5pt" o:hralign="center" o:hrstd="t" o:hr="t"/>
        </w:pict>
      </w:r>
    </w:p>
    <w:bookmarkEnd w:id="11"/>
    <w:bookmarkStart w:id="12" w:name="X0e4155d97a4b90eeaf677e0e73db1242cf2da4b"/>
    <w:p>
      <w:pPr>
        <w:pStyle w:val="Heading3"/>
      </w:pPr>
      <w:r>
        <w:t xml:space="preserve">3. CoreSite needs to remain the growth engine</w:t>
      </w:r>
    </w:p>
    <w:p>
      <w:pPr>
        <w:pStyle w:val="FirstParagraph"/>
      </w:pPr>
      <w:r>
        <w:t xml:space="preserve">CoreSite is the most important positive offset to tower-industry concerns. In 1Q, Data Centers property revenue grew</w:t>
      </w:r>
      <w:r>
        <w:t xml:space="preserve"> </w:t>
      </w:r>
      <w:r>
        <w:rPr>
          <w:b/>
          <w:bCs/>
        </w:rPr>
        <w:t xml:space="preserve">18.4% reported</w:t>
      </w:r>
      <w:r>
        <w:t xml:space="preserve">, while management cited approximately</w:t>
      </w:r>
      <w:r>
        <w:t xml:space="preserve"> </w:t>
      </w:r>
      <w:r>
        <w:rPr>
          <w:b/>
          <w:bCs/>
        </w:rPr>
        <w:t xml:space="preserve">17% cash revenue growth</w:t>
      </w:r>
      <w:r>
        <w:t xml:space="preserve"> </w:t>
      </w:r>
      <w:r>
        <w:t xml:space="preserve">excluding non-cash straight-line revenue. Full-year guidance calls for approximately</w:t>
      </w:r>
      <w:r>
        <w:t xml:space="preserve"> </w:t>
      </w:r>
      <w:r>
        <w:rPr>
          <w:b/>
          <w:bCs/>
        </w:rPr>
        <w:t xml:space="preserve">12.5% Data Centers property-revenue growth</w:t>
      </w:r>
      <w:r>
        <w:t xml:space="preserve"> </w:t>
      </w:r>
      <w:r>
        <w:t xml:space="preserve">at the midpoint.</w:t>
      </w:r>
    </w:p>
    <w:p>
      <w:pPr>
        <w:pStyle w:val="BodyText"/>
      </w:pPr>
      <w:r>
        <w:t xml:space="preserve">Management has pointed to:</w:t>
      </w:r>
    </w:p>
    <w:p>
      <w:pPr>
        <w:pStyle w:val="Compact"/>
        <w:numPr>
          <w:ilvl w:val="0"/>
          <w:numId w:val="1005"/>
        </w:numPr>
      </w:pPr>
      <w:r>
        <w:t xml:space="preserve">Continued hybrid- and multi-cloud demand;</w:t>
      </w:r>
    </w:p>
    <w:p>
      <w:pPr>
        <w:pStyle w:val="Compact"/>
        <w:numPr>
          <w:ilvl w:val="0"/>
          <w:numId w:val="1005"/>
        </w:numPr>
      </w:pPr>
      <w:r>
        <w:t xml:space="preserve">AI-related workloads, particularly inference;</w:t>
      </w:r>
    </w:p>
    <w:p>
      <w:pPr>
        <w:pStyle w:val="Compact"/>
        <w:numPr>
          <w:ilvl w:val="0"/>
          <w:numId w:val="1005"/>
        </w:numPr>
      </w:pPr>
      <w:r>
        <w:t xml:space="preserve">An inflection in interconnection activity;</w:t>
      </w:r>
    </w:p>
    <w:p>
      <w:pPr>
        <w:pStyle w:val="Compact"/>
        <w:numPr>
          <w:ilvl w:val="0"/>
          <w:numId w:val="1005"/>
        </w:numPr>
      </w:pPr>
      <w:r>
        <w:t xml:space="preserve">Strong pricing and demand visibility;</w:t>
      </w:r>
    </w:p>
    <w:p>
      <w:pPr>
        <w:pStyle w:val="Compact"/>
        <w:numPr>
          <w:ilvl w:val="0"/>
          <w:numId w:val="1005"/>
        </w:numPr>
      </w:pPr>
      <w:r>
        <w:t xml:space="preserve">A development pipeline supported by additional power and land capacity.</w:t>
      </w:r>
    </w:p>
    <w:p>
      <w:pPr>
        <w:pStyle w:val="FirstParagraph"/>
      </w:pPr>
      <w:r>
        <w:t xml:space="preserve">AMT also indicated that it had increased capacity held for development by roughly</w:t>
      </w:r>
      <w:r>
        <w:t xml:space="preserve"> </w:t>
      </w:r>
      <w:r>
        <w:rPr>
          <w:b/>
          <w:bCs/>
        </w:rPr>
        <w:t xml:space="preserve">200 MW</w:t>
      </w:r>
      <w:r>
        <w:t xml:space="preserve"> </w:t>
      </w:r>
      <w:r>
        <w:t xml:space="preserve">versus the prior year. Its 2026 capital plan includes approximately</w:t>
      </w:r>
      <w:r>
        <w:t xml:space="preserve"> </w:t>
      </w:r>
      <w:r>
        <w:rPr>
          <w:b/>
          <w:bCs/>
        </w:rPr>
        <w:t xml:space="preserve">$695 million</w:t>
      </w:r>
      <w:r>
        <w:t xml:space="preserve"> </w:t>
      </w:r>
      <w:r>
        <w:t xml:space="preserve">of Data Centers development spending.</w:t>
      </w:r>
    </w:p>
    <w:p>
      <w:pPr>
        <w:pStyle w:val="BodyText"/>
      </w:pPr>
      <w:r>
        <w:t xml:space="preserve">For the quarter, investors should watch:</w:t>
      </w:r>
    </w:p>
    <w:p>
      <w:pPr>
        <w:pStyle w:val="Compact"/>
        <w:numPr>
          <w:ilvl w:val="0"/>
          <w:numId w:val="1006"/>
        </w:numPr>
      </w:pPr>
      <w:r>
        <w:t xml:space="preserve">Cash versus reported data-center revenue growth;</w:t>
      </w:r>
    </w:p>
    <w:p>
      <w:pPr>
        <w:pStyle w:val="Compact"/>
        <w:numPr>
          <w:ilvl w:val="0"/>
          <w:numId w:val="1006"/>
        </w:numPr>
      </w:pPr>
      <w:r>
        <w:t xml:space="preserve">Leasing bookings, backlog, utilization, and pricing commentary;</w:t>
      </w:r>
    </w:p>
    <w:p>
      <w:pPr>
        <w:pStyle w:val="Compact"/>
        <w:numPr>
          <w:ilvl w:val="0"/>
          <w:numId w:val="1006"/>
        </w:numPr>
      </w:pPr>
      <w:r>
        <w:t xml:space="preserve">Interconnection growth and whether AI demand is becoming material rather than merely promotional;</w:t>
      </w:r>
    </w:p>
    <w:p>
      <w:pPr>
        <w:pStyle w:val="Compact"/>
        <w:numPr>
          <w:ilvl w:val="0"/>
          <w:numId w:val="1006"/>
        </w:numPr>
      </w:pPr>
      <w:r>
        <w:t xml:space="preserve">Development timing, power availability, and project returns;</w:t>
      </w:r>
    </w:p>
    <w:p>
      <w:pPr>
        <w:pStyle w:val="Compact"/>
        <w:numPr>
          <w:ilvl w:val="0"/>
          <w:numId w:val="1006"/>
        </w:numPr>
      </w:pPr>
      <w:r>
        <w:t xml:space="preserve">Data-center margin trajectory—the segment’s 1Q operating margin was</w:t>
      </w:r>
      <w:r>
        <w:t xml:space="preserve"> </w:t>
      </w:r>
      <w:r>
        <w:rPr>
          <w:b/>
          <w:bCs/>
        </w:rPr>
        <w:t xml:space="preserve">53%</w:t>
      </w:r>
      <w:r>
        <w:t xml:space="preserve">, below AMT’s tower margins but improving in strategic importance.</w:t>
      </w:r>
    </w:p>
    <w:p>
      <w:pPr>
        <w:pStyle w:val="FirstParagraph"/>
      </w:pPr>
      <w:r>
        <w:rPr>
          <w:b/>
          <w:bCs/>
        </w:rPr>
        <w:t xml:space="preserve">Key nuance:</w:t>
      </w:r>
      <w:r>
        <w:t xml:space="preserve"> </w:t>
      </w:r>
      <w:r>
        <w:t xml:space="preserve">Strong CoreSite demand is valuable, but the market will likely distinguish between profitable, interconnection-rich growth and lower-return, capital-intensive capacity expansion. AMT’s strategy is explicitly centered on the former.</w:t>
      </w:r>
    </w:p>
    <w:p>
      <w:r>
        <w:pict>
          <v:rect style="width:0;height:1.5pt" o:hralign="center" o:hrstd="t" o:hr="t"/>
        </w:pict>
      </w:r>
    </w:p>
    <w:bookmarkEnd w:id="12"/>
    <w:bookmarkEnd w:id="13"/>
    <w:bookmarkStart w:id="14" w:name="Xcaef5ad16f22c312834b181bfa94c9108a00a29"/>
    <w:p>
      <w:pPr>
        <w:pStyle w:val="Heading2"/>
      </w:pPr>
      <w:r>
        <w:t xml:space="preserve">Guidance: quality of the outlook matters more than the magnitude</w:t>
      </w:r>
    </w:p>
    <w:p>
      <w:pPr>
        <w:pStyle w:val="FirstParagraph"/>
      </w:pPr>
      <w:r>
        <w:t xml:space="preserve">After 1Q, AMT raised its 2026 outlook to: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2026 outlook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Range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Midpoint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Property revenue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10.585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t xml:space="preserve">10.735B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$10.660B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7.195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t xml:space="preserve">7.265B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$7.230B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AFFO attributable to common shareholders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5.090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t xml:space="preserve">5.170B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$5.130B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AFFO per share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10.90</m:t>
              </m:r>
              <m:r>
                <m:rPr>
                  <m:sty m:val="p"/>
                </m:rPr>
                <m:t>–</m:t>
              </m:r>
            </m:oMath>
            <w:r>
              <w:t xml:space="preserve">11.07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$10.99</w:t>
            </w:r>
          </w:p>
        </w:tc>
      </w:tr>
    </w:tbl>
    <w:p>
      <w:pPr>
        <w:pStyle w:val="BodyText"/>
      </w:pPr>
      <w:r>
        <w:t xml:space="preserve">The 1Q guidance increase was important, but it was driven largely by approximately</w:t>
      </w:r>
      <w:r>
        <w:t xml:space="preserve"> </w:t>
      </w:r>
      <m:oMath>
        <m:r>
          <m:t>110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F</m:t>
        </m:r>
        <m:r>
          <m:t>X</m:t>
        </m:r>
        <m:r>
          <m:t>t</m:t>
        </m:r>
        <m:r>
          <m:t>a</m:t>
        </m:r>
        <m:r>
          <m:t>i</m:t>
        </m:r>
        <m:r>
          <m:t>l</m:t>
        </m:r>
        <m:r>
          <m:t>w</m:t>
        </m:r>
        <m:r>
          <m:t>i</m:t>
        </m:r>
        <m:r>
          <m:t>n</m:t>
        </m:r>
        <m:r>
          <m:t>d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d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35 million of accelerated non-cash straight-line revenue in Latin America</w:t>
      </w:r>
      <w:r>
        <w:t xml:space="preserve">, tied to Oi-related activity.</w:t>
      </w:r>
    </w:p>
    <w:p>
      <w:pPr>
        <w:pStyle w:val="BodyText"/>
      </w:pPr>
      <w:r>
        <w:t xml:space="preserve">Therefore, a 2Q guidance raise would be most meaningful if it comes from:</w:t>
      </w:r>
    </w:p>
    <w:p>
      <w:pPr>
        <w:pStyle w:val="Compact"/>
        <w:numPr>
          <w:ilvl w:val="0"/>
          <w:numId w:val="1007"/>
        </w:numPr>
      </w:pPr>
      <w:r>
        <w:t xml:space="preserve">Better-than-expected organic leasing;</w:t>
      </w:r>
    </w:p>
    <w:p>
      <w:pPr>
        <w:pStyle w:val="Compact"/>
        <w:numPr>
          <w:ilvl w:val="0"/>
          <w:numId w:val="1007"/>
        </w:numPr>
      </w:pPr>
      <w:r>
        <w:t xml:space="preserve">Improved CoreSite demand and economics;</w:t>
      </w:r>
    </w:p>
    <w:p>
      <w:pPr>
        <w:pStyle w:val="Compact"/>
        <w:numPr>
          <w:ilvl w:val="0"/>
          <w:numId w:val="1007"/>
        </w:numPr>
      </w:pPr>
      <w:r>
        <w:t xml:space="preserve">Lower-than-anticipated churn;</w:t>
      </w:r>
    </w:p>
    <w:p>
      <w:pPr>
        <w:pStyle w:val="Compact"/>
        <w:numPr>
          <w:ilvl w:val="0"/>
          <w:numId w:val="1007"/>
        </w:numPr>
      </w:pPr>
      <w:r>
        <w:t xml:space="preserve">Better operating-cost performance; or</w:t>
      </w:r>
    </w:p>
    <w:p>
      <w:pPr>
        <w:pStyle w:val="Compact"/>
        <w:numPr>
          <w:ilvl w:val="0"/>
          <w:numId w:val="1007"/>
        </w:numPr>
      </w:pPr>
      <w:r>
        <w:t xml:space="preserve">Lower cash interest expense / improved capital-allocation benefits.</w:t>
      </w:r>
    </w:p>
    <w:p>
      <w:pPr>
        <w:pStyle w:val="FirstParagraph"/>
      </w:pPr>
      <w:r>
        <w:t xml:space="preserve">A raise driven only by FX or non-cash straight-line accounting would still be positive for reported earnings, but less powerful for the longer-term investment case.</w:t>
      </w:r>
    </w:p>
    <w:p>
      <w:r>
        <w:pict>
          <v:rect style="width:0;height:1.5pt" o:hralign="center" o:hrstd="t" o:hr="t"/>
        </w:pict>
      </w:r>
    </w:p>
    <w:bookmarkEnd w:id="14"/>
    <w:bookmarkStart w:id="15" w:name="affo-and-capital-allocation"/>
    <w:p>
      <w:pPr>
        <w:pStyle w:val="Heading2"/>
      </w:pPr>
      <w:r>
        <w:t xml:space="preserve">AFFO and capital allocation</w:t>
      </w:r>
    </w:p>
    <w:p>
      <w:pPr>
        <w:pStyle w:val="FirstParagraph"/>
      </w:pPr>
      <w:r>
        <w:t xml:space="preserve">AMT produced</w:t>
      </w:r>
      <w:r>
        <w:t xml:space="preserve"> </w:t>
      </w:r>
      <w:r>
        <w:rPr>
          <w:b/>
          <w:bCs/>
        </w:rPr>
        <w:t xml:space="preserve">$2.84 of AFFO/share in 1Q</w:t>
      </w:r>
      <w:r>
        <w:t xml:space="preserve">, up</w:t>
      </w:r>
      <w:r>
        <w:t xml:space="preserve"> </w:t>
      </w:r>
      <w:r>
        <w:rPr>
          <w:b/>
          <w:bCs/>
        </w:rPr>
        <w:t xml:space="preserve">3.3% year over year</w:t>
      </w:r>
      <w:r>
        <w:t xml:space="preserve">. Management has said that, after adjusting for FX, DISH churn, and refinancing costs, underlying AFFO/share growth was closer to</w:t>
      </w:r>
      <w:r>
        <w:t xml:space="preserve"> </w:t>
      </w:r>
      <w:r>
        <w:rPr>
          <w:b/>
          <w:bCs/>
        </w:rPr>
        <w:t xml:space="preserve">4%</w:t>
      </w:r>
      <w:r>
        <w:t xml:space="preserve"> </w:t>
      </w:r>
      <w:r>
        <w:t xml:space="preserve">in the quarter.</w:t>
      </w:r>
    </w:p>
    <w:p>
      <w:pPr>
        <w:pStyle w:val="BodyText"/>
      </w:pPr>
      <w:r>
        <w:t xml:space="preserve">For full-year 2026, management’s midpoint implies approximately</w:t>
      </w:r>
      <w:r>
        <w:t xml:space="preserve"> </w:t>
      </w:r>
      <w:r>
        <w:rPr>
          <w:b/>
          <w:bCs/>
        </w:rPr>
        <w:t xml:space="preserve">2% reported AFFO/share growth</w:t>
      </w:r>
      <w:r>
        <w:t xml:space="preserve">. However, management has emphasized that cash taxes and maintenance-capex timing should make FX-neutral AFFO/share growth stronger in the second half of 2026.</w:t>
      </w:r>
    </w:p>
    <w:p>
      <w:pPr>
        <w:pStyle w:val="BodyText"/>
      </w:pPr>
      <w:r>
        <w:t xml:space="preserve">Important items for the call:</w:t>
      </w:r>
    </w:p>
    <w:p>
      <w:pPr>
        <w:pStyle w:val="Compact"/>
        <w:numPr>
          <w:ilvl w:val="0"/>
          <w:numId w:val="1008"/>
        </w:numPr>
      </w:pPr>
      <w:r>
        <w:t xml:space="preserve">Confirmation of back-half AFFO/share acceleration;</w:t>
      </w:r>
    </w:p>
    <w:p>
      <w:pPr>
        <w:pStyle w:val="Compact"/>
        <w:numPr>
          <w:ilvl w:val="0"/>
          <w:numId w:val="1008"/>
        </w:numPr>
      </w:pPr>
      <w:r>
        <w:t xml:space="preserve">Cash interest expense and refinancing costs;</w:t>
      </w:r>
    </w:p>
    <w:p>
      <w:pPr>
        <w:pStyle w:val="Compact"/>
        <w:numPr>
          <w:ilvl w:val="0"/>
          <w:numId w:val="1008"/>
        </w:numPr>
      </w:pPr>
      <w:r>
        <w:t xml:space="preserve">Share-repurchase activity;</w:t>
      </w:r>
    </w:p>
    <w:p>
      <w:pPr>
        <w:pStyle w:val="Compact"/>
        <w:numPr>
          <w:ilvl w:val="0"/>
          <w:numId w:val="1008"/>
        </w:numPr>
      </w:pPr>
      <w:r>
        <w:t xml:space="preserve">Dividend-growth outlook;</w:t>
      </w:r>
    </w:p>
    <w:p>
      <w:pPr>
        <w:pStyle w:val="Compact"/>
        <w:numPr>
          <w:ilvl w:val="0"/>
          <w:numId w:val="1008"/>
        </w:numPr>
      </w:pPr>
      <w:r>
        <w:t xml:space="preserve">Capital-expenditure pacing, especially for CoreSite;</w:t>
      </w:r>
    </w:p>
    <w:p>
      <w:pPr>
        <w:pStyle w:val="Compact"/>
        <w:numPr>
          <w:ilvl w:val="0"/>
          <w:numId w:val="1008"/>
        </w:numPr>
      </w:pPr>
      <w:r>
        <w:t xml:space="preserve">Net leverage and debt-maturity management.</w:t>
      </w:r>
    </w:p>
    <w:p>
      <w:pPr>
        <w:pStyle w:val="FirstParagraph"/>
      </w:pPr>
      <w:r>
        <w:t xml:space="preserve">AMT ended 1Q with</w:t>
      </w:r>
      <w:r>
        <w:t xml:space="preserve"> </w:t>
      </w:r>
      <m:oMath>
        <m:r>
          <m:t>37.3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t</m:t>
        </m:r>
        <m:r>
          <m:t>o</m:t>
        </m:r>
        <m:r>
          <m:t>t</m:t>
        </m:r>
        <m:r>
          <m:t>a</m:t>
        </m:r>
        <m:r>
          <m:t>l</m:t>
        </m:r>
        <m:r>
          <m:t>d</m:t>
        </m:r>
        <m:r>
          <m:t>e</m:t>
        </m:r>
        <m:r>
          <m:t>b</m:t>
        </m:r>
        <m:r>
          <m:t>t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1.6 billion of cash</w:t>
      </w:r>
      <w:r>
        <w:t xml:space="preserve">, and</w:t>
      </w:r>
      <w:r>
        <w:t xml:space="preserve"> </w:t>
      </w:r>
      <w:r>
        <w:rPr>
          <w:b/>
          <w:bCs/>
        </w:rPr>
        <w:t xml:space="preserve">4.9x net leverage</w:t>
      </w:r>
      <w:r>
        <w:t xml:space="preserve">. It repaid $500 million of notes in February and another</w:t>
      </w:r>
      <w:r>
        <w:t xml:space="preserve"> </w:t>
      </w:r>
      <m:oMath>
        <m:r>
          <m:t>700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i</m:t>
        </m:r>
        <m:r>
          <m:t>n</m:t>
        </m:r>
        <m:r>
          <m:t>A</m:t>
        </m:r>
        <m:r>
          <m:t>p</m:t>
        </m:r>
        <m:r>
          <m:t>r</m:t>
        </m:r>
        <m:r>
          <m:t>i</m:t>
        </m:r>
        <m:r>
          <m:t>l</m:t>
        </m:r>
        <m:r>
          <m:rPr>
            <m:sty m:val="p"/>
          </m:rPr>
          <m:t>.</m:t>
        </m:r>
        <m:r>
          <m:t>T</m:t>
        </m:r>
        <m:r>
          <m:t>h</m:t>
        </m:r>
        <m:r>
          <m:t>e</m:t>
        </m:r>
        <m:r>
          <m:t>c</m:t>
        </m:r>
        <m:r>
          <m:t>o</m:t>
        </m:r>
        <m:r>
          <m:t>m</m:t>
        </m:r>
        <m:r>
          <m:t>p</m:t>
        </m:r>
        <m:r>
          <m:t>a</m:t>
        </m:r>
        <m:r>
          <m:t>n</m:t>
        </m:r>
        <m:r>
          <m:t>y</m:t>
        </m:r>
        <m:r>
          <m:t>r</m:t>
        </m:r>
        <m:r>
          <m:t>e</m:t>
        </m:r>
        <m:r>
          <m:t>p</m:t>
        </m:r>
        <m:r>
          <m:t>u</m:t>
        </m:r>
        <m:r>
          <m:t>r</m:t>
        </m:r>
        <m:r>
          <m:t>c</m:t>
        </m:r>
        <m:r>
          <m:t>h</m:t>
        </m:r>
        <m:r>
          <m:t>a</m:t>
        </m:r>
        <m:r>
          <m:t>s</m:t>
        </m:r>
        <m:r>
          <m:t>e</m:t>
        </m:r>
        <m:r>
          <m:t>d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184 million** of stock in 1Q and another</w:t>
      </w:r>
      <w:r>
        <w:t xml:space="preserve"> </w:t>
      </w:r>
      <m:oMath>
        <m:r>
          <m:t>19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t</m:t>
        </m:r>
        <m:r>
          <m:t>h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A</m:t>
        </m:r>
        <m:r>
          <m:t>p</m:t>
        </m:r>
        <m:r>
          <m:t>r</m:t>
        </m:r>
        <m:r>
          <m:t>i</m:t>
        </m:r>
        <m:r>
          <m:t>l</m:t>
        </m:r>
        <m:r>
          <m:t>21</m:t>
        </m:r>
        <m:r>
          <m:rPr>
            <m:sty m:val="p"/>
          </m:rPr>
          <m:t>;</m:t>
        </m:r>
        <m:r>
          <m:t>c</m:t>
        </m:r>
        <m:r>
          <m:t>u</m:t>
        </m:r>
        <m:r>
          <m:t>m</m:t>
        </m:r>
        <m:r>
          <m:t>u</m:t>
        </m:r>
        <m:r>
          <m:t>l</m:t>
        </m:r>
        <m:r>
          <m:t>a</m:t>
        </m:r>
        <m:r>
          <m:t>t</m:t>
        </m:r>
        <m:r>
          <m:t>i</m:t>
        </m:r>
        <m:r>
          <m:t>v</m:t>
        </m:r>
        <m:r>
          <m:t>e</m:t>
        </m:r>
        <m:r>
          <m:t>r</m:t>
        </m:r>
        <m:r>
          <m:t>e</m:t>
        </m:r>
        <m:r>
          <m:t>p</m:t>
        </m:r>
        <m:r>
          <m:t>u</m:t>
        </m:r>
        <m:r>
          <m:t>r</m:t>
        </m:r>
        <m:r>
          <m:t>c</m:t>
        </m:r>
        <m:r>
          <m:t>h</m:t>
        </m:r>
        <m:r>
          <m:t>a</m:t>
        </m:r>
        <m:r>
          <m:t>s</m:t>
        </m:r>
        <m:r>
          <m:t>e</m:t>
        </m:r>
        <m:r>
          <m:t>s</m:t>
        </m:r>
        <m:r>
          <m:t>s</m:t>
        </m:r>
        <m:r>
          <m:t>i</m:t>
        </m:r>
        <m:r>
          <m:t>n</m:t>
        </m:r>
        <m:r>
          <m:t>c</m:t>
        </m:r>
        <m:r>
          <m:t>e</m:t>
        </m:r>
        <m:r>
          <m:t>4</m:t>
        </m:r>
        <m:r>
          <m:t>Q</m:t>
        </m:r>
        <m:r>
          <m:t>25</m:t>
        </m:r>
        <m:r>
          <m:t>e</m:t>
        </m:r>
        <m:r>
          <m:t>x</m:t>
        </m:r>
        <m:r>
          <m:t>c</m:t>
        </m:r>
        <m:r>
          <m:t>e</m:t>
        </m:r>
        <m:r>
          <m:t>e</m:t>
        </m:r>
        <m:r>
          <m:t>d</m:t>
        </m:r>
        <m:r>
          <m:t>e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565 million</w:t>
      </w:r>
      <w:r>
        <w:t xml:space="preserve"> </w:t>
      </w:r>
      <w:r>
        <w:t xml:space="preserve">at that point. The quarterly dividend was raised</w:t>
      </w:r>
      <w:r>
        <w:t xml:space="preserve"> </w:t>
      </w:r>
      <w:r>
        <w:rPr>
          <w:b/>
          <w:bCs/>
        </w:rPr>
        <w:t xml:space="preserve">5.3% year over year</w:t>
      </w:r>
      <w:r>
        <w:t xml:space="preserve"> </w:t>
      </w:r>
      <w:r>
        <w:t xml:space="preserve">to</w:t>
      </w:r>
      <w:r>
        <w:t xml:space="preserve"> </w:t>
      </w:r>
      <w:r>
        <w:rPr>
          <w:b/>
          <w:bCs/>
        </w:rPr>
        <w:t xml:space="preserve">$1.79/share</w:t>
      </w:r>
      <w:r>
        <w:t xml:space="preserve">.</w:t>
      </w:r>
    </w:p>
    <w:p>
      <w:pPr>
        <w:pStyle w:val="BodyText"/>
      </w:pPr>
      <w:r>
        <w:t xml:space="preserve">This capital-allocation flexibility is an underappreciated part of the setup. With leverage below 5x, AMT can fund the dividend, pursue high-return CoreSite development, repurchase shares opportunistically, and retain optionality for M&amp;A or further deleveraging.</w:t>
      </w:r>
    </w:p>
    <w:p>
      <w:r>
        <w:pict>
          <v:rect style="width:0;height:1.5pt" o:hralign="center" o:hrstd="t" o:hr="t"/>
        </w:pict>
      </w:r>
    </w:p>
    <w:bookmarkEnd w:id="15"/>
    <w:bookmarkStart w:id="16" w:name="what-investors-should-ask-on-the-call"/>
    <w:p>
      <w:pPr>
        <w:pStyle w:val="Heading2"/>
      </w:pPr>
      <w:r>
        <w:t xml:space="preserve">What investors should ask on the call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U.S. towers:</w:t>
      </w:r>
      <w:r>
        <w:t xml:space="preserve"> </w:t>
      </w:r>
      <w:r>
        <w:t xml:space="preserve">What was organic tenant-billings growth excluding DISH in 2Q, and has normalized carrier activity changed since 1Q?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DISH:</w:t>
      </w:r>
      <w:r>
        <w:t xml:space="preserve"> </w:t>
      </w:r>
      <w:r>
        <w:t xml:space="preserve">Is all expected 2026 DISH churn now reflected in guidance? Does AMT see any change in the timing or recoverability of its contractual claims?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Brazil:</w:t>
      </w:r>
      <w:r>
        <w:t xml:space="preserve"> </w:t>
      </w:r>
      <w:r>
        <w:t xml:space="preserve">Have cancellations and amendments tracked expectations? Is the expected 2027 recovery still intact?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CoreSite:</w:t>
      </w:r>
      <w:r>
        <w:t xml:space="preserve"> </w:t>
      </w:r>
      <w:r>
        <w:t xml:space="preserve">What are the latest booking, interconnection, utilization, pricing, and AI-inference trends?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Capex:</w:t>
      </w:r>
      <w:r>
        <w:t xml:space="preserve"> </w:t>
      </w:r>
      <w:r>
        <w:t xml:space="preserve">Is data-center development spend still on track for roughly $695 million in 2026, and are returns/power availability unchanged?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AFFO cadence:</w:t>
      </w:r>
      <w:r>
        <w:t xml:space="preserve"> </w:t>
      </w:r>
      <w:r>
        <w:t xml:space="preserve">Does management still expect stronger year-over-year AFFO/share growth in the second half?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Capital returns:</w:t>
      </w:r>
      <w:r>
        <w:t xml:space="preserve"> </w:t>
      </w:r>
      <w:r>
        <w:t xml:space="preserve">Has AMT continued repurchasing stock, and how does management weigh buybacks against data-center investment, deleveraging, and M&amp;A?</w:t>
      </w:r>
    </w:p>
    <w:p>
      <w:r>
        <w:pict>
          <v:rect style="width:0;height:1.5pt" o:hralign="center" o:hrstd="t" o:hr="t"/>
        </w:pict>
      </w:r>
    </w:p>
    <w:bookmarkEnd w:id="16"/>
    <w:bookmarkStart w:id="17" w:name="near-term-catalysts"/>
    <w:p>
      <w:pPr>
        <w:pStyle w:val="Heading2"/>
      </w:pPr>
      <w:r>
        <w:t xml:space="preserve">Near-term catalysts</w:t>
      </w:r>
    </w:p>
    <w:p>
      <w:pPr>
        <w:pStyle w:val="Compact"/>
        <w:numPr>
          <w:ilvl w:val="0"/>
          <w:numId w:val="1010"/>
        </w:numPr>
      </w:pPr>
      <w:r>
        <w:t xml:space="preserve">Better-than-expected normalized U.S. tower organic growth;</w:t>
      </w:r>
    </w:p>
    <w:p>
      <w:pPr>
        <w:pStyle w:val="Compact"/>
        <w:numPr>
          <w:ilvl w:val="0"/>
          <w:numId w:val="1010"/>
        </w:numPr>
      </w:pPr>
      <w:r>
        <w:t xml:space="preserve">A cleaner-than-feared Brazil churn trajectory;</w:t>
      </w:r>
    </w:p>
    <w:p>
      <w:pPr>
        <w:pStyle w:val="Compact"/>
        <w:numPr>
          <w:ilvl w:val="0"/>
          <w:numId w:val="1010"/>
        </w:numPr>
      </w:pPr>
      <w:r>
        <w:t xml:space="preserve">CoreSite bookings and interconnection growth exceeding the 13% full-year growth framework;</w:t>
      </w:r>
    </w:p>
    <w:p>
      <w:pPr>
        <w:pStyle w:val="Compact"/>
        <w:numPr>
          <w:ilvl w:val="0"/>
          <w:numId w:val="1010"/>
        </w:numPr>
      </w:pPr>
      <w:r>
        <w:t xml:space="preserve">A guidance increase driven by operating performance rather than FX;</w:t>
      </w:r>
    </w:p>
    <w:p>
      <w:pPr>
        <w:pStyle w:val="Compact"/>
        <w:numPr>
          <w:ilvl w:val="0"/>
          <w:numId w:val="1010"/>
        </w:numPr>
      </w:pPr>
      <w:r>
        <w:t xml:space="preserve">Incremental share repurchases;</w:t>
      </w:r>
    </w:p>
    <w:p>
      <w:pPr>
        <w:pStyle w:val="Compact"/>
        <w:numPr>
          <w:ilvl w:val="0"/>
          <w:numId w:val="1010"/>
        </w:numPr>
      </w:pPr>
      <w:r>
        <w:t xml:space="preserve">Evidence that newly available spectrum and future 6G-related densification can create a new tower-leasing cycle.</w:t>
      </w:r>
    </w:p>
    <w:bookmarkEnd w:id="17"/>
    <w:bookmarkStart w:id="18" w:name="principal-risks"/>
    <w:p>
      <w:pPr>
        <w:pStyle w:val="Heading2"/>
      </w:pPr>
      <w:r>
        <w:t xml:space="preserve">Principal risks</w:t>
      </w:r>
    </w:p>
    <w:p>
      <w:pPr>
        <w:pStyle w:val="Compact"/>
        <w:numPr>
          <w:ilvl w:val="0"/>
          <w:numId w:val="1011"/>
        </w:numPr>
      </w:pPr>
      <w:r>
        <w:t xml:space="preserve">Underlying U.S. carrier activity fails to offset the loss of DISH-related revenue.</w:t>
      </w:r>
    </w:p>
    <w:p>
      <w:pPr>
        <w:pStyle w:val="Compact"/>
        <w:numPr>
          <w:ilvl w:val="0"/>
          <w:numId w:val="1011"/>
        </w:numPr>
      </w:pPr>
      <w:r>
        <w:t xml:space="preserve">Brazil churn remains elevated longer than management anticipates.</w:t>
      </w:r>
    </w:p>
    <w:p>
      <w:pPr>
        <w:pStyle w:val="Compact"/>
        <w:numPr>
          <w:ilvl w:val="0"/>
          <w:numId w:val="1011"/>
        </w:numPr>
      </w:pPr>
      <w:r>
        <w:t xml:space="preserve">CoreSite growth requires more capex, faces power/permitting constraints, or produces lower-than-expected returns.</w:t>
      </w:r>
    </w:p>
    <w:p>
      <w:pPr>
        <w:pStyle w:val="Compact"/>
        <w:numPr>
          <w:ilvl w:val="0"/>
          <w:numId w:val="1011"/>
        </w:numPr>
      </w:pPr>
      <w:r>
        <w:t xml:space="preserve">Higher rates increase financing costs and pressure REIT valuation multiples.</w:t>
      </w:r>
    </w:p>
    <w:p>
      <w:pPr>
        <w:pStyle w:val="Compact"/>
        <w:numPr>
          <w:ilvl w:val="0"/>
          <w:numId w:val="1011"/>
        </w:numPr>
      </w:pPr>
      <w:r>
        <w:t xml:space="preserve">FX volatility continues to obscure underlying operating performance.</w:t>
      </w:r>
    </w:p>
    <w:p>
      <w:pPr>
        <w:pStyle w:val="Compact"/>
        <w:numPr>
          <w:ilvl w:val="0"/>
          <w:numId w:val="1011"/>
        </w:numPr>
      </w:pPr>
      <w:r>
        <w:t xml:space="preserve">AMT’s DISH contractual recovery proves slower, smaller, or more uncertain than investors expect.</w:t>
      </w:r>
    </w:p>
    <w:p>
      <w:r>
        <w:pict>
          <v:rect style="width:0;height:1.5pt" o:hralign="center" o:hrstd="t" o:hr="t"/>
        </w:pict>
      </w:r>
    </w:p>
    <w:bookmarkEnd w:id="18"/>
    <w:bookmarkStart w:id="19" w:name="positioning-into-the-print"/>
    <w:p>
      <w:pPr>
        <w:pStyle w:val="Heading2"/>
      </w:pPr>
      <w:r>
        <w:t xml:space="preserve">Positioning into the print</w:t>
      </w:r>
    </w:p>
    <w:p>
      <w:pPr>
        <w:pStyle w:val="FirstParagraph"/>
      </w:pPr>
      <w:r>
        <w:t xml:space="preserve">AMT shares closed at</w:t>
      </w:r>
      <w:r>
        <w:t xml:space="preserve"> </w:t>
      </w:r>
      <w:r>
        <w:rPr>
          <w:b/>
          <w:bCs/>
        </w:rPr>
        <w:t xml:space="preserve">$166.77 on July 27</w:t>
      </w:r>
      <w:r>
        <w:t xml:space="preserve">, down roughly</w:t>
      </w:r>
      <w:r>
        <w:t xml:space="preserve"> </w:t>
      </w:r>
      <w:r>
        <w:rPr>
          <w:b/>
          <w:bCs/>
        </w:rPr>
        <w:t xml:space="preserve">6.5%</w:t>
      </w:r>
      <w:r>
        <w:t xml:space="preserve"> </w:t>
      </w:r>
      <w:r>
        <w:t xml:space="preserve">from the April 28 close following 1Q earnings. That performance suggests investors remain focused on the persistence of tower-sector growth, interest-rate sensitivity, and the uncertainty around DISH and Latin America.</w:t>
      </w:r>
    </w:p>
    <w:p>
      <w:pPr>
        <w:pStyle w:val="BodyText"/>
      </w:pPr>
      <w:r>
        <w:t xml:space="preserve">The earnings setup is therefore less about a single-quarter “beat” and more about confirmation of the narrative:</w:t>
      </w:r>
    </w:p>
    <w:p>
      <w:pPr>
        <w:pStyle w:val="BlockText"/>
      </w:pPr>
      <w:r>
        <w:rPr>
          <w:b/>
          <w:bCs/>
        </w:rPr>
        <w:t xml:space="preserve">AMT needs to show that 2026 is a transitional year with temporary churn and accounting/FX noise—not evidence of a structurally slower tower business.</w:t>
      </w:r>
    </w:p>
    <w:p>
      <w:pPr>
        <w:pStyle w:val="FirstParagraph"/>
      </w:pPr>
      <w:r>
        <w:t xml:space="preserve">If the company can validate normalized U.S. mid-single-digit leasing, stabilize Latin America, sustain CoreSite’s double-digit growth, and reiterate its path to stronger back-half AFFO/share growth, the report should reinforce the longer-term case for a higher-quality, more diversified digital-infrastructure REIT.</w:t>
      </w:r>
    </w:p>
    <w:p>
      <w:pPr>
        <w:pStyle w:val="BodyText"/>
      </w:pPr>
      <w:r>
        <w:rPr>
          <w:i/>
          <w:iCs/>
        </w:rPr>
        <w:t xml:space="preserve">Sources: American Tower 1Q26 earnings release and earnings-call transcript dated April 28, 2026; AMT presentation at the MoffettNathanson conference dated May 14, 2026; AMT share-price data through July 27, 2026.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2026-07-28T00:24:17Z</dcterms:created>
  <dcterms:modified xsi:type="dcterms:W3CDTF">2026-07-28T00:24:17Z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