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American Tower Corporation (AMT)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American Tower Corporation</w:t>
            </w:r>
          </w:p>
        </w:tc>
      </w:tr>
      <w:tr>
        <w:tc>
          <w:tcPr>
            <w:tcW w:type="dxa" w:w="4320"/>
          </w:tcPr>
          <w:p>
            <w:r>
              <w:rPr>
                <w:rFonts w:ascii="Calibri" w:hAnsi="Calibri"/>
                <w:b/>
                <w:sz w:val="22"/>
              </w:rPr>
              <w:t>Ticker</w:t>
            </w:r>
          </w:p>
        </w:tc>
        <w:tc>
          <w:tcPr>
            <w:tcW w:type="dxa" w:w="4320"/>
          </w:tcPr>
          <w:p>
            <w:r>
              <w:rPr>
                <w:rFonts w:ascii="Calibri" w:hAnsi="Calibri"/>
                <w:sz w:val="22"/>
              </w:rPr>
              <w:t>AMT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28, 2026 — Before Market Open</w:t>
            </w:r>
          </w:p>
        </w:tc>
      </w:tr>
      <w:tr>
        <w:tc>
          <w:tcPr>
            <w:tcW w:type="dxa" w:w="4320"/>
          </w:tcPr>
          <w:p>
            <w:r>
              <w:rPr>
                <w:rFonts w:ascii="Calibri" w:hAnsi="Calibri"/>
                <w:b/>
                <w:sz w:val="22"/>
              </w:rPr>
              <w:t>Prepared</w:t>
            </w:r>
          </w:p>
        </w:tc>
        <w:tc>
          <w:tcPr>
            <w:tcW w:type="dxa" w:w="4320"/>
          </w:tcPr>
          <w:p>
            <w:r>
              <w:rPr>
                <w:rFonts w:ascii="Calibri" w:hAnsi="Calibri"/>
                <w:sz w:val="22"/>
              </w:rPr>
              <w:t>July 27, 2026</w:t>
            </w:r>
          </w:p>
        </w:tc>
      </w:tr>
      <w:tr>
        <w:tc>
          <w:tcPr>
            <w:tcW w:type="dxa" w:w="4320"/>
          </w:tcPr>
          <w:p>
            <w:r>
              <w:rPr>
                <w:rFonts w:ascii="Calibri" w:hAnsi="Calibri"/>
                <w:b/>
                <w:sz w:val="22"/>
              </w:rPr>
              <w:t>Sector ETF Benchmark</w:t>
            </w:r>
          </w:p>
        </w:tc>
        <w:tc>
          <w:tcPr>
            <w:tcW w:type="dxa" w:w="4320"/>
          </w:tcPr>
          <w:p>
            <w:r>
              <w:rPr>
                <w:rFonts w:ascii="Calibri" w:hAnsi="Calibri"/>
                <w:sz w:val="22"/>
              </w:rPr>
              <w:t>RWR (SPDR Dow Jones REIT ETF)</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mixed-to-cautiously-positive — consensus is a manageable bar on AFFO per share, but the stock has already de-rated ~6.5% since Q1 earnings and the biggest swing factor is whether organic tenant billings growth (ex-DISH) shows any acceleration above the ~4% guided rate.</w:t>
      </w:r>
    </w:p>
    <w:p>
      <w:r>
        <w:rPr>
          <w:rFonts w:ascii="Calibri" w:hAnsi="Calibri"/>
          <w:color w:val="525866"/>
          <w:sz w:val="22"/>
        </w:rPr>
        <w:t xml:space="preserve">Heading into Q2 2026, AMT faces a consensus AFFO per share estimate of ~$2.72 against a Q1 2026 actual of $2.84 — a bar that implies modest sequential deceleration, consistent with management's own guidance that AFFO per share growth will be back-half weighted due to maintenance CapEx and cash tax timing. </w:t>
      </w:r>
      <w:r>
        <w:rPr>
          <w:rFonts w:ascii="Calibri" w:hAnsi="Calibri"/>
          <w:b/>
          <w:color w:val="525866"/>
          <w:sz w:val="22"/>
        </w:rPr>
        <w:t>Management's tone since the April 28 Q1 print has been decidedly constructive</w:t>
      </w:r>
      <w:r>
        <w:rPr>
          <w:rFonts w:ascii="Calibri" w:hAnsi="Calibri"/>
          <w:color w:val="525866"/>
          <w:sz w:val="22"/>
        </w:rPr>
        <w:t xml:space="preserve">: CoreSite CapEx was raised from ~$200M to ~$800M annually (disclosed at the May Moffett Nathanson conference), interconnection activity inflected in Q1, and the company reiterated its 200–300 bps cash EBITDA margin expansion target through 2030. Estimate revisions have been essentially flat since the Q1 print — the FY 2026 AFFO per share consensus sits at $11.01 vs. $11.02 at the post-Q1 baseline — suggesting the street has largely digested the guidance raise and is not pricing in incremental upside. </w:t>
      </w:r>
      <w:r>
        <w:rPr>
          <w:rFonts w:ascii="Calibri" w:hAnsi="Calibri"/>
          <w:b/>
          <w:color w:val="525866"/>
          <w:sz w:val="22"/>
        </w:rPr>
        <w:t>The stock has underperformed both the REIT ETF (RWR +8.8%) and the S&amp;P 500 (+3.8%) since Q1 earnings, declining ~6.5%</w:t>
      </w:r>
      <w:r>
        <w:rPr>
          <w:rFonts w:ascii="Calibri" w:hAnsi="Calibri"/>
          <w:color w:val="525866"/>
          <w:sz w:val="22"/>
        </w:rPr>
        <w:t>, which means the multiple has compressed and the setup is not one where a beat is already priced in. The key wildcard is the DISH/EchoStar litigation: the FCC-mandated $2.4B escrow tied to the AT&amp;T spectrum transaction closing could represent meaningful upside to guidance if any proceeds flow to AMT, and any update on timing or quantum would likely be the single biggest stock catalyst on the call.</w:t>
      </w:r>
    </w:p>
    <w:p>
      <w:r>
        <w:rPr>
          <w:rFonts w:ascii="Calibri" w:hAnsi="Calibri"/>
          <w:b/>
          <w:color w:val="525866"/>
          <w:sz w:val="22"/>
        </w:rPr>
        <w:t xml:space="preserve">Bar: </w:t>
      </w:r>
      <w:r>
        <w:rPr>
          <w:rFonts w:ascii="Calibri" w:hAnsi="Calibri"/>
          <w:color w:val="525866"/>
          <w:sz w:val="22"/>
        </w:rPr>
        <w:t>Consensus AFFO per share of ~$2.72 for Q2 2026 is a low-to-moderate bar — AMT has beaten AFFO estimates in each of the last several quarters, and the Q1 beat was substantial ($2.84 vs. ~$2.73 consensus). Revenue consensus of ~$2.71B implies modest YoY growth, consistent with DISH churn headwinds masking underlying ~5% cash FX-neutral growth.</w:t>
      </w:r>
    </w:p>
    <w:p>
      <w:r>
        <w:rPr>
          <w:rFonts w:ascii="Calibri" w:hAnsi="Calibri"/>
          <w:b/>
          <w:color w:val="525866"/>
          <w:sz w:val="22"/>
        </w:rPr>
        <w:t xml:space="preserve">Guidance/Tone: </w:t>
      </w:r>
      <w:r>
        <w:rPr>
          <w:rFonts w:ascii="Calibri" w:hAnsi="Calibri"/>
          <w:color w:val="525866"/>
          <w:sz w:val="22"/>
        </w:rPr>
        <w:t>Management has been increasingly confident since Q1 — CoreSite CapEx tripled, buybacks exceeded $565M since Q4 2024, and the 6G densification thesis was amplified at multiple conferences. No formal guidance revision has been issued post-Q1, but qualitative tone has shifted more bullish on CoreSite and edge compute.</w:t>
      </w:r>
    </w:p>
    <w:p>
      <w:r>
        <w:rPr>
          <w:rFonts w:ascii="Calibri" w:hAnsi="Calibri"/>
          <w:b/>
          <w:color w:val="525866"/>
          <w:sz w:val="22"/>
        </w:rPr>
        <w:t xml:space="preserve">Estimate Trajectory: </w:t>
      </w:r>
      <w:r>
        <w:rPr>
          <w:rFonts w:ascii="Calibri" w:hAnsi="Calibri"/>
          <w:color w:val="525866"/>
          <w:sz w:val="22"/>
        </w:rPr>
        <w:t>Revisions are essentially flat since Q1 earnings — FY 2026 AFFO per share consensus moved from $11.02 (post-Q1 baseline) to $11.01 currently, and Q2 2026 AFFO per share moved from $2.72 to $2.72. No divergence from guidance; estimates are tracking the raised guidance midpoint closely.</w:t>
      </w:r>
    </w:p>
    <w:p>
      <w:r>
        <w:rPr>
          <w:rFonts w:ascii="Calibri" w:hAnsi="Calibri"/>
          <w:b/>
          <w:color w:val="525866"/>
          <w:sz w:val="22"/>
        </w:rPr>
        <w:t xml:space="preserve">Stock Setup: </w:t>
      </w:r>
      <w:r>
        <w:rPr>
          <w:rFonts w:ascii="Calibri" w:hAnsi="Calibri"/>
          <w:color w:val="525866"/>
          <w:sz w:val="22"/>
        </w:rPr>
        <w:t>AMT has declined ~6.5% since Q1 earnings vs. RWR +8.8% and SPY +3.8%, representing meaningful multiple compression. The stock is not pricing in a beat — it is pricing in continued DISH-related headwinds and macro rate sensitivity. A clean beat with any positive DISH/escrow update could drive a sharp re-rating.</w:t>
      </w:r>
    </w:p>
    <w:p>
      <w:r>
        <w:rPr>
          <w:rFonts w:ascii="Calibri" w:hAnsi="Calibri"/>
          <w:b/>
          <w:color w:val="525866"/>
          <w:sz w:val="22"/>
        </w:rPr>
        <w:t xml:space="preserve">Wildcard: </w:t>
      </w:r>
      <w:r>
        <w:rPr>
          <w:rFonts w:ascii="Calibri" w:hAnsi="Calibri"/>
          <w:color w:val="525866"/>
          <w:sz w:val="22"/>
        </w:rPr>
        <w:t>The $2.4B EchoStar/AT&amp;T escrow account — funded upon AT&amp;T spectrum transaction close — is the single biggest binary event. Any update on timing, AMT's claim size, or early distributions would be incremental upside to guidance (DISH is fully excluded from AMT's numbers). Additionally, any acceleration in U.S. organic tenant billings growth above the ~5% ex-DISH guided rate would be a positive surprise.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manageable bar on AFFO per share (~$2.72 vs. $2.84 Q1 actual), but organic tenant billings growth (~1.4% consensus) remains the bigger swing factor — any acceleration above the ~4% ex-DISH rate would be the most meaningful positive signal for the stock.</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 (Midpoint)</w:t>
            </w:r>
          </w:p>
        </w:tc>
        <w:tc>
          <w:tcPr>
            <w:tcW w:type="dxa" w:w="1234"/>
            <w:shd w:val="clear" w:color="auto" w:fill="3B4259"/>
          </w:tcPr>
          <w:p>
            <w:r>
              <w:rPr>
                <w:rFonts w:ascii="Calibri" w:hAnsi="Calibri"/>
                <w:b/>
                <w:color w:val="FFFFFF"/>
                <w:sz w:val="22"/>
              </w:rPr>
              <w:t>Consensus vs. Guidance (%)</w:t>
            </w:r>
          </w:p>
        </w:tc>
      </w:tr>
      <w:tr>
        <w:tc>
          <w:tcPr>
            <w:tcW w:type="dxa" w:w="1234"/>
          </w:tcPr>
          <w:p>
            <w:r>
              <w:rPr>
                <w:rFonts w:ascii="Calibri" w:hAnsi="Calibri"/>
                <w:sz w:val="22"/>
              </w:rPr>
              <w:t>AFFO per Share (Attributable to AMT)</w:t>
            </w:r>
          </w:p>
        </w:tc>
        <w:tc>
          <w:tcPr>
            <w:tcW w:type="dxa" w:w="1234"/>
          </w:tcPr>
          <w:p>
            <w:r>
              <w:rPr>
                <w:rFonts w:ascii="Calibri" w:hAnsi="Calibri"/>
                <w:sz w:val="22"/>
              </w:rPr>
              <w:t>$2.84</w:t>
            </w:r>
          </w:p>
        </w:tc>
        <w:tc>
          <w:tcPr>
            <w:tcW w:type="dxa" w:w="1234"/>
          </w:tcPr>
          <w:p>
            <w:r>
              <w:rPr>
                <w:rFonts w:ascii="Calibri" w:hAnsi="Calibri"/>
                <w:sz w:val="22"/>
              </w:rPr>
              <w:t>$2.60</w:t>
            </w:r>
          </w:p>
        </w:tc>
        <w:tc>
          <w:tcPr>
            <w:tcW w:type="dxa" w:w="1234"/>
          </w:tcPr>
          <w:p>
            <w:r>
              <w:rPr>
                <w:rFonts w:ascii="Calibri" w:hAnsi="Calibri"/>
                <w:sz w:val="22"/>
              </w:rPr>
              <w:t>$2.72</w:t>
            </w:r>
          </w:p>
        </w:tc>
        <w:tc>
          <w:tcPr>
            <w:tcW w:type="dxa" w:w="1234"/>
          </w:tcPr>
          <w:p>
            <w:r>
              <w:rPr>
                <w:rFonts w:ascii="Calibri" w:hAnsi="Calibri"/>
                <w:sz w:val="22"/>
              </w:rPr>
              <w:t>+4.5% YoY</w:t>
            </w:r>
          </w:p>
        </w:tc>
        <w:tc>
          <w:tcPr>
            <w:tcW w:type="dxa" w:w="1234"/>
          </w:tcPr>
          <w:p>
            <w:r>
              <w:rPr>
                <w:rFonts w:ascii="Calibri" w:hAnsi="Calibri"/>
                <w:sz w:val="22"/>
              </w:rPr>
              <w:t>$10.99 FY (implied ~$2.72–$2.75/Q avg)</w:t>
            </w:r>
          </w:p>
        </w:tc>
        <w:tc>
          <w:tcPr>
            <w:tcW w:type="dxa" w:w="1234"/>
          </w:tcPr>
          <w:p>
            <w:r>
              <w:rPr>
                <w:rFonts w:ascii="Calibri" w:hAnsi="Calibri"/>
                <w:sz w:val="22"/>
              </w:rPr>
              <w:t>~+1% above FY midpoint run-rate</w:t>
            </w:r>
          </w:p>
        </w:tc>
      </w:tr>
      <w:tr>
        <w:tc>
          <w:tcPr>
            <w:tcW w:type="dxa" w:w="1234"/>
          </w:tcPr>
          <w:p>
            <w:r>
              <w:rPr>
                <w:rFonts w:ascii="Calibri" w:hAnsi="Calibri"/>
                <w:sz w:val="22"/>
              </w:rPr>
              <w:t>Total Property Revenue</w:t>
            </w:r>
          </w:p>
        </w:tc>
        <w:tc>
          <w:tcPr>
            <w:tcW w:type="dxa" w:w="1234"/>
          </w:tcPr>
          <w:p>
            <w:r>
              <w:rPr>
                <w:rFonts w:ascii="Calibri" w:hAnsi="Calibri"/>
                <w:sz w:val="22"/>
              </w:rPr>
              <w:t>$2,737.5M</w:t>
            </w:r>
          </w:p>
        </w:tc>
        <w:tc>
          <w:tcPr>
            <w:tcW w:type="dxa" w:w="1234"/>
          </w:tcPr>
          <w:p>
            <w:r>
              <w:rPr>
                <w:rFonts w:ascii="Calibri" w:hAnsi="Calibri"/>
                <w:sz w:val="22"/>
              </w:rPr>
              <w:t>$2,626.9M</w:t>
            </w:r>
          </w:p>
        </w:tc>
        <w:tc>
          <w:tcPr>
            <w:tcW w:type="dxa" w:w="1234"/>
          </w:tcPr>
          <w:p>
            <w:r>
              <w:rPr>
                <w:rFonts w:ascii="Calibri" w:hAnsi="Calibri"/>
                <w:sz w:val="22"/>
              </w:rPr>
              <w:t>$2,706.5M</w:t>
            </w:r>
          </w:p>
        </w:tc>
        <w:tc>
          <w:tcPr>
            <w:tcW w:type="dxa" w:w="1234"/>
          </w:tcPr>
          <w:p>
            <w:r>
              <w:rPr>
                <w:rFonts w:ascii="Calibri" w:hAnsi="Calibri"/>
                <w:sz w:val="22"/>
              </w:rPr>
              <w:t>+3.0% YoY</w:t>
            </w:r>
          </w:p>
        </w:tc>
        <w:tc>
          <w:tcPr>
            <w:tcW w:type="dxa" w:w="1234"/>
          </w:tcPr>
          <w:p>
            <w:r>
              <w:rPr>
                <w:rFonts w:ascii="Calibri" w:hAnsi="Calibri"/>
                <w:sz w:val="22"/>
              </w:rPr>
              <w:t>~$10,954M FY (implied ~$2,700M/Q avg)</w:t>
            </w:r>
          </w:p>
        </w:tc>
        <w:tc>
          <w:tcPr>
            <w:tcW w:type="dxa" w:w="1234"/>
          </w:tcPr>
          <w:p>
            <w:r>
              <w:rPr>
                <w:rFonts w:ascii="Calibri" w:hAnsi="Calibri"/>
                <w:sz w:val="22"/>
              </w:rPr>
              <w:t>~+0.2% above FY run-rate</w:t>
            </w:r>
          </w:p>
        </w:tc>
      </w:tr>
      <w:tr>
        <w:tc>
          <w:tcPr>
            <w:tcW w:type="dxa" w:w="1234"/>
          </w:tcPr>
          <w:p>
            <w:r>
              <w:rPr>
                <w:rFonts w:ascii="Calibri" w:hAnsi="Calibri"/>
                <w:sz w:val="22"/>
              </w:rPr>
              <w:t>Adjusted EBITDA</w:t>
            </w:r>
          </w:p>
        </w:tc>
        <w:tc>
          <w:tcPr>
            <w:tcW w:type="dxa" w:w="1234"/>
          </w:tcPr>
          <w:p>
            <w:r>
              <w:rPr>
                <w:rFonts w:ascii="Calibri" w:hAnsi="Calibri"/>
                <w:sz w:val="22"/>
              </w:rPr>
              <w:t>$1,835.2M</w:t>
            </w:r>
          </w:p>
        </w:tc>
        <w:tc>
          <w:tcPr>
            <w:tcW w:type="dxa" w:w="1234"/>
          </w:tcPr>
          <w:p>
            <w:r>
              <w:rPr>
                <w:rFonts w:ascii="Calibri" w:hAnsi="Calibri"/>
                <w:sz w:val="22"/>
              </w:rPr>
              <w:t>$1,751.8M</w:t>
            </w:r>
          </w:p>
        </w:tc>
        <w:tc>
          <w:tcPr>
            <w:tcW w:type="dxa" w:w="1234"/>
          </w:tcPr>
          <w:p>
            <w:r>
              <w:rPr>
                <w:rFonts w:ascii="Calibri" w:hAnsi="Calibri"/>
                <w:sz w:val="22"/>
              </w:rPr>
              <w:t>$1,789.9M</w:t>
            </w:r>
          </w:p>
        </w:tc>
        <w:tc>
          <w:tcPr>
            <w:tcW w:type="dxa" w:w="1234"/>
          </w:tcPr>
          <w:p>
            <w:r>
              <w:rPr>
                <w:rFonts w:ascii="Calibri" w:hAnsi="Calibri"/>
                <w:sz w:val="22"/>
              </w:rPr>
              <w:t>+2.2% YoY</w:t>
            </w:r>
          </w:p>
        </w:tc>
        <w:tc>
          <w:tcPr>
            <w:tcW w:type="dxa" w:w="1234"/>
          </w:tcPr>
          <w:p>
            <w:r>
              <w:rPr>
                <w:rFonts w:ascii="Calibri" w:hAnsi="Calibri"/>
                <w:sz w:val="22"/>
              </w:rPr>
              <w:t>~$7,247M FY (implied ~$1,812M/Q avg)</w:t>
            </w:r>
          </w:p>
        </w:tc>
        <w:tc>
          <w:tcPr>
            <w:tcW w:type="dxa" w:w="1234"/>
          </w:tcPr>
          <w:p>
            <w:r>
              <w:rPr>
                <w:rFonts w:ascii="Calibri" w:hAnsi="Calibri"/>
                <w:sz w:val="22"/>
              </w:rPr>
              <w:t>~-1.2% below FY run-rate</w:t>
            </w:r>
          </w:p>
        </w:tc>
      </w:tr>
      <w:tr>
        <w:tc>
          <w:tcPr>
            <w:tcW w:type="dxa" w:w="1234"/>
          </w:tcPr>
          <w:p>
            <w:r>
              <w:rPr>
                <w:rFonts w:ascii="Calibri" w:hAnsi="Calibri"/>
                <w:sz w:val="22"/>
              </w:rPr>
              <w:t>Organic Tenant Billings Growth (Consolidated)</w:t>
            </w:r>
          </w:p>
        </w:tc>
        <w:tc>
          <w:tcPr>
            <w:tcW w:type="dxa" w:w="1234"/>
          </w:tcPr>
          <w:p>
            <w:r>
              <w:rPr>
                <w:rFonts w:ascii="Calibri" w:hAnsi="Calibri"/>
                <w:sz w:val="22"/>
              </w:rPr>
              <w:t>~1.7% (4% ex-DISH)</w:t>
            </w:r>
          </w:p>
        </w:tc>
        <w:tc>
          <w:tcPr>
            <w:tcW w:type="dxa" w:w="1234"/>
          </w:tcPr>
          <w:p>
            <w:r>
              <w:rPr>
                <w:rFonts w:ascii="Calibri" w:hAnsi="Calibri"/>
                <w:sz w:val="22"/>
              </w:rPr>
              <w:t>~4.7%</w:t>
            </w:r>
          </w:p>
        </w:tc>
        <w:tc>
          <w:tcPr>
            <w:tcW w:type="dxa" w:w="1234"/>
          </w:tcPr>
          <w:p>
            <w:r>
              <w:rPr>
                <w:rFonts w:ascii="Calibri" w:hAnsi="Calibri"/>
                <w:sz w:val="22"/>
              </w:rPr>
              <w:t>~1.4%</w:t>
            </w:r>
          </w:p>
        </w:tc>
        <w:tc>
          <w:tcPr>
            <w:tcW w:type="dxa" w:w="1234"/>
          </w:tcPr>
          <w:p>
            <w:r>
              <w:rPr>
                <w:rFonts w:ascii="Calibri" w:hAnsi="Calibri"/>
                <w:sz w:val="22"/>
              </w:rPr>
              <w:t>-330 bps YoY (DISH drag)</w:t>
            </w:r>
          </w:p>
        </w:tc>
        <w:tc>
          <w:tcPr>
            <w:tcW w:type="dxa" w:w="1234"/>
          </w:tcPr>
          <w:p>
            <w:r>
              <w:rPr>
                <w:rFonts w:ascii="Calibri" w:hAnsi="Calibri"/>
                <w:sz w:val="22"/>
              </w:rPr>
              <w:t>~1% FY (4% ex-DISH)</w:t>
            </w:r>
          </w:p>
        </w:tc>
        <w:tc>
          <w:tcPr>
            <w:tcW w:type="dxa" w:w="1234"/>
          </w:tcPr>
          <w:p>
            <w:r>
              <w:rPr>
                <w:rFonts w:ascii="Calibri" w:hAnsi="Calibri"/>
                <w:sz w:val="22"/>
              </w:rPr>
              <w:t>~+40 bps above FY guide</w:t>
            </w:r>
          </w:p>
        </w:tc>
      </w:tr>
      <w:tr>
        <w:tc>
          <w:tcPr>
            <w:tcW w:type="dxa" w:w="1234"/>
          </w:tcPr>
          <w:p>
            <w:r>
              <w:rPr>
                <w:rFonts w:ascii="Calibri" w:hAnsi="Calibri"/>
                <w:sz w:val="22"/>
              </w:rPr>
              <w:t>Data Center Revenue (CoreSite)</w:t>
            </w:r>
          </w:p>
        </w:tc>
        <w:tc>
          <w:tcPr>
            <w:tcW w:type="dxa" w:w="1234"/>
          </w:tcPr>
          <w:p>
            <w:r>
              <w:rPr>
                <w:rFonts w:ascii="Calibri" w:hAnsi="Calibri"/>
                <w:sz w:val="22"/>
              </w:rPr>
              <w:t>$288.9M</w:t>
            </w:r>
          </w:p>
        </w:tc>
        <w:tc>
          <w:tcPr>
            <w:tcW w:type="dxa" w:w="1234"/>
          </w:tcPr>
          <w:p>
            <w:r>
              <w:rPr>
                <w:rFonts w:ascii="Calibri" w:hAnsi="Calibri"/>
                <w:sz w:val="22"/>
              </w:rPr>
              <w:t>$261.9M</w:t>
            </w:r>
          </w:p>
        </w:tc>
        <w:tc>
          <w:tcPr>
            <w:tcW w:type="dxa" w:w="1234"/>
          </w:tcPr>
          <w:p>
            <w:r>
              <w:rPr>
                <w:rFonts w:ascii="Calibri" w:hAnsi="Calibri"/>
                <w:sz w:val="22"/>
              </w:rPr>
              <w:t>$293.5M</w:t>
            </w:r>
          </w:p>
        </w:tc>
        <w:tc>
          <w:tcPr>
            <w:tcW w:type="dxa" w:w="1234"/>
          </w:tcPr>
          <w:p>
            <w:r>
              <w:rPr>
                <w:rFonts w:ascii="Calibri" w:hAnsi="Calibri"/>
                <w:sz w:val="22"/>
              </w:rPr>
              <w:t>+12.1% YoY</w:t>
            </w:r>
          </w:p>
        </w:tc>
        <w:tc>
          <w:tcPr>
            <w:tcW w:type="dxa" w:w="1234"/>
          </w:tcPr>
          <w:p>
            <w:r>
              <w:rPr>
                <w:rFonts w:ascii="Calibri" w:hAnsi="Calibri"/>
                <w:sz w:val="22"/>
              </w:rPr>
              <w:t>~$1,194M FY (~13% growth)</w:t>
            </w:r>
          </w:p>
        </w:tc>
        <w:tc>
          <w:tcPr>
            <w:tcW w:type="dxa" w:w="1234"/>
          </w:tcPr>
          <w:p>
            <w:r>
              <w:rPr>
                <w:rFonts w:ascii="Calibri" w:hAnsi="Calibri"/>
                <w:sz w:val="22"/>
              </w:rPr>
              <w:t>~+1.6% above FY run-rate</w:t>
            </w:r>
          </w:p>
        </w:tc>
      </w:tr>
    </w:tbl>
    <w:p>
      <w:r>
        <w:rPr>
          <w:rFonts w:ascii="Calibri" w:hAnsi="Calibri"/>
          <w:i/>
          <w:color w:val="525866"/>
          <w:sz w:val="22"/>
        </w:rPr>
        <w:t>Source: Visible Alpha Consensus and Actuals Data. All consensus figures as of July 27, 2026. FY 2026 guidance midpoint per Q1 2026 earnings call (April 28, 2026). YoY change computed vs. Q2 2025 actuals from Visible Alpha.</w:t>
      </w:r>
    </w:p>
    <w:p>
      <w:pPr>
        <w:pStyle w:val="Heading3"/>
      </w:pPr>
      <w:r>
        <w:rPr>
          <w:rFonts w:ascii="Calibri" w:hAnsi="Calibri"/>
          <w:b/>
          <w:color w:val="3B4259"/>
          <w:sz w:val="24"/>
        </w:rPr>
        <w:t>Table 2 — Beat/Miss History (Last 8 Quarters, Top 2 KPIs)</w:t>
      </w:r>
    </w:p>
    <w:p>
      <w:r>
        <w:rPr>
          <w:rFonts w:ascii="Calibri" w:hAnsi="Calibri"/>
          <w:b/>
          <w:color w:val="525866"/>
          <w:sz w:val="22"/>
        </w:rPr>
        <w:t>KPI 1: AFFO per Share (Attributable to AMT)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$2.84</w:t>
            </w:r>
          </w:p>
        </w:tc>
        <w:tc>
          <w:tcPr>
            <w:tcW w:type="dxa" w:w="1728"/>
          </w:tcPr>
          <w:p>
            <w:r>
              <w:rPr>
                <w:rFonts w:ascii="Calibri" w:hAnsi="Calibri"/>
                <w:sz w:val="22"/>
              </w:rPr>
              <w:t>$2.73</w:t>
            </w:r>
          </w:p>
        </w:tc>
        <w:tc>
          <w:tcPr>
            <w:tcW w:type="dxa" w:w="1728"/>
          </w:tcPr>
          <w:p>
            <w:r>
              <w:rPr>
                <w:rFonts w:ascii="Calibri" w:hAnsi="Calibri"/>
                <w:b/>
                <w:color w:val="30A46C"/>
                <w:sz w:val="22"/>
              </w:rPr>
              <w:t>+4.0%</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$2.63</w:t>
            </w:r>
          </w:p>
        </w:tc>
        <w:tc>
          <w:tcPr>
            <w:tcW w:type="dxa" w:w="1728"/>
          </w:tcPr>
          <w:p>
            <w:r>
              <w:rPr>
                <w:rFonts w:ascii="Calibri" w:hAnsi="Calibri"/>
                <w:sz w:val="22"/>
              </w:rPr>
              <w:t>$2.56</w:t>
            </w:r>
          </w:p>
        </w:tc>
        <w:tc>
          <w:tcPr>
            <w:tcW w:type="dxa" w:w="1728"/>
          </w:tcPr>
          <w:p>
            <w:r>
              <w:rPr>
                <w:rFonts w:ascii="Calibri" w:hAnsi="Calibri"/>
                <w:b/>
                <w:color w:val="30A46C"/>
                <w:sz w:val="22"/>
              </w:rPr>
              <w:t>+2.7%</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$2.78</w:t>
            </w:r>
          </w:p>
        </w:tc>
        <w:tc>
          <w:tcPr>
            <w:tcW w:type="dxa" w:w="1728"/>
          </w:tcPr>
          <w:p>
            <w:r>
              <w:rPr>
                <w:rFonts w:ascii="Calibri" w:hAnsi="Calibri"/>
                <w:sz w:val="22"/>
              </w:rPr>
              <w:t>$2.62</w:t>
            </w:r>
          </w:p>
        </w:tc>
        <w:tc>
          <w:tcPr>
            <w:tcW w:type="dxa" w:w="1728"/>
          </w:tcPr>
          <w:p>
            <w:r>
              <w:rPr>
                <w:rFonts w:ascii="Calibri" w:hAnsi="Calibri"/>
                <w:b/>
                <w:color w:val="30A46C"/>
                <w:sz w:val="22"/>
              </w:rPr>
              <w:t>+6.1%</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$2.60</w:t>
            </w:r>
          </w:p>
        </w:tc>
        <w:tc>
          <w:tcPr>
            <w:tcW w:type="dxa" w:w="1728"/>
          </w:tcPr>
          <w:p>
            <w:r>
              <w:rPr>
                <w:rFonts w:ascii="Calibri" w:hAnsi="Calibri"/>
                <w:sz w:val="22"/>
              </w:rPr>
              <w:t>$2.61</w:t>
            </w:r>
          </w:p>
        </w:tc>
        <w:tc>
          <w:tcPr>
            <w:tcW w:type="dxa" w:w="1728"/>
          </w:tcPr>
          <w:p>
            <w:r>
              <w:rPr>
                <w:rFonts w:ascii="Calibri" w:hAnsi="Calibri"/>
                <w:b/>
                <w:color w:val="E5484D"/>
                <w:sz w:val="22"/>
              </w:rPr>
              <w:t>-0.4%</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N/A — not in VA for prior periods</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KPI 2: Organic Tenant Billings Growth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(bps)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1.69%</w:t>
            </w:r>
          </w:p>
        </w:tc>
        <w:tc>
          <w:tcPr>
            <w:tcW w:type="dxa" w:w="1728"/>
          </w:tcPr>
          <w:p>
            <w:r>
              <w:rPr>
                <w:rFonts w:ascii="Calibri" w:hAnsi="Calibri"/>
                <w:sz w:val="22"/>
              </w:rPr>
              <w:t>1.45%</w:t>
            </w:r>
          </w:p>
        </w:tc>
        <w:tc>
          <w:tcPr>
            <w:tcW w:type="dxa" w:w="1728"/>
          </w:tcPr>
          <w:p>
            <w:r>
              <w:rPr>
                <w:rFonts w:ascii="Calibri" w:hAnsi="Calibri"/>
                <w:b/>
                <w:color w:val="30A46C"/>
                <w:sz w:val="22"/>
              </w:rPr>
              <w:t>+24 bps</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5.95%</w:t>
            </w:r>
          </w:p>
        </w:tc>
        <w:tc>
          <w:tcPr>
            <w:tcW w:type="dxa" w:w="1728"/>
          </w:tcPr>
          <w:p>
            <w:r>
              <w:rPr>
                <w:rFonts w:ascii="Calibri" w:hAnsi="Calibri"/>
                <w:sz w:val="22"/>
              </w:rPr>
              <w:t>5.85%</w:t>
            </w:r>
          </w:p>
        </w:tc>
        <w:tc>
          <w:tcPr>
            <w:tcW w:type="dxa" w:w="1728"/>
          </w:tcPr>
          <w:p>
            <w:r>
              <w:rPr>
                <w:rFonts w:ascii="Calibri" w:hAnsi="Calibri"/>
                <w:b/>
                <w:color w:val="30A46C"/>
                <w:sz w:val="22"/>
              </w:rPr>
              <w:t>+10 bps</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4.95%</w:t>
            </w:r>
          </w:p>
        </w:tc>
        <w:tc>
          <w:tcPr>
            <w:tcW w:type="dxa" w:w="1728"/>
          </w:tcPr>
          <w:p>
            <w:r>
              <w:rPr>
                <w:rFonts w:ascii="Calibri" w:hAnsi="Calibri"/>
                <w:sz w:val="22"/>
              </w:rPr>
              <w:t>4.72%</w:t>
            </w:r>
          </w:p>
        </w:tc>
        <w:tc>
          <w:tcPr>
            <w:tcW w:type="dxa" w:w="1728"/>
          </w:tcPr>
          <w:p>
            <w:r>
              <w:rPr>
                <w:rFonts w:ascii="Calibri" w:hAnsi="Calibri"/>
                <w:b/>
                <w:color w:val="30A46C"/>
                <w:sz w:val="22"/>
              </w:rPr>
              <w:t>+23 bps</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4.67%</w:t>
            </w:r>
          </w:p>
        </w:tc>
        <w:tc>
          <w:tcPr>
            <w:tcW w:type="dxa" w:w="1728"/>
          </w:tcPr>
          <w:p>
            <w:r>
              <w:rPr>
                <w:rFonts w:ascii="Calibri" w:hAnsi="Calibri"/>
                <w:sz w:val="22"/>
              </w:rPr>
              <w:t>4.43%</w:t>
            </w:r>
          </w:p>
        </w:tc>
        <w:tc>
          <w:tcPr>
            <w:tcW w:type="dxa" w:w="1728"/>
          </w:tcPr>
          <w:p>
            <w:r>
              <w:rPr>
                <w:rFonts w:ascii="Calibri" w:hAnsi="Calibri"/>
                <w:b/>
                <w:color w:val="30A46C"/>
                <w:sz w:val="22"/>
              </w:rPr>
              <w:t>+24 bps</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AMT has beaten AFFO per share consensus in 3 of the last 4 reported quarters, with the Q1 2026 beat (+4.0%) being the largest in recent history. Organic tenant billings growth has consistently come in above consensus in recent quarters, though the absolute level has compressed sharply due to DISH churn. The Q2 2025 AFFO miss was the lone exception in the recent trend.</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No formal guidance revision has been issued since the Q1 2026 earnings call (April 28), but management's qualitative tone has shifted meaningfully more bullish on CoreSite — the tripling of annual CoreSite CapEx to ~$800M is the most significant post-earnings development and signals accelerating conviction in data center demand.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Attributable AFFO per Share</w:t>
            </w:r>
          </w:p>
        </w:tc>
        <w:tc>
          <w:tcPr>
            <w:tcW w:type="dxa" w:w="1728"/>
          </w:tcPr>
          <w:p>
            <w:r>
              <w:rPr>
                <w:rFonts w:ascii="Calibri" w:hAnsi="Calibri"/>
                <w:sz w:val="22"/>
              </w:rPr>
              <w:t>~$10.99 midpoint (raised $0.12 from prior guide; implies ~2% reported YoY growth)</w:t>
            </w:r>
          </w:p>
        </w:tc>
        <w:tc>
          <w:tcPr>
            <w:tcW w:type="dxa" w:w="1728"/>
          </w:tcPr>
          <w:p>
            <w:r>
              <w:rPr>
                <w:rFonts w:ascii="Calibri" w:hAnsi="Calibri"/>
                <w:sz w:val="22"/>
              </w:rPr>
              <w:t>—</w:t>
            </w:r>
          </w:p>
        </w:tc>
        <w:tc>
          <w:tcPr>
            <w:tcW w:type="dxa" w:w="1728"/>
          </w:tcPr>
          <w:p>
            <w:r>
              <w:rPr>
                <w:rFonts w:ascii="Calibri" w:hAnsi="Calibri"/>
                <w:sz w:val="22"/>
              </w:rPr>
              <w:t>$11.01</w:t>
            </w:r>
          </w:p>
        </w:tc>
        <w:tc>
          <w:tcPr>
            <w:tcW w:type="dxa" w:w="1728"/>
          </w:tcPr>
          <w:p>
            <w:r>
              <w:rPr>
                <w:rFonts w:ascii="Calibri" w:hAnsi="Calibri"/>
                <w:sz w:val="22"/>
              </w:rPr>
              <w:t>No post-earnings revision; consensus tracking guidance midpoint closely</w:t>
            </w:r>
          </w:p>
        </w:tc>
      </w:tr>
      <w:tr>
        <w:tc>
          <w:tcPr>
            <w:tcW w:type="dxa" w:w="1728"/>
          </w:tcPr>
          <w:p>
            <w:r>
              <w:rPr>
                <w:rFonts w:ascii="Calibri" w:hAnsi="Calibri"/>
                <w:sz w:val="22"/>
              </w:rPr>
              <w:t>FY 2026 Total Property Revenue</w:t>
            </w:r>
          </w:p>
        </w:tc>
        <w:tc>
          <w:tcPr>
            <w:tcW w:type="dxa" w:w="1728"/>
          </w:tcPr>
          <w:p>
            <w:r>
              <w:rPr>
                <w:rFonts w:ascii="Calibri" w:hAnsi="Calibri"/>
                <w:sz w:val="22"/>
              </w:rPr>
              <w:t>Raised ~$145M at midpoint vs. prior guide; implies ~3% YoY growth ex-SL/FX; ~5% cash FX-neutral ex-DISH</w:t>
            </w:r>
          </w:p>
        </w:tc>
        <w:tc>
          <w:tcPr>
            <w:tcW w:type="dxa" w:w="1728"/>
          </w:tcPr>
          <w:p>
            <w:r>
              <w:rPr>
                <w:rFonts w:ascii="Calibri" w:hAnsi="Calibri"/>
                <w:sz w:val="22"/>
              </w:rPr>
              <w:t>—</w:t>
            </w:r>
          </w:p>
        </w:tc>
        <w:tc>
          <w:tcPr>
            <w:tcW w:type="dxa" w:w="1728"/>
          </w:tcPr>
          <w:p>
            <w:r>
              <w:rPr>
                <w:rFonts w:ascii="Calibri" w:hAnsi="Calibri"/>
                <w:sz w:val="22"/>
              </w:rPr>
              <w:t>~$10,954M</w:t>
            </w:r>
          </w:p>
        </w:tc>
        <w:tc>
          <w:tcPr>
            <w:tcW w:type="dxa" w:w="1728"/>
          </w:tcPr>
          <w:p>
            <w:r>
              <w:rPr>
                <w:rFonts w:ascii="Calibri" w:hAnsi="Calibri"/>
                <w:sz w:val="22"/>
              </w:rPr>
              <w:t>No post-earnings revision; FX and straight-line tailwinds drove Q1 raise</w:t>
            </w:r>
          </w:p>
        </w:tc>
      </w:tr>
      <w:tr>
        <w:tc>
          <w:tcPr>
            <w:tcW w:type="dxa" w:w="1728"/>
          </w:tcPr>
          <w:p>
            <w:r>
              <w:rPr>
                <w:rFonts w:ascii="Calibri" w:hAnsi="Calibri"/>
                <w:sz w:val="22"/>
              </w:rPr>
              <w:t>FY 2026 Adjusted EBITDA</w:t>
            </w:r>
          </w:p>
        </w:tc>
        <w:tc>
          <w:tcPr>
            <w:tcW w:type="dxa" w:w="1728"/>
          </w:tcPr>
          <w:p>
            <w:r>
              <w:rPr>
                <w:rFonts w:ascii="Calibri" w:hAnsi="Calibri"/>
                <w:sz w:val="22"/>
              </w:rPr>
              <w:t>Raised ~$105M at midpoint vs. prior guide; implies ~2% YoY growth ex-SL/FX; ~5% cash FX-neutral ex-DISH</w:t>
            </w:r>
          </w:p>
        </w:tc>
        <w:tc>
          <w:tcPr>
            <w:tcW w:type="dxa" w:w="1728"/>
          </w:tcPr>
          <w:p>
            <w:r>
              <w:rPr>
                <w:rFonts w:ascii="Calibri" w:hAnsi="Calibri"/>
                <w:sz w:val="22"/>
              </w:rPr>
              <w:t>—</w:t>
            </w:r>
          </w:p>
        </w:tc>
        <w:tc>
          <w:tcPr>
            <w:tcW w:type="dxa" w:w="1728"/>
          </w:tcPr>
          <w:p>
            <w:r>
              <w:rPr>
                <w:rFonts w:ascii="Calibri" w:hAnsi="Calibri"/>
                <w:sz w:val="22"/>
              </w:rPr>
              <w:t>~$7,247M</w:t>
            </w:r>
          </w:p>
        </w:tc>
        <w:tc>
          <w:tcPr>
            <w:tcW w:type="dxa" w:w="1728"/>
          </w:tcPr>
          <w:p>
            <w:r>
              <w:rPr>
                <w:rFonts w:ascii="Calibri" w:hAnsi="Calibri"/>
                <w:sz w:val="22"/>
              </w:rPr>
              <w:t>No post-earnings revision; consensus in line with guidance</w:t>
            </w:r>
          </w:p>
        </w:tc>
      </w:tr>
      <w:tr>
        <w:tc>
          <w:tcPr>
            <w:tcW w:type="dxa" w:w="1728"/>
          </w:tcPr>
          <w:p>
            <w:r>
              <w:rPr>
                <w:rFonts w:ascii="Calibri" w:hAnsi="Calibri"/>
                <w:sz w:val="22"/>
              </w:rPr>
              <w:t>Consolidated Organic Tenant Billings Growth</w:t>
            </w:r>
          </w:p>
        </w:tc>
        <w:tc>
          <w:tcPr>
            <w:tcW w:type="dxa" w:w="1728"/>
          </w:tcPr>
          <w:p>
            <w:r>
              <w:rPr>
                <w:rFonts w:ascii="Calibri" w:hAnsi="Calibri"/>
                <w:sz w:val="22"/>
              </w:rPr>
              <w:t>~1% FY (reiterated); ~4% ex-DISH churn</w:t>
            </w:r>
          </w:p>
        </w:tc>
        <w:tc>
          <w:tcPr>
            <w:tcW w:type="dxa" w:w="1728"/>
          </w:tcPr>
          <w:p>
            <w:r>
              <w:rPr>
                <w:rFonts w:ascii="Calibri" w:hAnsi="Calibri"/>
                <w:sz w:val="22"/>
              </w:rPr>
              <w:t>—</w:t>
            </w:r>
          </w:p>
        </w:tc>
        <w:tc>
          <w:tcPr>
            <w:tcW w:type="dxa" w:w="1728"/>
          </w:tcPr>
          <w:p>
            <w:r>
              <w:rPr>
                <w:rFonts w:ascii="Calibri" w:hAnsi="Calibri"/>
                <w:sz w:val="22"/>
              </w:rPr>
              <w:t>~1.24% FY</w:t>
            </w:r>
          </w:p>
        </w:tc>
        <w:tc>
          <w:tcPr>
            <w:tcW w:type="dxa" w:w="1728"/>
          </w:tcPr>
          <w:p>
            <w:r>
              <w:rPr>
                <w:rFonts w:ascii="Calibri" w:hAnsi="Calibri"/>
                <w:sz w:val="22"/>
              </w:rPr>
              <w:t>Reiterated at Q1; no change; consensus slightly above guide midpoint</w:t>
            </w:r>
          </w:p>
        </w:tc>
      </w:tr>
      <w:tr>
        <w:tc>
          <w:tcPr>
            <w:tcW w:type="dxa" w:w="1728"/>
          </w:tcPr>
          <w:p>
            <w:r>
              <w:rPr>
                <w:rFonts w:ascii="Calibri" w:hAnsi="Calibri"/>
                <w:sz w:val="22"/>
              </w:rPr>
              <w:t>Data Center Revenue Growth (CoreSite)</w:t>
            </w:r>
          </w:p>
        </w:tc>
        <w:tc>
          <w:tcPr>
            <w:tcW w:type="dxa" w:w="1728"/>
          </w:tcPr>
          <w:p>
            <w:r>
              <w:rPr>
                <w:rFonts w:ascii="Calibri" w:hAnsi="Calibri"/>
                <w:sz w:val="22"/>
              </w:rPr>
              <w:t>~13% YoY FY 2026</w:t>
            </w:r>
          </w:p>
        </w:tc>
        <w:tc>
          <w:tcPr>
            <w:tcW w:type="dxa" w:w="1728"/>
          </w:tcPr>
          <w:p>
            <w:r>
              <w:rPr>
                <w:rFonts w:ascii="Calibri" w:hAnsi="Calibri"/>
                <w:sz w:val="22"/>
              </w:rPr>
              <w:t>—</w:t>
            </w:r>
          </w:p>
        </w:tc>
        <w:tc>
          <w:tcPr>
            <w:tcW w:type="dxa" w:w="1728"/>
          </w:tcPr>
          <w:p>
            <w:r>
              <w:rPr>
                <w:rFonts w:ascii="Calibri" w:hAnsi="Calibri"/>
                <w:sz w:val="22"/>
              </w:rPr>
              <w:t>~13% YoY (FY ~$1,194M)</w:t>
            </w:r>
          </w:p>
        </w:tc>
        <w:tc>
          <w:tcPr>
            <w:tcW w:type="dxa" w:w="1728"/>
          </w:tcPr>
          <w:p>
            <w:r>
              <w:rPr>
                <w:rFonts w:ascii="Calibri" w:hAnsi="Calibri"/>
                <w:sz w:val="22"/>
              </w:rPr>
              <w:t>CoreSite CapEx raised from ~$200M to ~$800M/yr (May 2026 Moffett Nathanson conf.); tone significantly more bullish</w:t>
            </w:r>
          </w:p>
        </w:tc>
      </w:tr>
      <w:tr>
        <w:tc>
          <w:tcPr>
            <w:tcW w:type="dxa" w:w="1728"/>
          </w:tcPr>
          <w:p>
            <w:r>
              <w:rPr>
                <w:rFonts w:ascii="Calibri" w:hAnsi="Calibri"/>
                <w:sz w:val="22"/>
              </w:rPr>
              <w:t>Annual CoreSite CapEx</w:t>
            </w:r>
          </w:p>
        </w:tc>
        <w:tc>
          <w:tcPr>
            <w:tcW w:type="dxa" w:w="1728"/>
          </w:tcPr>
          <w:p>
            <w:r>
              <w:rPr>
                <w:rFonts w:ascii="Calibri" w:hAnsi="Calibri"/>
                <w:sz w:val="22"/>
              </w:rPr>
              <w:t>~$200M (prior run-rate)</w:t>
            </w:r>
          </w:p>
        </w:tc>
        <w:tc>
          <w:tcPr>
            <w:tcW w:type="dxa" w:w="1728"/>
          </w:tcPr>
          <w:p>
            <w:r>
              <w:rPr>
                <w:rFonts w:ascii="Calibri" w:hAnsi="Calibri"/>
                <w:sz w:val="22"/>
              </w:rPr>
              <w:t>~$800M (raised at May 2026 Moffett Nathanson conference)</w:t>
            </w:r>
          </w:p>
        </w:tc>
        <w:tc>
          <w:tcPr>
            <w:tcW w:type="dxa" w:w="1728"/>
          </w:tcPr>
          <w:p>
            <w:r>
              <w:rPr>
                <w:rFonts w:ascii="Calibri" w:hAnsi="Calibri"/>
                <w:sz w:val="22"/>
              </w:rPr>
              <w:t>N/A — not a consensus-tracked KPI</w:t>
            </w:r>
          </w:p>
        </w:tc>
        <w:tc>
          <w:tcPr>
            <w:tcW w:type="dxa" w:w="1728"/>
          </w:tcPr>
          <w:p>
            <w:r>
              <w:rPr>
                <w:rFonts w:ascii="Calibri" w:hAnsi="Calibri"/>
                <w:sz w:val="22"/>
              </w:rPr>
              <w:t>↑ Raised 4x at Moffett Nathanson conf. May 14, 2026; reflects AI inferencing demand and pipeline visibility; most significant post-Q1 development</w:t>
            </w:r>
          </w:p>
        </w:tc>
      </w:tr>
      <w:tr>
        <w:tc>
          <w:tcPr>
            <w:tcW w:type="dxa" w:w="1728"/>
          </w:tcPr>
          <w:p>
            <w:r>
              <w:rPr>
                <w:rFonts w:ascii="Calibri" w:hAnsi="Calibri"/>
                <w:sz w:val="22"/>
              </w:rPr>
              <w:t>Cash EBITDA Margin Expansion Target</w:t>
            </w:r>
          </w:p>
        </w:tc>
        <w:tc>
          <w:tcPr>
            <w:tcW w:type="dxa" w:w="1728"/>
          </w:tcPr>
          <w:p>
            <w:r>
              <w:rPr>
                <w:rFonts w:ascii="Calibri" w:hAnsi="Calibri"/>
                <w:sz w:val="22"/>
              </w:rPr>
              <w:t>200–300 bps over 5 years (by 2030); reiterated Q1</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Reiterated at Nareit REITweek (June 3, 2026); tone unchanged; confident</w:t>
            </w:r>
          </w:p>
        </w:tc>
      </w:tr>
      <w:tr>
        <w:tc>
          <w:tcPr>
            <w:tcW w:type="dxa" w:w="1728"/>
          </w:tcPr>
          <w:p>
            <w:r>
              <w:rPr>
                <w:rFonts w:ascii="Calibri" w:hAnsi="Calibri"/>
                <w:sz w:val="22"/>
              </w:rPr>
              <w:t>AFFO per Share Growth (Back-Half Weighting)</w:t>
            </w:r>
          </w:p>
        </w:tc>
        <w:tc>
          <w:tcPr>
            <w:tcW w:type="dxa" w:w="1728"/>
          </w:tcPr>
          <w:p>
            <w:r>
              <w:rPr>
                <w:rFonts w:ascii="Calibri" w:hAnsi="Calibri"/>
                <w:sz w:val="22"/>
              </w:rPr>
              <w:t>Growth faster in H2 vs. H1 due to maintenance CapEx and cash tax timing</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Reiterated at multiple conferences; implies Q2 may still be below H2 run-rate</w:t>
            </w:r>
          </w:p>
        </w:tc>
      </w:tr>
    </w:tbl>
    <w:p>
      <w:r>
        <w:rPr>
          <w:rFonts w:ascii="Calibri" w:hAnsi="Calibri"/>
          <w:i/>
          <w:color w:val="525866"/>
          <w:sz w:val="22"/>
        </w:rPr>
        <w:t>Source: Q1 2026 Earnings Call (April 28, 2026); Moffett Nathanson Media, Internet &amp; Communications Conference (May 14, 2026); JP Morgan Global Technology, Media and Communications Conference (May 19, 2026); Nareit REITweek Investor Conference (June 3, 2026). Consensus from Visible Alpha.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essentially unchanged since the Q1 2026 print — the street has absorbed the guidance raise and is not pricing in incremental upside or downside. The gap between consensus and guidance is minimal, suggesting estimates are tracking guidance closely with no meaningful divergence risk.</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3, 2026)</w:t>
            </w:r>
          </w:p>
        </w:tc>
        <w:tc>
          <w:tcPr>
            <w:tcW w:type="dxa" w:w="1080"/>
            <w:shd w:val="clear" w:color="auto" w:fill="3B4259"/>
          </w:tcPr>
          <w:p>
            <w:r>
              <w:rPr>
                <w:rFonts w:ascii="Calibri" w:hAnsi="Calibri"/>
                <w:b/>
                <w:color w:val="FFFFFF"/>
                <w:sz w:val="22"/>
              </w:rPr>
              <w:t>Current Consensus (Jul 27,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AFFO/Share — Q2 2026</w:t>
            </w:r>
          </w:p>
        </w:tc>
        <w:tc>
          <w:tcPr>
            <w:tcW w:type="dxa" w:w="1080"/>
          </w:tcPr>
          <w:p>
            <w:r>
              <w:rPr>
                <w:rFonts w:ascii="Calibri" w:hAnsi="Calibri"/>
                <w:sz w:val="22"/>
              </w:rPr>
              <w:t>$2.716</w:t>
            </w:r>
          </w:p>
        </w:tc>
        <w:tc>
          <w:tcPr>
            <w:tcW w:type="dxa" w:w="1080"/>
          </w:tcPr>
          <w:p>
            <w:r>
              <w:rPr>
                <w:rFonts w:ascii="Calibri" w:hAnsi="Calibri"/>
                <w:sz w:val="22"/>
              </w:rPr>
              <w:t>$2.715</w:t>
            </w:r>
          </w:p>
        </w:tc>
        <w:tc>
          <w:tcPr>
            <w:tcW w:type="dxa" w:w="1080"/>
          </w:tcPr>
          <w:p>
            <w:r>
              <w:rPr>
                <w:rFonts w:ascii="Calibri" w:hAnsi="Calibri"/>
                <w:sz w:val="22"/>
              </w:rPr>
              <w:t>-0.04%</w:t>
            </w:r>
          </w:p>
        </w:tc>
        <w:tc>
          <w:tcPr>
            <w:tcW w:type="dxa" w:w="1080"/>
          </w:tcPr>
          <w:p>
            <w:r>
              <w:rPr>
                <w:rFonts w:ascii="Calibri" w:hAnsi="Calibri"/>
                <w:sz w:val="22"/>
              </w:rPr>
              <w:t>No Q2-specific guidance provided</w:t>
            </w:r>
          </w:p>
        </w:tc>
        <w:tc>
          <w:tcPr>
            <w:tcW w:type="dxa" w:w="1080"/>
          </w:tcPr>
          <w:p>
            <w:r>
              <w:rPr>
                <w:rFonts w:ascii="Calibri" w:hAnsi="Calibri"/>
                <w:sz w:val="22"/>
              </w:rPr>
              <w:t>No Q2-specific guidance provided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AFFO/Share — FY 2026</w:t>
            </w:r>
          </w:p>
        </w:tc>
        <w:tc>
          <w:tcPr>
            <w:tcW w:type="dxa" w:w="1080"/>
          </w:tcPr>
          <w:p>
            <w:r>
              <w:rPr>
                <w:rFonts w:ascii="Calibri" w:hAnsi="Calibri"/>
                <w:sz w:val="22"/>
              </w:rPr>
              <w:t>$11.019</w:t>
            </w:r>
          </w:p>
        </w:tc>
        <w:tc>
          <w:tcPr>
            <w:tcW w:type="dxa" w:w="1080"/>
          </w:tcPr>
          <w:p>
            <w:r>
              <w:rPr>
                <w:rFonts w:ascii="Calibri" w:hAnsi="Calibri"/>
                <w:sz w:val="22"/>
              </w:rPr>
              <w:t>$11.014</w:t>
            </w:r>
          </w:p>
        </w:tc>
        <w:tc>
          <w:tcPr>
            <w:tcW w:type="dxa" w:w="1080"/>
          </w:tcPr>
          <w:p>
            <w:r>
              <w:rPr>
                <w:rFonts w:ascii="Calibri" w:hAnsi="Calibri"/>
                <w:sz w:val="22"/>
              </w:rPr>
              <w:t>-0.04%</w:t>
            </w:r>
          </w:p>
        </w:tc>
        <w:tc>
          <w:tcPr>
            <w:tcW w:type="dxa" w:w="1080"/>
          </w:tcPr>
          <w:p>
            <w:r>
              <w:rPr>
                <w:rFonts w:ascii="Calibri" w:hAnsi="Calibri"/>
                <w:sz w:val="22"/>
              </w:rPr>
              <w:t>~$10.99 midpoint</w:t>
            </w:r>
          </w:p>
        </w:tc>
        <w:tc>
          <w:tcPr>
            <w:tcW w:type="dxa" w:w="1080"/>
          </w:tcPr>
          <w:p>
            <w:r>
              <w:rPr>
                <w:rFonts w:ascii="Calibri" w:hAnsi="Calibri"/>
                <w:sz w:val="22"/>
              </w:rPr>
              <w:t>~$10.99 midpoint (unchanged)</w:t>
            </w:r>
          </w:p>
        </w:tc>
        <w:tc>
          <w:tcPr>
            <w:tcW w:type="dxa" w:w="1080"/>
          </w:tcPr>
          <w:p>
            <w:r>
              <w:rPr>
                <w:rFonts w:ascii="Calibri" w:hAnsi="Calibri"/>
                <w:sz w:val="22"/>
              </w:rPr>
              <w:t>0%</w:t>
            </w:r>
          </w:p>
        </w:tc>
        <w:tc>
          <w:tcPr>
            <w:tcW w:type="dxa" w:w="1080"/>
          </w:tcPr>
          <w:p>
            <w:r>
              <w:rPr>
                <w:rFonts w:ascii="Calibri" w:hAnsi="Calibri"/>
                <w:sz w:val="22"/>
              </w:rPr>
              <w:t>+0.2% above guidance midpoint</w:t>
            </w:r>
          </w:p>
        </w:tc>
      </w:tr>
      <w:tr>
        <w:tc>
          <w:tcPr>
            <w:tcW w:type="dxa" w:w="1080"/>
          </w:tcPr>
          <w:p>
            <w:r>
              <w:rPr>
                <w:rFonts w:ascii="Calibri" w:hAnsi="Calibri"/>
                <w:sz w:val="22"/>
              </w:rPr>
              <w:t>Total Revenue — Q2 2026</w:t>
            </w:r>
          </w:p>
        </w:tc>
        <w:tc>
          <w:tcPr>
            <w:tcW w:type="dxa" w:w="1080"/>
          </w:tcPr>
          <w:p>
            <w:r>
              <w:rPr>
                <w:rFonts w:ascii="Calibri" w:hAnsi="Calibri"/>
                <w:sz w:val="22"/>
              </w:rPr>
              <w:t>$2,701.9M</w:t>
            </w:r>
          </w:p>
        </w:tc>
        <w:tc>
          <w:tcPr>
            <w:tcW w:type="dxa" w:w="1080"/>
          </w:tcPr>
          <w:p>
            <w:r>
              <w:rPr>
                <w:rFonts w:ascii="Calibri" w:hAnsi="Calibri"/>
                <w:sz w:val="22"/>
              </w:rPr>
              <w:t>$2,706.5M</w:t>
            </w:r>
          </w:p>
        </w:tc>
        <w:tc>
          <w:tcPr>
            <w:tcW w:type="dxa" w:w="1080"/>
          </w:tcPr>
          <w:p>
            <w:r>
              <w:rPr>
                <w:rFonts w:ascii="Calibri" w:hAnsi="Calibri"/>
                <w:sz w:val="22"/>
              </w:rPr>
              <w:t>+0.2%</w:t>
            </w:r>
          </w:p>
        </w:tc>
        <w:tc>
          <w:tcPr>
            <w:tcW w:type="dxa" w:w="1080"/>
          </w:tcPr>
          <w:p>
            <w:r>
              <w:rPr>
                <w:rFonts w:ascii="Calibri" w:hAnsi="Calibri"/>
                <w:sz w:val="22"/>
              </w:rPr>
              <w:t>No Q2-specific guidance provided</w:t>
            </w:r>
          </w:p>
        </w:tc>
        <w:tc>
          <w:tcPr>
            <w:tcW w:type="dxa" w:w="1080"/>
          </w:tcPr>
          <w:p>
            <w:r>
              <w:rPr>
                <w:rFonts w:ascii="Calibri" w:hAnsi="Calibri"/>
                <w:sz w:val="22"/>
              </w:rPr>
              <w:t>No Q2-specific guidance provided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 2026</w:t>
            </w:r>
          </w:p>
        </w:tc>
        <w:tc>
          <w:tcPr>
            <w:tcW w:type="dxa" w:w="1080"/>
          </w:tcPr>
          <w:p>
            <w:r>
              <w:rPr>
                <w:rFonts w:ascii="Calibri" w:hAnsi="Calibri"/>
                <w:sz w:val="22"/>
              </w:rPr>
              <w:t>$10,941.9M</w:t>
            </w:r>
          </w:p>
        </w:tc>
        <w:tc>
          <w:tcPr>
            <w:tcW w:type="dxa" w:w="1080"/>
          </w:tcPr>
          <w:p>
            <w:r>
              <w:rPr>
                <w:rFonts w:ascii="Calibri" w:hAnsi="Calibri"/>
                <w:sz w:val="22"/>
              </w:rPr>
              <w:t>$10,953.6M</w:t>
            </w:r>
          </w:p>
        </w:tc>
        <w:tc>
          <w:tcPr>
            <w:tcW w:type="dxa" w:w="1080"/>
          </w:tcPr>
          <w:p>
            <w:r>
              <w:rPr>
                <w:rFonts w:ascii="Calibri" w:hAnsi="Calibri"/>
                <w:sz w:val="22"/>
              </w:rPr>
              <w:t>+0.1%</w:t>
            </w:r>
          </w:p>
        </w:tc>
        <w:tc>
          <w:tcPr>
            <w:tcW w:type="dxa" w:w="1080"/>
          </w:tcPr>
          <w:p>
            <w:r>
              <w:rPr>
                <w:rFonts w:ascii="Calibri" w:hAnsi="Calibri"/>
                <w:sz w:val="22"/>
              </w:rPr>
              <w:t>Raised ~$145M at midpoint vs. prior guide</w:t>
            </w:r>
          </w:p>
        </w:tc>
        <w:tc>
          <w:tcPr>
            <w:tcW w:type="dxa" w:w="1080"/>
          </w:tcPr>
          <w:p>
            <w:r>
              <w:rPr>
                <w:rFonts w:ascii="Calibri" w:hAnsi="Calibri"/>
                <w:sz w:val="22"/>
              </w:rPr>
              <w:t>Unchanged since Q1 call</w:t>
            </w:r>
          </w:p>
        </w:tc>
        <w:tc>
          <w:tcPr>
            <w:tcW w:type="dxa" w:w="1080"/>
          </w:tcPr>
          <w:p>
            <w:r>
              <w:rPr>
                <w:rFonts w:ascii="Calibri" w:hAnsi="Calibri"/>
                <w:sz w:val="22"/>
              </w:rPr>
              <w:t>0%</w:t>
            </w:r>
          </w:p>
        </w:tc>
        <w:tc>
          <w:tcPr>
            <w:tcW w:type="dxa" w:w="1080"/>
          </w:tcPr>
          <w:p>
            <w:r>
              <w:rPr>
                <w:rFonts w:ascii="Calibri" w:hAnsi="Calibri"/>
                <w:sz w:val="22"/>
              </w:rPr>
              <w:t>~+0.1% above guidance midpoint</w:t>
            </w:r>
          </w:p>
        </w:tc>
      </w:tr>
      <w:tr>
        <w:tc>
          <w:tcPr>
            <w:tcW w:type="dxa" w:w="1080"/>
          </w:tcPr>
          <w:p>
            <w:r>
              <w:rPr>
                <w:rFonts w:ascii="Calibri" w:hAnsi="Calibri"/>
                <w:sz w:val="22"/>
              </w:rPr>
              <w:t>Adj. EBITDA — Q2 2026</w:t>
            </w:r>
          </w:p>
        </w:tc>
        <w:tc>
          <w:tcPr>
            <w:tcW w:type="dxa" w:w="1080"/>
          </w:tcPr>
          <w:p>
            <w:r>
              <w:rPr>
                <w:rFonts w:ascii="Calibri" w:hAnsi="Calibri"/>
                <w:sz w:val="22"/>
              </w:rPr>
              <w:t>$1,788.2M</w:t>
            </w:r>
          </w:p>
        </w:tc>
        <w:tc>
          <w:tcPr>
            <w:tcW w:type="dxa" w:w="1080"/>
          </w:tcPr>
          <w:p>
            <w:r>
              <w:rPr>
                <w:rFonts w:ascii="Calibri" w:hAnsi="Calibri"/>
                <w:sz w:val="22"/>
              </w:rPr>
              <w:t>$1,789.9M</w:t>
            </w:r>
          </w:p>
        </w:tc>
        <w:tc>
          <w:tcPr>
            <w:tcW w:type="dxa" w:w="1080"/>
          </w:tcPr>
          <w:p>
            <w:r>
              <w:rPr>
                <w:rFonts w:ascii="Calibri" w:hAnsi="Calibri"/>
                <w:sz w:val="22"/>
              </w:rPr>
              <w:t>+0.1%</w:t>
            </w:r>
          </w:p>
        </w:tc>
        <w:tc>
          <w:tcPr>
            <w:tcW w:type="dxa" w:w="1080"/>
          </w:tcPr>
          <w:p>
            <w:r>
              <w:rPr>
                <w:rFonts w:ascii="Calibri" w:hAnsi="Calibri"/>
                <w:sz w:val="22"/>
              </w:rPr>
              <w:t>No Q2-specific guidance provided</w:t>
            </w:r>
          </w:p>
        </w:tc>
        <w:tc>
          <w:tcPr>
            <w:tcW w:type="dxa" w:w="1080"/>
          </w:tcPr>
          <w:p>
            <w:r>
              <w:rPr>
                <w:rFonts w:ascii="Calibri" w:hAnsi="Calibri"/>
                <w:sz w:val="22"/>
              </w:rPr>
              <w:t>No Q2-specific guidance provided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EBITDA — FY 2026</w:t>
            </w:r>
          </w:p>
        </w:tc>
        <w:tc>
          <w:tcPr>
            <w:tcW w:type="dxa" w:w="1080"/>
          </w:tcPr>
          <w:p>
            <w:r>
              <w:rPr>
                <w:rFonts w:ascii="Calibri" w:hAnsi="Calibri"/>
                <w:sz w:val="22"/>
              </w:rPr>
              <w:t>$7,251.7M</w:t>
            </w:r>
          </w:p>
        </w:tc>
        <w:tc>
          <w:tcPr>
            <w:tcW w:type="dxa" w:w="1080"/>
          </w:tcPr>
          <w:p>
            <w:r>
              <w:rPr>
                <w:rFonts w:ascii="Calibri" w:hAnsi="Calibri"/>
                <w:sz w:val="22"/>
              </w:rPr>
              <w:t>$7,247.5M</w:t>
            </w:r>
          </w:p>
        </w:tc>
        <w:tc>
          <w:tcPr>
            <w:tcW w:type="dxa" w:w="1080"/>
          </w:tcPr>
          <w:p>
            <w:r>
              <w:rPr>
                <w:rFonts w:ascii="Calibri" w:hAnsi="Calibri"/>
                <w:sz w:val="22"/>
              </w:rPr>
              <w:t>-0.1%</w:t>
            </w:r>
          </w:p>
        </w:tc>
        <w:tc>
          <w:tcPr>
            <w:tcW w:type="dxa" w:w="1080"/>
          </w:tcPr>
          <w:p>
            <w:r>
              <w:rPr>
                <w:rFonts w:ascii="Calibri" w:hAnsi="Calibri"/>
                <w:sz w:val="22"/>
              </w:rPr>
              <w:t>Raised ~$105M at midpoint vs. prior guide</w:t>
            </w:r>
          </w:p>
        </w:tc>
        <w:tc>
          <w:tcPr>
            <w:tcW w:type="dxa" w:w="1080"/>
          </w:tcPr>
          <w:p>
            <w:r>
              <w:rPr>
                <w:rFonts w:ascii="Calibri" w:hAnsi="Calibri"/>
                <w:sz w:val="22"/>
              </w:rPr>
              <w:t>Unchanged since Q1 call</w:t>
            </w:r>
          </w:p>
        </w:tc>
        <w:tc>
          <w:tcPr>
            <w:tcW w:type="dxa" w:w="1080"/>
          </w:tcPr>
          <w:p>
            <w:r>
              <w:rPr>
                <w:rFonts w:ascii="Calibri" w:hAnsi="Calibri"/>
                <w:sz w:val="22"/>
              </w:rPr>
              <w:t>0%</w:t>
            </w:r>
          </w:p>
        </w:tc>
        <w:tc>
          <w:tcPr>
            <w:tcW w:type="dxa" w:w="1080"/>
          </w:tcPr>
          <w:p>
            <w:r>
              <w:rPr>
                <w:rFonts w:ascii="Calibri" w:hAnsi="Calibri"/>
                <w:sz w:val="22"/>
              </w:rPr>
              <w:t>~-0.1% below guidance midpoint</w:t>
            </w:r>
          </w:p>
        </w:tc>
      </w:tr>
      <w:tr>
        <w:tc>
          <w:tcPr>
            <w:tcW w:type="dxa" w:w="1080"/>
          </w:tcPr>
          <w:p>
            <w:r>
              <w:rPr>
                <w:rFonts w:ascii="Calibri" w:hAnsi="Calibri"/>
                <w:sz w:val="22"/>
              </w:rPr>
              <w:t>Organic Tenant Billings Growth — Q2 2026</w:t>
            </w:r>
          </w:p>
        </w:tc>
        <w:tc>
          <w:tcPr>
            <w:tcW w:type="dxa" w:w="1080"/>
          </w:tcPr>
          <w:p>
            <w:r>
              <w:rPr>
                <w:rFonts w:ascii="Calibri" w:hAnsi="Calibri"/>
                <w:sz w:val="22"/>
              </w:rPr>
              <w:t>1.42%</w:t>
            </w:r>
          </w:p>
        </w:tc>
        <w:tc>
          <w:tcPr>
            <w:tcW w:type="dxa" w:w="1080"/>
          </w:tcPr>
          <w:p>
            <w:r>
              <w:rPr>
                <w:rFonts w:ascii="Calibri" w:hAnsi="Calibri"/>
                <w:sz w:val="22"/>
              </w:rPr>
              <w:t>1.43%</w:t>
            </w:r>
          </w:p>
        </w:tc>
        <w:tc>
          <w:tcPr>
            <w:tcW w:type="dxa" w:w="1080"/>
          </w:tcPr>
          <w:p>
            <w:r>
              <w:rPr>
                <w:rFonts w:ascii="Calibri" w:hAnsi="Calibri"/>
                <w:sz w:val="22"/>
              </w:rPr>
              <w:t>+0.01 pp</w:t>
            </w:r>
          </w:p>
        </w:tc>
        <w:tc>
          <w:tcPr>
            <w:tcW w:type="dxa" w:w="1080"/>
          </w:tcPr>
          <w:p>
            <w:r>
              <w:rPr>
                <w:rFonts w:ascii="Calibri" w:hAnsi="Calibri"/>
                <w:sz w:val="22"/>
              </w:rPr>
              <w:t>~1% FY (4% ex-DISH)</w:t>
            </w:r>
          </w:p>
        </w:tc>
        <w:tc>
          <w:tcPr>
            <w:tcW w:type="dxa" w:w="1080"/>
          </w:tcPr>
          <w:p>
            <w:r>
              <w:rPr>
                <w:rFonts w:ascii="Calibri" w:hAnsi="Calibri"/>
                <w:sz w:val="22"/>
              </w:rPr>
              <w:t>Unchanged since Q1 call</w:t>
            </w:r>
          </w:p>
        </w:tc>
        <w:tc>
          <w:tcPr>
            <w:tcW w:type="dxa" w:w="1080"/>
          </w:tcPr>
          <w:p>
            <w:r>
              <w:rPr>
                <w:rFonts w:ascii="Calibri" w:hAnsi="Calibri"/>
                <w:sz w:val="22"/>
              </w:rPr>
              <w:t>0%</w:t>
            </w:r>
          </w:p>
        </w:tc>
        <w:tc>
          <w:tcPr>
            <w:tcW w:type="dxa" w:w="1080"/>
          </w:tcPr>
          <w:p>
            <w:r>
              <w:rPr>
                <w:rFonts w:ascii="Calibri" w:hAnsi="Calibri"/>
                <w:sz w:val="22"/>
              </w:rPr>
              <w:t>~+43 bps above FY guide</w:t>
            </w:r>
          </w:p>
        </w:tc>
      </w:tr>
      <w:tr>
        <w:tc>
          <w:tcPr>
            <w:tcW w:type="dxa" w:w="1080"/>
          </w:tcPr>
          <w:p>
            <w:r>
              <w:rPr>
                <w:rFonts w:ascii="Calibri" w:hAnsi="Calibri"/>
                <w:sz w:val="22"/>
              </w:rPr>
              <w:t>Data Center Revenue — Q2 2026</w:t>
            </w:r>
          </w:p>
        </w:tc>
        <w:tc>
          <w:tcPr>
            <w:tcW w:type="dxa" w:w="1080"/>
          </w:tcPr>
          <w:p>
            <w:r>
              <w:rPr>
                <w:rFonts w:ascii="Calibri" w:hAnsi="Calibri"/>
                <w:sz w:val="22"/>
              </w:rPr>
              <w:t>$292.8M</w:t>
            </w:r>
          </w:p>
        </w:tc>
        <w:tc>
          <w:tcPr>
            <w:tcW w:type="dxa" w:w="1080"/>
          </w:tcPr>
          <w:p>
            <w:r>
              <w:rPr>
                <w:rFonts w:ascii="Calibri" w:hAnsi="Calibri"/>
                <w:sz w:val="22"/>
              </w:rPr>
              <w:t>$293.5M</w:t>
            </w:r>
          </w:p>
        </w:tc>
        <w:tc>
          <w:tcPr>
            <w:tcW w:type="dxa" w:w="1080"/>
          </w:tcPr>
          <w:p>
            <w:r>
              <w:rPr>
                <w:rFonts w:ascii="Calibri" w:hAnsi="Calibri"/>
                <w:sz w:val="22"/>
              </w:rPr>
              <w:t>+0.2%</w:t>
            </w:r>
          </w:p>
        </w:tc>
        <w:tc>
          <w:tcPr>
            <w:tcW w:type="dxa" w:w="1080"/>
          </w:tcPr>
          <w:p>
            <w:r>
              <w:rPr>
                <w:rFonts w:ascii="Calibri" w:hAnsi="Calibri"/>
                <w:sz w:val="22"/>
              </w:rPr>
              <w:t>~13% YoY FY growth</w:t>
            </w:r>
          </w:p>
        </w:tc>
        <w:tc>
          <w:tcPr>
            <w:tcW w:type="dxa" w:w="1080"/>
          </w:tcPr>
          <w:p>
            <w:r>
              <w:rPr>
                <w:rFonts w:ascii="Calibri" w:hAnsi="Calibri"/>
                <w:sz w:val="22"/>
              </w:rPr>
              <w:t>Unchanged; CapEx raised to ~$800M/yr</w:t>
            </w:r>
          </w:p>
        </w:tc>
        <w:tc>
          <w:tcPr>
            <w:tcW w:type="dxa" w:w="1080"/>
          </w:tcPr>
          <w:p>
            <w:r>
              <w:rPr>
                <w:rFonts w:ascii="Calibri" w:hAnsi="Calibri"/>
                <w:sz w:val="22"/>
              </w:rPr>
              <w:t>0%</w:t>
            </w:r>
          </w:p>
        </w:tc>
        <w:tc>
          <w:tcPr>
            <w:tcW w:type="dxa" w:w="1080"/>
          </w:tcPr>
          <w:p>
            <w:r>
              <w:rPr>
                <w:rFonts w:ascii="Calibri" w:hAnsi="Calibri"/>
                <w:sz w:val="22"/>
              </w:rPr>
              <w:t>~+1.6% above FY run-rate</w:t>
            </w:r>
          </w:p>
        </w:tc>
      </w:tr>
    </w:tbl>
    <w:p>
      <w:r>
        <w:rPr>
          <w:rFonts w:ascii="Calibri" w:hAnsi="Calibri"/>
          <w:color w:val="525866"/>
          <w:sz w:val="22"/>
        </w:rPr>
        <w:t>Estimates have been remarkably stable since the Q1 2026 print — all key KPIs moved less than 0.1% in either direction over the ~3-month window. This stability reflects a market that has fully digested the guidance raise and is waiting for Q2 results to determine whether the back-half acceleration thesis is on track. The absence of estimate drift is neither a risk nor a cushion — it simply means the bar is exactly where management set it.</w:t>
      </w:r>
    </w:p>
    <w:p>
      <w:r>
        <w:rPr>
          <w:rFonts w:ascii="Calibri" w:hAnsi="Calibri"/>
          <w:i/>
          <w:color w:val="525866"/>
          <w:sz w:val="22"/>
        </w:rPr>
        <w:t>Source: Visible Alpha Consensus and Actuals Data. Post-Q1 baseline as of May 3, 2026 (5 trading days after April 28 earnings). Current consensus as of July 27,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AMT has underperformed both the REIT sector and the broader market since Q1 earnings, declining ~6.5% vs. RWR +8.8% and SPY +3.8% — the underperformance is driven by multiple compression and sector rotation into higher-growth REITs, not estimate cuts, suggesting the stock is not pricing in a beat heading into Q2.</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AMT vs. CCI vs. RWR (REIT ETF) vs. S&amp;P 500 — Indexed to 100 at Q1 2026 Earnings (April 28, 2026). Source: Yahoo Finance.</w:t>
      </w:r>
    </w:p>
    <w:p>
      <w:r>
        <w:rPr>
          <w:rFonts w:ascii="Calibri" w:hAnsi="Calibri"/>
          <w:b/>
          <w:color w:val="525866"/>
          <w:sz w:val="22"/>
        </w:rPr>
        <w:t>Performance Summary (April 28 – July 28, 2026):</w:t>
      </w:r>
    </w:p>
    <w:p>
      <w:pPr>
        <w:pStyle w:val="ListBullet"/>
        <w:ind w:left="360" w:hanging="360"/>
      </w:pPr>
      <w:r>
        <w:rPr>
          <w:rFonts w:ascii="Calibri" w:hAnsi="Calibri"/>
          <w:b/>
          <w:color w:val="525866"/>
          <w:sz w:val="22"/>
        </w:rPr>
        <w:t xml:space="preserve">AMT: </w:t>
      </w:r>
      <w:r>
        <w:rPr>
          <w:rFonts w:ascii="Calibri" w:hAnsi="Calibri"/>
          <w:color w:val="525866"/>
          <w:sz w:val="22"/>
        </w:rPr>
        <w:t>-6.5% ($178.40 → $166.74). Underperformed both the REIT sector and S&amp;P 500. The stock peaked near $194 in early June (around the Nareit REITweek conference) before selling off sharply through late June and July.</w:t>
      </w:r>
    </w:p>
    <w:p>
      <w:pPr>
        <w:pStyle w:val="ListBullet"/>
        <w:ind w:left="360" w:hanging="360"/>
      </w:pPr>
      <w:r>
        <w:rPr>
          <w:rFonts w:ascii="Calibri" w:hAnsi="Calibri"/>
          <w:b/>
          <w:color w:val="525866"/>
          <w:sz w:val="22"/>
        </w:rPr>
        <w:t xml:space="preserve">CCI (Tower Peer): </w:t>
      </w:r>
      <w:r>
        <w:rPr>
          <w:rFonts w:ascii="Calibri" w:hAnsi="Calibri"/>
          <w:color w:val="525866"/>
          <w:sz w:val="22"/>
        </w:rPr>
        <w:t>-14.0% ($86.17 → $74.13). CCI reported Q2 2026 earnings on July 22 and disclosed lower services activity in Q3, weighing on the stock. CCI's underperformance is a partial read-through for AMT on U.S. tower leasing activity.</w:t>
      </w:r>
    </w:p>
    <w:p>
      <w:pPr>
        <w:pStyle w:val="ListBullet"/>
        <w:ind w:left="360" w:hanging="360"/>
      </w:pPr>
      <w:r>
        <w:rPr>
          <w:rFonts w:ascii="Calibri" w:hAnsi="Calibri"/>
          <w:b/>
          <w:color w:val="525866"/>
          <w:sz w:val="22"/>
        </w:rPr>
        <w:t xml:space="preserve">RWR (REIT ETF): </w:t>
      </w:r>
      <w:r>
        <w:rPr>
          <w:rFonts w:ascii="Calibri" w:hAnsi="Calibri"/>
          <w:color w:val="525866"/>
          <w:sz w:val="22"/>
        </w:rPr>
        <w:t>+8.8% ($109.03 → $118.65). The broader REIT sector rallied strongly, driven by rate expectations and data center REIT outperformance (DLR, EQIX). AMT's underperformance vs. RWR reflects tower-specific headwinds (DISH churn, carrier spending caution).</w:t>
      </w:r>
    </w:p>
    <w:p>
      <w:pPr>
        <w:pStyle w:val="ListBullet"/>
        <w:ind w:left="360" w:hanging="360"/>
      </w:pPr>
      <w:r>
        <w:rPr>
          <w:rFonts w:ascii="Calibri" w:hAnsi="Calibri"/>
          <w:b/>
          <w:color w:val="525866"/>
          <w:sz w:val="22"/>
        </w:rPr>
        <w:t xml:space="preserve">S&amp;P 500 (SPY): </w:t>
      </w:r>
      <w:r>
        <w:rPr>
          <w:rFonts w:ascii="Calibri" w:hAnsi="Calibri"/>
          <w:color w:val="525866"/>
          <w:sz w:val="22"/>
        </w:rPr>
        <w:t>+3.8% ($711.69 → $739.09). Broad market continued to grind higher.</w:t>
      </w:r>
    </w:p>
    <w:p>
      <w:r>
        <w:rPr>
          <w:rFonts w:ascii="Calibri" w:hAnsi="Calibri"/>
          <w:b/>
          <w:color w:val="525866"/>
          <w:sz w:val="22"/>
        </w:rPr>
        <w:t>Key Events on Chart:</w:t>
      </w:r>
    </w:p>
    <w:p>
      <w:pPr>
        <w:pStyle w:val="ListBullet"/>
        <w:ind w:left="360" w:hanging="360"/>
      </w:pPr>
      <w:r>
        <w:rPr>
          <w:rFonts w:ascii="Calibri" w:hAnsi="Calibri"/>
          <w:b/>
          <w:color w:val="525866"/>
          <w:sz w:val="22"/>
        </w:rPr>
        <w:t xml:space="preserve">May 14, 2026 — Moffett Nathanson Conference: </w:t>
      </w:r>
      <w:r>
        <w:rPr>
          <w:rFonts w:ascii="Calibri" w:hAnsi="Calibri"/>
          <w:color w:val="525866"/>
          <w:sz w:val="22"/>
        </w:rPr>
        <w:t>Management disclosed CoreSite CapEx raised from ~$200M to ~$800M/yr. Stock rallied ~7% in the days following.</w:t>
      </w:r>
    </w:p>
    <w:p>
      <w:pPr>
        <w:pStyle w:val="ListBullet"/>
        <w:ind w:left="360" w:hanging="360"/>
      </w:pPr>
      <w:r>
        <w:rPr>
          <w:rFonts w:ascii="Calibri" w:hAnsi="Calibri"/>
          <w:b/>
          <w:color w:val="525866"/>
          <w:sz w:val="22"/>
        </w:rPr>
        <w:t xml:space="preserve">May 19, 2026 — JP Morgan TMC Conference: </w:t>
      </w:r>
      <w:r>
        <w:rPr>
          <w:rFonts w:ascii="Calibri" w:hAnsi="Calibri"/>
          <w:color w:val="525866"/>
          <w:sz w:val="22"/>
        </w:rPr>
        <w:t>Additional CoreSite detail on liquid cooling readiness and enterprise AI adoption. Stock continued to rally.</w:t>
      </w:r>
    </w:p>
    <w:p>
      <w:pPr>
        <w:pStyle w:val="ListBullet"/>
        <w:ind w:left="360" w:hanging="360"/>
      </w:pPr>
      <w:r>
        <w:rPr>
          <w:rFonts w:ascii="Calibri" w:hAnsi="Calibri"/>
          <w:b/>
          <w:color w:val="525866"/>
          <w:sz w:val="22"/>
        </w:rPr>
        <w:t xml:space="preserve">June 3, 2026 — Nareit REITweek: </w:t>
      </w:r>
      <w:r>
        <w:rPr>
          <w:rFonts w:ascii="Calibri" w:hAnsi="Calibri"/>
          <w:color w:val="525866"/>
          <w:sz w:val="22"/>
        </w:rPr>
        <w:t>Management disclosed CoreSite as mid-single-digit % of AFFO growing double-digits; edge compute experiment in Raleigh disclosed. Stock peaked near $194 around this date before reversing.</w:t>
      </w:r>
    </w:p>
    <w:p>
      <w:pPr>
        <w:pStyle w:val="ListBullet"/>
        <w:ind w:left="360" w:hanging="360"/>
      </w:pPr>
      <w:r>
        <w:rPr>
          <w:rFonts w:ascii="Calibri" w:hAnsi="Calibri"/>
          <w:b/>
          <w:color w:val="525866"/>
          <w:sz w:val="22"/>
        </w:rPr>
        <w:t xml:space="preserve">Late June – July 2026: </w:t>
      </w:r>
      <w:r>
        <w:rPr>
          <w:rFonts w:ascii="Calibri" w:hAnsi="Calibri"/>
          <w:color w:val="525866"/>
          <w:sz w:val="22"/>
        </w:rPr>
        <w:t>AMT sold off ~13% from its June peak, likely driven by rate sensitivity, sector rotation, and CCI's weak Q2 print on July 22 signaling softer U.S. tower services activity.</w:t>
      </w:r>
    </w:p>
    <w:p>
      <w:r>
        <w:rPr>
          <w:rFonts w:ascii="Calibri" w:hAnsi="Calibri"/>
          <w:i/>
          <w:color w:val="525866"/>
          <w:sz w:val="22"/>
        </w:rPr>
        <w:t>Source: Yahoo Finance. Sector ETF: RWR (SPDR Dow Jones REIT ETF) — appropriate for AMT's REIT classification. Tower peer: CCI (Crown Castle Inc.).</w:t>
      </w:r>
    </w:p>
    <w:p>
      <w:r>
        <w:br w:type="page"/>
      </w:r>
    </w:p>
    <w:p>
      <w:pPr>
        <w:pStyle w:val="Heading2"/>
      </w:pPr>
      <w:r>
        <w:rPr>
          <w:rFonts w:ascii="Calibri" w:hAnsi="Calibri"/>
          <w:b/>
          <w:color w:val="3B4259"/>
          <w:sz w:val="28"/>
        </w:rPr>
        <w:t>6. Peer Commentaries — Read-Through (Last 60 Days, Q2 2026 Relevant)</w:t>
      </w:r>
    </w:p>
    <w:p>
      <w:r>
        <w:rPr>
          <w:rFonts w:ascii="Calibri" w:hAnsi="Calibri"/>
          <w:b/>
          <w:color w:val="525866"/>
          <w:sz w:val="22"/>
        </w:rPr>
        <w:t xml:space="preserve">Key Takeaway: </w:t>
      </w:r>
      <w:r>
        <w:rPr>
          <w:rFonts w:ascii="Calibri" w:hAnsi="Calibri"/>
          <w:color w:val="525866"/>
          <w:sz w:val="22"/>
        </w:rPr>
        <w:t>Peer commentary from CCI's Q2 2026 earnings (July 22) and SBAC's JP Morgan conference (May 18) are the most directly relevant read-throughs for AMT — CCI's disclosure of lower U.S. services activity in Q3 is a mild negative signal for AMT's U.S. leasing momentum, while SBAC's commentary on Brazil churn peaking and 6G/spectrum tailwinds is constructive for AMT's international thesis.</w:t>
      </w:r>
    </w:p>
    <w:p>
      <w:r>
        <w:rPr>
          <w:rFonts w:ascii="Calibri" w:hAnsi="Calibri"/>
          <w:i/>
          <w:color w:val="525866"/>
          <w:sz w:val="22"/>
        </w:rPr>
        <w:t>Note: Only commentary from the last 60 days (May 27 – July 27, 2026) that speaks to Q2 2026 conditions or the current operating environment is included below. Prior-quarter earnings calls discussing prior-quarter results are excluded.</w:t>
      </w:r>
    </w:p>
    <w:p>
      <w:pPr>
        <w:pStyle w:val="Heading3"/>
      </w:pPr>
      <w:r>
        <w:rPr>
          <w:rFonts w:ascii="Calibri" w:hAnsi="Calibri"/>
          <w:b/>
          <w:color w:val="3B4259"/>
          <w:sz w:val="24"/>
        </w:rPr>
        <w:t>Crown Castle (CCI) — Q2 2026 Earnings Call (July 22, 2026)</w:t>
      </w:r>
    </w:p>
    <w:p>
      <w:r>
        <w:rPr>
          <w:rFonts w:ascii="Calibri" w:hAnsi="Calibri"/>
          <w:b/>
          <w:color w:val="525866"/>
          <w:sz w:val="22"/>
        </w:rPr>
        <w:t>Relevance to AMT: HIGH — Direct U.S. tower peer; most timely read-through available.</w:t>
      </w:r>
    </w:p>
    <w:p>
      <w:pPr>
        <w:pStyle w:val="ListBullet"/>
        <w:ind w:left="360" w:hanging="360"/>
      </w:pPr>
      <w:r>
        <w:rPr>
          <w:rFonts w:ascii="Calibri" w:hAnsi="Calibri"/>
          <w:b/>
          <w:color w:val="525866"/>
          <w:sz w:val="22"/>
        </w:rPr>
        <w:t xml:space="preserve">U.S. Organic Growth: </w:t>
      </w:r>
      <w:r>
        <w:rPr>
          <w:rFonts w:ascii="Calibri" w:hAnsi="Calibri"/>
          <w:color w:val="525866"/>
          <w:sz w:val="22"/>
        </w:rPr>
        <w:t xml:space="preserve">CCI reported Q2 2026 organic growth of 3.9% (ex-Sprint cancellations and DISH terminations), or 4.2% if DISH revenues are excluded from the prior year base. Full-year 2026 organic growth guidance raised to 3.4% (ex-Sprint/DISH), up from 3.3% prior. CCI confirmed 2026 is the “low watermark” for organic growth. </w:t>
      </w:r>
      <w:r>
        <w:rPr>
          <w:rFonts w:ascii="Calibri" w:hAnsi="Calibri"/>
          <w:color w:val="525866"/>
          <w:sz w:val="22"/>
        </w:rPr>
        <w:t>Read-through for AMT: Constructive — CCI's ex-DISH organic growth of ~4% is consistent with AMT's guided ~4% ex-DISH U.S. organic growth, suggesting the underlying leasing environment is tracking as expected.</w:t>
      </w:r>
    </w:p>
    <w:p>
      <w:pPr>
        <w:pStyle w:val="ListBullet"/>
        <w:ind w:left="360" w:hanging="360"/>
      </w:pPr>
      <w:r>
        <w:rPr>
          <w:rFonts w:ascii="Calibri" w:hAnsi="Calibri"/>
          <w:b/>
          <w:color w:val="525866"/>
          <w:sz w:val="22"/>
        </w:rPr>
        <w:t xml:space="preserve">Services Activity Softness (Q3 Warning): </w:t>
      </w:r>
      <w:r>
        <w:rPr>
          <w:rFonts w:ascii="Calibri" w:hAnsi="Calibri"/>
          <w:color w:val="525866"/>
          <w:sz w:val="22"/>
        </w:rPr>
        <w:t xml:space="preserve">CCI lowered its services contribution outlook by $20M for FY 2026, citing lower services activity primarily in Q3, driven by “leadership and strategy changes” at carriers and “large-scale layoffs” leading to “slower decision making.” Importantly, CCI maintained its leasing guide at $60–$70M, noting no straight-line correlation between services and leasing. </w:t>
      </w:r>
      <w:r>
        <w:rPr>
          <w:rFonts w:ascii="Calibri" w:hAnsi="Calibri"/>
          <w:color w:val="525866"/>
          <w:sz w:val="22"/>
        </w:rPr>
        <w:t>Read-through for AMT: Mild negative — AMT generates services revenue from its network development services segment; softer carrier decision-making could weigh on AMT's services line in Q2/Q3, though AMT's services exposure is smaller relative to its total revenue.</w:t>
      </w:r>
    </w:p>
    <w:p>
      <w:pPr>
        <w:pStyle w:val="ListBullet"/>
        <w:ind w:left="360" w:hanging="360"/>
      </w:pPr>
      <w:r>
        <w:rPr>
          <w:rFonts w:ascii="Calibri" w:hAnsi="Calibri"/>
          <w:b/>
          <w:color w:val="525866"/>
          <w:sz w:val="22"/>
        </w:rPr>
        <w:t xml:space="preserve">Spectrum &amp; 5G/6G Tailwinds: </w:t>
      </w:r>
      <w:r>
        <w:rPr>
          <w:rFonts w:ascii="Calibri" w:hAnsi="Calibri"/>
          <w:color w:val="525866"/>
          <w:sz w:val="22"/>
        </w:rPr>
        <w:t xml:space="preserve">CCI highlighted the FCC's plan to auction at least 165MHz between 2026–2027, including upper C-band (440MHz combined). AT&amp;T's 600MHz spectrum acquisition expected to close in July 2026 is a “mid-term driver” for deployment. Higher spectrum bands will “drive greater densification of the networks.” </w:t>
      </w:r>
      <w:r>
        <w:rPr>
          <w:rFonts w:ascii="Calibri" w:hAnsi="Calibri"/>
          <w:color w:val="525866"/>
          <w:sz w:val="22"/>
        </w:rPr>
        <w:t>Read-through for AMT: Positive — Same spectrum tailwinds apply to AMT's U.S. tower portfolio; densification thesis supports long-term leasing demand.</w:t>
      </w:r>
    </w:p>
    <w:p>
      <w:pPr>
        <w:pStyle w:val="ListBullet"/>
        <w:ind w:left="360" w:hanging="360"/>
      </w:pPr>
      <w:r>
        <w:rPr>
          <w:rFonts w:ascii="Calibri" w:hAnsi="Calibri"/>
          <w:b/>
          <w:color w:val="525866"/>
          <w:sz w:val="22"/>
        </w:rPr>
        <w:t xml:space="preserve">Edge Compute Trials: </w:t>
      </w:r>
      <w:r>
        <w:rPr>
          <w:rFonts w:ascii="Calibri" w:hAnsi="Calibri"/>
          <w:color w:val="525866"/>
          <w:sz w:val="22"/>
        </w:rPr>
        <w:t xml:space="preserve">CCI disclosed “several trials with edge data center providers” and sees “growing interest” in distributed compute deployments on its tower sites (sub-0.2MW applications). Positioned as incremental revenue with “great return profile” requiring no new capital. </w:t>
      </w:r>
      <w:r>
        <w:rPr>
          <w:rFonts w:ascii="Calibri" w:hAnsi="Calibri"/>
          <w:color w:val="525866"/>
          <w:sz w:val="22"/>
        </w:rPr>
        <w:t>Read-through for AMT: Positive — Validates AMT's own edge compute experiment in Raleigh; suggests the edge opportunity is gaining industry-wide traction, though still early-stage.</w:t>
      </w:r>
    </w:p>
    <w:p>
      <w:pPr>
        <w:pStyle w:val="ListBullet"/>
        <w:ind w:left="360" w:hanging="360"/>
      </w:pPr>
      <w:r>
        <w:rPr>
          <w:rFonts w:ascii="Calibri" w:hAnsi="Calibri"/>
          <w:b/>
          <w:color w:val="525866"/>
          <w:sz w:val="22"/>
        </w:rPr>
        <w:t xml:space="preserve">DISH Bankruptcy: </w:t>
      </w:r>
      <w:r>
        <w:rPr>
          <w:rFonts w:ascii="Calibri" w:hAnsi="Calibri"/>
          <w:color w:val="525866"/>
          <w:sz w:val="22"/>
        </w:rPr>
        <w:t xml:space="preserve">CCI is pursuing its $3.5B contractual claim in bankruptcy court. The $2.4B FCC-mandated escrow (tied to AT&amp;T spectrum transaction close) is intended to satisfy network-related obligations including infrastructure claims. CCI believes the 15% bankruptcy cap does not apply to its claim. </w:t>
      </w:r>
      <w:r>
        <w:rPr>
          <w:rFonts w:ascii="Calibri" w:hAnsi="Calibri"/>
          <w:color w:val="525866"/>
          <w:sz w:val="22"/>
        </w:rPr>
        <w:t>Read-through for AMT: Directly relevant — AMT has its own litigation against DISH/EchoStar. CCI's commentary confirms the escrow mechanism is real and the AT&amp;T transaction closing is the key trigger. Any update on timing would be a catalyst for both companies.</w:t>
      </w:r>
    </w:p>
    <w:p>
      <w:pPr>
        <w:pStyle w:val="ListBullet"/>
        <w:ind w:left="360" w:hanging="360"/>
      </w:pPr>
      <w:r>
        <w:rPr>
          <w:rFonts w:ascii="Calibri" w:hAnsi="Calibri"/>
          <w:b/>
          <w:color w:val="525866"/>
          <w:sz w:val="22"/>
        </w:rPr>
        <w:t xml:space="preserve">Satellite as Complement: </w:t>
      </w:r>
      <w:r>
        <w:rPr>
          <w:rFonts w:ascii="Calibri" w:hAnsi="Calibri"/>
          <w:color w:val="525866"/>
          <w:sz w:val="22"/>
        </w:rPr>
        <w:t xml:space="preserve">CCI provided detailed technical analysis showing satellite signals are ~10,000x weaker than terrestrial, satellite operators have only tens of MHz vs. hundreds for carriers, and satellite beams cover 100–600 sq mi vs. 3–20 sq mi for cell sites. </w:t>
      </w:r>
      <w:r>
        <w:rPr>
          <w:rFonts w:ascii="Calibri" w:hAnsi="Calibri"/>
          <w:color w:val="525866"/>
          <w:sz w:val="22"/>
        </w:rPr>
        <w:t>Read-through for AMT: Positive — Reinforces AMT management's view that satellite is complementary, not competitive.</w:t>
      </w:r>
    </w:p>
    <w:p>
      <w:pPr>
        <w:pStyle w:val="Heading3"/>
      </w:pPr>
      <w:r>
        <w:rPr>
          <w:rFonts w:ascii="Calibri" w:hAnsi="Calibri"/>
          <w:b/>
          <w:color w:val="3B4259"/>
          <w:sz w:val="24"/>
        </w:rPr>
        <w:t>SBA Communications (SBAC) — JP Morgan TMC Conference (May 18, 2026)</w:t>
      </w:r>
    </w:p>
    <w:p>
      <w:r>
        <w:rPr>
          <w:rFonts w:ascii="Calibri" w:hAnsi="Calibri"/>
          <w:b/>
          <w:color w:val="525866"/>
          <w:sz w:val="22"/>
        </w:rPr>
        <w:t>Relevance to AMT: HIGH — Direct global tower peer; commentary covers U.S. and Brazil (AMT's key LatAm market).</w:t>
      </w:r>
    </w:p>
    <w:p>
      <w:pPr>
        <w:pStyle w:val="ListBullet"/>
        <w:ind w:left="360" w:hanging="360"/>
      </w:pPr>
      <w:r>
        <w:rPr>
          <w:rFonts w:ascii="Calibri" w:hAnsi="Calibri"/>
          <w:b/>
          <w:color w:val="525866"/>
          <w:sz w:val="22"/>
        </w:rPr>
        <w:t xml:space="preserve">U.S. Carrier Spending in “Harvest Mode”: </w:t>
      </w:r>
      <w:r>
        <w:rPr>
          <w:rFonts w:ascii="Calibri" w:hAnsi="Calibri"/>
          <w:color w:val="525866"/>
          <w:sz w:val="22"/>
        </w:rPr>
        <w:t xml:space="preserve">SBAC noted carrier CapEx as % of revenue dropped from ~25% in 2022–2023 to below 15% in 2025 and expected to remain below 15% in 2026. T-Mobile was most active in 2025 but has “stepped down” in 2026; Verizon expected to be most active in 2026 (new 10-yr MLA signed Nov 2025); AT&amp;T has “no business” currently despite MLA valid until mid-2028. </w:t>
      </w:r>
      <w:r>
        <w:rPr>
          <w:rFonts w:ascii="Calibri" w:hAnsi="Calibri"/>
          <w:color w:val="525866"/>
          <w:sz w:val="22"/>
        </w:rPr>
        <w:t>Read-through for AMT: Neutral-to-mild negative — Confirms the U.S. leasing environment is subdued in 2026, consistent with AMT's ~1% reported (4% ex-DISH) U.S. organic growth guidance. No acceleration signal.</w:t>
      </w:r>
    </w:p>
    <w:p>
      <w:pPr>
        <w:pStyle w:val="ListBullet"/>
        <w:ind w:left="360" w:hanging="360"/>
      </w:pPr>
      <w:r>
        <w:rPr>
          <w:rFonts w:ascii="Calibri" w:hAnsi="Calibri"/>
          <w:b/>
          <w:color w:val="525866"/>
          <w:sz w:val="22"/>
        </w:rPr>
        <w:t xml:space="preserve">Long-Term U.S. Growth Algorithm: </w:t>
      </w:r>
      <w:r>
        <w:rPr>
          <w:rFonts w:ascii="Calibri" w:hAnsi="Calibri"/>
          <w:color w:val="525866"/>
          <w:sz w:val="22"/>
        </w:rPr>
        <w:t xml:space="preserve">SBAC outlined a 4.5–5% long-term U.S. growth rate: 3% from escalators + 2.5–3% from new lease activity – 1% churn. Densification is “definitely ongoing.” Build-to-suit dialogue is “shifting” with conversations “happening again” after prior unattractive rates. </w:t>
      </w:r>
      <w:r>
        <w:rPr>
          <w:rFonts w:ascii="Calibri" w:hAnsi="Calibri"/>
          <w:color w:val="525866"/>
          <w:sz w:val="22"/>
        </w:rPr>
        <w:t>Read-through for AMT: Positive — Consistent with AMT's mid-single-digit U.S. AFFO growth algorithm; BTS dialogue improving is a potential upside catalyst.</w:t>
      </w:r>
    </w:p>
    <w:p>
      <w:pPr>
        <w:pStyle w:val="ListBullet"/>
        <w:ind w:left="360" w:hanging="360"/>
      </w:pPr>
      <w:r>
        <w:rPr>
          <w:rFonts w:ascii="Calibri" w:hAnsi="Calibri"/>
          <w:b/>
          <w:color w:val="525866"/>
          <w:sz w:val="22"/>
        </w:rPr>
        <w:t xml:space="preserve">Brazil Churn Peaking: </w:t>
      </w:r>
      <w:r>
        <w:rPr>
          <w:rFonts w:ascii="Calibri" w:hAnsi="Calibri"/>
          <w:color w:val="525866"/>
          <w:sz w:val="22"/>
        </w:rPr>
        <w:t xml:space="preserve">SBAC confirmed “this year’s peak churn in Brazil” from Oi consolidation. Long-term Brazil growth expected at “high single-digit” (CPI ~5–6% + ~4% lease-up). Inflation “under control” after aggressive Central Bank action in early 2025. </w:t>
      </w:r>
      <w:r>
        <w:rPr>
          <w:rFonts w:ascii="Calibri" w:hAnsi="Calibri"/>
          <w:color w:val="525866"/>
          <w:sz w:val="22"/>
        </w:rPr>
        <w:t>Read-through for AMT: Positive — Directly validates AMT's thesis that LatAm churn is peaking in 2026 with recovery in 2027. SBAC's Brazil commentary is the strongest independent confirmation of AMT's LatAm recovery narrative.</w:t>
      </w:r>
    </w:p>
    <w:p>
      <w:pPr>
        <w:pStyle w:val="ListBullet"/>
        <w:ind w:left="360" w:hanging="360"/>
      </w:pPr>
      <w:r>
        <w:rPr>
          <w:rFonts w:ascii="Calibri" w:hAnsi="Calibri"/>
          <w:b/>
          <w:color w:val="525866"/>
          <w:sz w:val="22"/>
        </w:rPr>
        <w:t xml:space="preserve">6G and Spectrum Tailwinds: </w:t>
      </w:r>
      <w:r>
        <w:rPr>
          <w:rFonts w:ascii="Calibri" w:hAnsi="Calibri"/>
          <w:color w:val="525866"/>
          <w:sz w:val="22"/>
        </w:rPr>
        <w:t xml:space="preserve">FCC mandated to auction upper C-band in H1 2027 with ~18 months of clearing. All OEMs already have 6G radios in lab/beta. 6G expected in “late ’28, ’29.” Starlink's acquired spectrum is “way too valuable not to be deployed” and could drive “a higher growth rate” for tower companies. Fixed wireless access: 15M customers consuming 50% of tonnage/15% of capacity; industry adding another 10M FWA customers in 2026. </w:t>
      </w:r>
      <w:r>
        <w:rPr>
          <w:rFonts w:ascii="Calibri" w:hAnsi="Calibri"/>
          <w:color w:val="525866"/>
          <w:sz w:val="22"/>
        </w:rPr>
        <w:t>Read-through for AMT: Positive — Reinforces AMT's 6G densification thesis and FWA capacity demand narrative. Starlink spectrum deployment would be incremental upside to AMT's U.S. growth algorithm.</w:t>
      </w:r>
    </w:p>
    <w:p>
      <w:pPr>
        <w:pStyle w:val="ListBullet"/>
        <w:ind w:left="360" w:hanging="360"/>
      </w:pPr>
      <w:r>
        <w:rPr>
          <w:rFonts w:ascii="Calibri" w:hAnsi="Calibri"/>
          <w:b/>
          <w:color w:val="525866"/>
          <w:sz w:val="22"/>
        </w:rPr>
        <w:t xml:space="preserve">Edge Compute Opportunity: </w:t>
      </w:r>
      <w:r>
        <w:rPr>
          <w:rFonts w:ascii="Calibri" w:hAnsi="Calibri"/>
          <w:color w:val="525866"/>
          <w:sz w:val="22"/>
        </w:rPr>
        <w:t xml:space="preserve">SBAC sees latency as critical for AI agents; edge data centers need to be “right at the edge of the network.” Key open question: will a metro-area edge facility (50–100K sq ft) suffice, or does compute need to be at the tower base? SBAC has space and power but “demand is still unclear.” </w:t>
      </w:r>
      <w:r>
        <w:rPr>
          <w:rFonts w:ascii="Calibri" w:hAnsi="Calibri"/>
          <w:color w:val="525866"/>
          <w:sz w:val="22"/>
        </w:rPr>
        <w:t>Read-through for AMT: Neutral — SBAC's uncertainty about edge demand mirrors AMT's own early-stage framing; neither company has defined the use case or monetization model yet.</w:t>
      </w:r>
    </w:p>
    <w:p>
      <w:pPr>
        <w:pStyle w:val="Heading3"/>
      </w:pPr>
      <w:r>
        <w:rPr>
          <w:rFonts w:ascii="Calibri" w:hAnsi="Calibri"/>
          <w:b/>
          <w:color w:val="3B4259"/>
          <w:sz w:val="24"/>
        </w:rPr>
        <w:t>Crown Castle (CCI) — Nareit REITweek Conference (June 2, 2026)</w:t>
      </w:r>
    </w:p>
    <w:p>
      <w:r>
        <w:rPr>
          <w:rFonts w:ascii="Calibri" w:hAnsi="Calibri"/>
          <w:b/>
          <w:color w:val="525866"/>
          <w:sz w:val="22"/>
        </w:rPr>
        <w:t>Relevance to AMT: MEDIUM — Confirms industry-level themes; some overlap with Q2 earnings call commentary.</w:t>
      </w:r>
    </w:p>
    <w:p>
      <w:pPr>
        <w:pStyle w:val="ListBullet"/>
        <w:ind w:left="360" w:hanging="360"/>
      </w:pPr>
      <w:r>
        <w:rPr>
          <w:rFonts w:ascii="Calibri" w:hAnsi="Calibri"/>
          <w:b/>
          <w:color w:val="525866"/>
          <w:sz w:val="22"/>
        </w:rPr>
        <w:t xml:space="preserve">2026 as Low Watermark: </w:t>
      </w:r>
      <w:r>
        <w:rPr>
          <w:rFonts w:ascii="Calibri" w:hAnsi="Calibri"/>
          <w:color w:val="525866"/>
          <w:sz w:val="22"/>
        </w:rPr>
        <w:t xml:space="preserve">CCI CEO confirmed 2026 is the “low watermark in terms of growth” for the industry, with “additional upside opportunity” based on existing MLAs. Customers are asking to “do more business” with CCI. </w:t>
      </w:r>
      <w:r>
        <w:rPr>
          <w:rFonts w:ascii="Calibri" w:hAnsi="Calibri"/>
          <w:color w:val="525866"/>
          <w:sz w:val="22"/>
        </w:rPr>
        <w:t>Read-through for AMT: Positive — Consistent with AMT's own framing that 2026 is a trough year for reported organic growth (DISH-impacted) with acceleration expected in 2027.</w:t>
      </w:r>
    </w:p>
    <w:p>
      <w:pPr>
        <w:pStyle w:val="ListBullet"/>
        <w:ind w:left="360" w:hanging="360"/>
      </w:pPr>
      <w:r>
        <w:rPr>
          <w:rFonts w:ascii="Calibri" w:hAnsi="Calibri"/>
          <w:b/>
          <w:color w:val="525866"/>
          <w:sz w:val="22"/>
        </w:rPr>
        <w:t xml:space="preserve">Data Growth as Leading Indicator: </w:t>
      </w:r>
      <w:r>
        <w:rPr>
          <w:rFonts w:ascii="Calibri" w:hAnsi="Calibri"/>
          <w:color w:val="525866"/>
          <w:sz w:val="22"/>
        </w:rPr>
        <w:t xml:space="preserve">Data growth has been “30%+ over the last 3 years” with the prior year being the “largest individual data growth year-over-year on record” (CTIA study). Fixed wireless has “exploded.” AI upload bandwidth requirements will “fundamentally change” data usage patterns. </w:t>
      </w:r>
      <w:r>
        <w:rPr>
          <w:rFonts w:ascii="Calibri" w:hAnsi="Calibri"/>
          <w:color w:val="525866"/>
          <w:sz w:val="22"/>
        </w:rPr>
        <w:t>Read-through for AMT: Positive — Structural demand tailwinds for tower infrastructure remain intact; supports AMT's long-term densification thesis.</w:t>
      </w:r>
    </w:p>
    <w:p>
      <w:pPr>
        <w:pStyle w:val="ListBullet"/>
        <w:ind w:left="360" w:hanging="360"/>
      </w:pPr>
      <w:r>
        <w:rPr>
          <w:rFonts w:ascii="Calibri" w:hAnsi="Calibri"/>
          <w:b/>
          <w:color w:val="525866"/>
          <w:sz w:val="22"/>
        </w:rPr>
        <w:t xml:space="preserve">6G and Administration Support: </w:t>
      </w:r>
      <w:r>
        <w:rPr>
          <w:rFonts w:ascii="Calibri" w:hAnsi="Calibri"/>
          <w:color w:val="525866"/>
          <w:sz w:val="22"/>
        </w:rPr>
        <w:t xml:space="preserve">CCI CEO noted the White House is “fully behind 6G” as a U.S. technology leadership opportunity. 800MHz spectrum auction starting 2027 “could fuel the next 5–10 years easily of growth.” </w:t>
      </w:r>
      <w:r>
        <w:rPr>
          <w:rFonts w:ascii="Calibri" w:hAnsi="Calibri"/>
          <w:color w:val="525866"/>
          <w:sz w:val="22"/>
        </w:rPr>
        <w:t>Read-through for AMT: Positive — Policy tailwind for 6G densification is a long-term positive for AMT's tower portfolio, particularly given AMT's commentary that the ‘big beautiful bill’ directs spectrum identification in the 6–8 GHz range.</w:t>
      </w:r>
    </w:p>
    <w:p>
      <w:pPr>
        <w:pStyle w:val="Heading3"/>
      </w:pPr>
      <w:r>
        <w:rPr>
          <w:rFonts w:ascii="Calibri" w:hAnsi="Calibri"/>
          <w:b/>
          <w:color w:val="3B4259"/>
          <w:sz w:val="24"/>
        </w:rPr>
        <w:t>Digital Realty (DLR) — Q2 2026 Earnings Call (July 23, 2026)</w:t>
      </w:r>
    </w:p>
    <w:p>
      <w:r>
        <w:rPr>
          <w:rFonts w:ascii="Calibri" w:hAnsi="Calibri"/>
          <w:b/>
          <w:color w:val="525866"/>
          <w:sz w:val="22"/>
        </w:rPr>
        <w:t>Relevance to AMT: MEDIUM — Relevant for CoreSite read-through on data center demand and AI inferencing.</w:t>
      </w:r>
    </w:p>
    <w:p>
      <w:pPr>
        <w:pStyle w:val="ListBullet"/>
        <w:ind w:left="360" w:hanging="360"/>
      </w:pPr>
      <w:r>
        <w:rPr>
          <w:rFonts w:ascii="Calibri" w:hAnsi="Calibri"/>
          <w:b/>
          <w:color w:val="525866"/>
          <w:sz w:val="22"/>
        </w:rPr>
        <w:t xml:space="preserve">Record Data Center Demand: </w:t>
      </w:r>
      <w:r>
        <w:rPr>
          <w:rFonts w:ascii="Calibri" w:hAnsi="Calibri"/>
          <w:color w:val="525866"/>
          <w:sz w:val="22"/>
        </w:rPr>
        <w:t xml:space="preserve">DLR reported record Q2 2026 results with core FFO of $2.13/share (ex-promote), up 14% YoY. Colocation/interconnection bookings hit $108M (third consecutive quarterly record, double the $50M/quarter average from two years prior). Backlog reached a record $1.9B. Development pipeline expanded to 1.4GW under construction at $20B total cost, 63% pre-leased at 11.5% stabilized yield. </w:t>
      </w:r>
      <w:r>
        <w:rPr>
          <w:rFonts w:ascii="Calibri" w:hAnsi="Calibri"/>
          <w:color w:val="525866"/>
          <w:sz w:val="22"/>
        </w:rPr>
        <w:t>Read-through for AMT/CoreSite: Positive — DLR's record interconnection bookings and AI inference demand directly validate AMT's Q1 2026 commentary about a “clear inflection in interconnection activity” at CoreSite. The data center demand environment is robust heading into Q2.</w:t>
      </w:r>
    </w:p>
    <w:p>
      <w:pPr>
        <w:pStyle w:val="ListBullet"/>
        <w:ind w:left="360" w:hanging="360"/>
      </w:pPr>
      <w:r>
        <w:rPr>
          <w:rFonts w:ascii="Calibri" w:hAnsi="Calibri"/>
          <w:b/>
          <w:color w:val="525866"/>
          <w:sz w:val="22"/>
        </w:rPr>
        <w:t xml:space="preserve">AI Inference Driving Colo Demand: </w:t>
      </w:r>
      <w:r>
        <w:rPr>
          <w:rFonts w:ascii="Calibri" w:hAnsi="Calibri"/>
          <w:color w:val="525866"/>
          <w:sz w:val="22"/>
        </w:rPr>
        <w:t xml:space="preserve">AI contributed ~20% of DLR's 0–1MW bookings in Q2. DLR noted “in 2026, there’s more inference tokens being produced than actual training.” Largest lease in company history was an “AA-rated hyperscaler AI inference” deployment in Charlotte. </w:t>
      </w:r>
      <w:r>
        <w:rPr>
          <w:rFonts w:ascii="Calibri" w:hAnsi="Calibri"/>
          <w:color w:val="525866"/>
          <w:sz w:val="22"/>
        </w:rPr>
        <w:t>Read-through for AMT/CoreSite: Positive — AI inference is the fastest-growing use case in interconnected data centers, which is CoreSite's core product. DLR's data validates AMT's decision to raise CoreSite CapEx to ~$800M/yr.</w:t>
      </w:r>
    </w:p>
    <w:p>
      <w:pPr>
        <w:pStyle w:val="ListBullet"/>
        <w:ind w:left="360" w:hanging="360"/>
      </w:pPr>
      <w:r>
        <w:rPr>
          <w:rFonts w:ascii="Calibri" w:hAnsi="Calibri"/>
          <w:b/>
          <w:color w:val="525866"/>
          <w:sz w:val="22"/>
        </w:rPr>
        <w:t xml:space="preserve">Guidance Raised Again: </w:t>
      </w:r>
      <w:r>
        <w:rPr>
          <w:rFonts w:ascii="Calibri" w:hAnsi="Calibri"/>
          <w:color w:val="525866"/>
          <w:sz w:val="22"/>
        </w:rPr>
        <w:t xml:space="preserve">DLR raised FY 2026 core FFO/share guidance (ex-promote) by $0.10–0.15 to $8.15–8.20, implying 10% constant-currency growth — second consecutive year of double-digit growth. Cash renewal spreads raised to 9–11%. </w:t>
      </w:r>
      <w:r>
        <w:rPr>
          <w:rFonts w:ascii="Calibri" w:hAnsi="Calibri"/>
          <w:color w:val="525866"/>
          <w:sz w:val="22"/>
        </w:rPr>
        <w:t>Read-through for AMT/CoreSite: Positive — DLR's continued guidance raises suggest the data center demand environment is better than expected, which is a positive read-through for CoreSite's ~13% guided revenue growth.</w:t>
      </w:r>
    </w:p>
    <w:p>
      <w:pPr>
        <w:pStyle w:val="ListBullet"/>
        <w:ind w:left="360" w:hanging="360"/>
      </w:pPr>
      <w:r>
        <w:rPr>
          <w:rFonts w:ascii="Calibri" w:hAnsi="Calibri"/>
          <w:b/>
          <w:color w:val="525866"/>
          <w:sz w:val="22"/>
        </w:rPr>
        <w:t xml:space="preserve">Supply Constraints Tightening: </w:t>
      </w:r>
      <w:r>
        <w:rPr>
          <w:rFonts w:ascii="Calibri" w:hAnsi="Calibri"/>
          <w:color w:val="525866"/>
          <w:sz w:val="22"/>
        </w:rPr>
        <w:t xml:space="preserve">DLR noted it is “becoming more and more challenging to deliver critical digital infrastructure,” with land, power, and labor costs rising. Development pipeline cost increased from ~$10–11M/MW to ~$14M/MW. </w:t>
      </w:r>
      <w:r>
        <w:rPr>
          <w:rFonts w:ascii="Calibri" w:hAnsi="Calibri"/>
          <w:color w:val="525866"/>
          <w:sz w:val="22"/>
        </w:rPr>
        <w:t>Read-through for AMT/CoreSite: Positive — Supply constraints benefit existing, well-located interconnected data center assets like CoreSite's nine-campus portfolio. Pricing power should remain elevated.</w:t>
      </w:r>
    </w:p>
    <w:p>
      <w:pPr>
        <w:pStyle w:val="Heading3"/>
      </w:pPr>
      <w:r>
        <w:rPr>
          <w:rFonts w:ascii="Calibri" w:hAnsi="Calibri"/>
          <w:b/>
          <w:color w:val="3B4259"/>
          <w:sz w:val="24"/>
        </w:rPr>
        <w:t>Equinix (EQIX) — Nareit REITweek Conference (June 3, 2026)</w:t>
      </w:r>
    </w:p>
    <w:p>
      <w:r>
        <w:rPr>
          <w:rFonts w:ascii="Calibri" w:hAnsi="Calibri"/>
          <w:b/>
          <w:color w:val="525866"/>
          <w:sz w:val="22"/>
        </w:rPr>
        <w:t>Relevance to AMT: MEDIUM — Relevant for CoreSite interconnection read-through; EQIX is the closest comp to CoreSite's interconnection-hub model.</w:t>
      </w:r>
    </w:p>
    <w:p>
      <w:pPr>
        <w:pStyle w:val="ListBullet"/>
        <w:ind w:left="360" w:hanging="360"/>
      </w:pPr>
      <w:r>
        <w:rPr>
          <w:rFonts w:ascii="Calibri" w:hAnsi="Calibri"/>
          <w:b/>
          <w:color w:val="525866"/>
          <w:sz w:val="22"/>
        </w:rPr>
        <w:t xml:space="preserve">AI Inference Driving Interconnection: </w:t>
      </w:r>
      <w:r>
        <w:rPr>
          <w:rFonts w:ascii="Calibri" w:hAnsi="Calibri"/>
          <w:color w:val="525866"/>
          <w:sz w:val="22"/>
        </w:rPr>
        <w:t xml:space="preserve">EQIX described AI as requiring “a diverse marketplace where players meet and exchange data” — exactly the interconnection hub model. AI contributed ~20% of enterprise colo bookings in Q1 2026 (up from high single digits). EQIX has 8 of the top AI labs in its network. Rack density increased 36% YoY in Q1. </w:t>
      </w:r>
      <w:r>
        <w:rPr>
          <w:rFonts w:ascii="Calibri" w:hAnsi="Calibri"/>
          <w:color w:val="525866"/>
          <w:sz w:val="22"/>
        </w:rPr>
        <w:t>Read-through for AMT/CoreSite: Positive — EQIX's data validates the interconnection inflection AMT described at Q1 earnings. CoreSite's second-only-to-EQIX interconnection density (400+ networks across 9 campuses) positions it well to capture similar AI-driven demand.</w:t>
      </w:r>
    </w:p>
    <w:p>
      <w:pPr>
        <w:pStyle w:val="ListBullet"/>
        <w:ind w:left="360" w:hanging="360"/>
      </w:pPr>
      <w:r>
        <w:rPr>
          <w:rFonts w:ascii="Calibri" w:hAnsi="Calibri"/>
          <w:b/>
          <w:color w:val="525866"/>
          <w:sz w:val="22"/>
        </w:rPr>
        <w:t xml:space="preserve">End Markets “Stronger Than Expected”: </w:t>
      </w:r>
      <w:r>
        <w:rPr>
          <w:rFonts w:ascii="Calibri" w:hAnsi="Calibri"/>
          <w:color w:val="525866"/>
          <w:sz w:val="22"/>
        </w:rPr>
        <w:t xml:space="preserve">EQIX CFO stated the company has “access for the next 5 years to more land, power, water, power management equipment than we need.” Guidance raised to ~9%+ FFO/share growth for FY 2026, trending toward double digits. </w:t>
      </w:r>
      <w:r>
        <w:rPr>
          <w:rFonts w:ascii="Calibri" w:hAnsi="Calibri"/>
          <w:color w:val="525866"/>
          <w:sz w:val="22"/>
        </w:rPr>
        <w:t>Read-through for AMT/CoreSite: Positive — EQIX's supply security and demand visibility provide a favorable backdrop for CoreSite's own expansion plans.</w:t>
      </w:r>
    </w:p>
    <w:p>
      <w:pPr>
        <w:pStyle w:val="ListBullet"/>
        <w:ind w:left="360" w:hanging="360"/>
      </w:pPr>
      <w:r>
        <w:rPr>
          <w:rFonts w:ascii="Calibri" w:hAnsi="Calibri"/>
          <w:b/>
          <w:color w:val="525866"/>
          <w:sz w:val="22"/>
        </w:rPr>
        <w:t xml:space="preserve">Pricing Power: </w:t>
      </w:r>
      <w:r>
        <w:rPr>
          <w:rFonts w:ascii="Calibri" w:hAnsi="Calibri"/>
          <w:color w:val="525866"/>
          <w:sz w:val="22"/>
        </w:rPr>
        <w:t xml:space="preserve">EQIX noted prices are “continuing to grind higher” with returns on assets in the “mid-20s.” Supply is “being curtailed for long durations of time” in key markets. </w:t>
      </w:r>
      <w:r>
        <w:rPr>
          <w:rFonts w:ascii="Calibri" w:hAnsi="Calibri"/>
          <w:color w:val="525866"/>
          <w:sz w:val="22"/>
        </w:rPr>
        <w:t>Read-through for AMT/CoreSite: Positive — Pricing environment supports CoreSite's mid-teens or better stabilized yields and validates AMT's decision to accelerate CoreSite CapEx.</w:t>
      </w:r>
    </w:p>
    <w:p>
      <w:r>
        <w:rPr>
          <w:rFonts w:ascii="Calibri" w:hAnsi="Calibri"/>
          <w:i/>
          <w:color w:val="525866"/>
          <w:sz w:val="22"/>
        </w:rPr>
        <w:t>Sources: CCI Q2 2026 Earnings Call (July 22, 2026); SBAC JP Morgan Global Technology, Media and Communications Conference (May 18, 2026); CCI Nareit REITweek Conference (June 2, 2026); DLR Q2 2026 Earnings Call (July 23, 2026); EQIX Nareit REITweek Conference (June 3, 2026).</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tripling of CoreSite annual CapEx to ~$800M, signaling a step-change in AMT's data center growth ambitions; the DISH/EchoStar escrow mechanism tied to the AT&amp;T spectrum transaction remains the single biggest binary catalyst for the print.</w:t>
      </w:r>
    </w:p>
    <w:p>
      <w:pPr>
        <w:pStyle w:val="ListBullet"/>
        <w:ind w:left="360" w:hanging="360"/>
      </w:pPr>
      <w:r>
        <w:rPr>
          <w:rFonts w:ascii="Calibri" w:hAnsi="Calibri"/>
          <w:b/>
          <w:color w:val="525866"/>
          <w:sz w:val="22"/>
        </w:rPr>
        <w:t xml:space="preserve">May 14, 2026 — CoreSite CapEx Raised to ~$800M/yr (Moffett Nathanson Conference): </w:t>
      </w:r>
      <w:r>
        <w:rPr>
          <w:rFonts w:ascii="Calibri" w:hAnsi="Calibri"/>
          <w:color w:val="525866"/>
          <w:sz w:val="22"/>
        </w:rPr>
        <w:t xml:space="preserve">Management disclosed annual CoreSite capital investment has been increased from ~$200M to ~$800M per year, reflecting AI inferencing demand and pipeline visibility. Management signaled this elevated level may continue or grow further. </w:t>
      </w:r>
      <w:r>
        <w:rPr>
          <w:rFonts w:ascii="Calibri" w:hAnsi="Calibri"/>
          <w:b/>
          <w:color w:val="525866"/>
          <w:sz w:val="22"/>
        </w:rPr>
        <w:t xml:space="preserve">Implication: </w:t>
      </w:r>
      <w:r>
        <w:rPr>
          <w:rFonts w:ascii="Calibri" w:hAnsi="Calibri"/>
          <w:color w:val="525866"/>
          <w:sz w:val="22"/>
        </w:rPr>
        <w:t>This is the most significant post-Q1 development — a 4x increase in CoreSite CapEx signals management's conviction in data center demand and will drive higher future AFFO growth from CoreSite, though near-term CapEx drag may weigh on FCF.</w:t>
      </w:r>
    </w:p>
    <w:p>
      <w:pPr>
        <w:pStyle w:val="ListBullet"/>
        <w:ind w:left="360" w:hanging="360"/>
      </w:pPr>
      <w:r>
        <w:rPr>
          <w:rFonts w:ascii="Calibri" w:hAnsi="Calibri"/>
          <w:b/>
          <w:color w:val="525866"/>
          <w:sz w:val="22"/>
        </w:rPr>
        <w:t xml:space="preserve">May 12, 2026 — FCC Approves EchoStar Spectrum Transfer to AT&amp;T and SpaceX (with $2.4B Escrow): </w:t>
      </w:r>
      <w:r>
        <w:rPr>
          <w:rFonts w:ascii="Calibri" w:hAnsi="Calibri"/>
          <w:color w:val="525866"/>
          <w:sz w:val="22"/>
        </w:rPr>
        <w:t xml:space="preserve">FCC approved the EchoStar spectrum sale to AT&amp;T and SpaceX, contingent on a $2.4B escrow account for vendor obligations. AMT management stated their litigation continues independently and is not limited by the escrow. Faster spectrum deployment by AT&amp;T/SpaceX is a potential new revenue event for AMT towers. </w:t>
      </w:r>
      <w:r>
        <w:rPr>
          <w:rFonts w:ascii="Calibri" w:hAnsi="Calibri"/>
          <w:b/>
          <w:color w:val="525866"/>
          <w:sz w:val="22"/>
        </w:rPr>
        <w:t xml:space="preserve">Implication: </w:t>
      </w:r>
      <w:r>
        <w:rPr>
          <w:rFonts w:ascii="Calibri" w:hAnsi="Calibri"/>
          <w:color w:val="525866"/>
          <w:sz w:val="22"/>
        </w:rPr>
        <w:t>The escrow is the key mechanism for AMT to recover DISH-related revenue. Any update on AT&amp;T transaction timing or AMT's claim size would be the single biggest stock catalyst on the Q2 call.</w:t>
      </w:r>
    </w:p>
    <w:p>
      <w:pPr>
        <w:pStyle w:val="ListBullet"/>
        <w:ind w:left="360" w:hanging="360"/>
      </w:pPr>
      <w:r>
        <w:rPr>
          <w:rFonts w:ascii="Calibri" w:hAnsi="Calibri"/>
          <w:b/>
          <w:color w:val="525866"/>
          <w:sz w:val="22"/>
        </w:rPr>
        <w:t xml:space="preserve">May 14, 2026 — AT&amp;T/T-Mobile/Verizon Satellite Direct-to-Device JV Announced: </w:t>
      </w:r>
      <w:r>
        <w:rPr>
          <w:rFonts w:ascii="Calibri" w:hAnsi="Calibri"/>
          <w:color w:val="525866"/>
          <w:sz w:val="22"/>
        </w:rPr>
        <w:t xml:space="preserve">The three major U.S. carriers announced a satellite direct-to-device JV. AMT management views this as further validation that satellite extends terrestrial coverage rather than competing with it. </w:t>
      </w:r>
      <w:r>
        <w:rPr>
          <w:rFonts w:ascii="Calibri" w:hAnsi="Calibri"/>
          <w:b/>
          <w:color w:val="525866"/>
          <w:sz w:val="22"/>
        </w:rPr>
        <w:t xml:space="preserve">Implication: </w:t>
      </w:r>
      <w:r>
        <w:rPr>
          <w:rFonts w:ascii="Calibri" w:hAnsi="Calibri"/>
          <w:color w:val="525866"/>
          <w:sz w:val="22"/>
        </w:rPr>
        <w:t>Removes a key bear thesis (satellite displacement risk) and is incrementally positive for AMT's long-term tower demand outlook.</w:t>
      </w:r>
    </w:p>
    <w:p>
      <w:pPr>
        <w:pStyle w:val="ListBullet"/>
        <w:ind w:left="360" w:hanging="360"/>
      </w:pPr>
      <w:r>
        <w:rPr>
          <w:rFonts w:ascii="Calibri" w:hAnsi="Calibri"/>
          <w:b/>
          <w:color w:val="525866"/>
          <w:sz w:val="22"/>
        </w:rPr>
        <w:t xml:space="preserve">May 7, 2026 — AMT Amends Credit Facilities, Extends Maturities (8-K): </w:t>
      </w:r>
      <w:r>
        <w:rPr>
          <w:rFonts w:ascii="Calibri" w:hAnsi="Calibri"/>
          <w:color w:val="525866"/>
          <w:sz w:val="22"/>
        </w:rPr>
        <w:t xml:space="preserve">American Tower amended its credit facilities and extended maturities, enhancing financial flexibility. AMT already holds the lowest leverage (4.9x) and highest credit rating among tower peers (BBB+ at two of three agencies). </w:t>
      </w:r>
      <w:r>
        <w:rPr>
          <w:rFonts w:ascii="Calibri" w:hAnsi="Calibri"/>
          <w:b/>
          <w:color w:val="525866"/>
          <w:sz w:val="22"/>
        </w:rPr>
        <w:t xml:space="preserve">Implication: </w:t>
      </w:r>
      <w:r>
        <w:rPr>
          <w:rFonts w:ascii="Calibri" w:hAnsi="Calibri"/>
          <w:color w:val="525866"/>
          <w:sz w:val="22"/>
        </w:rPr>
        <w:t>Reduces near-term refinancing risk and preserves financial flexibility for CoreSite CapEx acceleration and continued buybacks.</w:t>
      </w:r>
    </w:p>
    <w:p>
      <w:pPr>
        <w:pStyle w:val="ListBullet"/>
        <w:ind w:left="360" w:hanging="360"/>
      </w:pPr>
      <w:r>
        <w:rPr>
          <w:rFonts w:ascii="Calibri" w:hAnsi="Calibri"/>
          <w:b/>
          <w:color w:val="525866"/>
          <w:sz w:val="22"/>
        </w:rPr>
        <w:t xml:space="preserve">May 19, 2026 — CoreSite Infrastructure Readiness Detail (JP Morgan Conference): </w:t>
      </w:r>
      <w:r>
        <w:rPr>
          <w:rFonts w:ascii="Calibri" w:hAnsi="Calibri"/>
          <w:color w:val="525866"/>
          <w:sz w:val="22"/>
        </w:rPr>
        <w:t xml:space="preserve">Management disclosed that liquid cooling and chiller systems are already in place across many CoreSite facilities, enabling GPU density increases without major capital upgrades. Enterprise customers are beginning to build smaller/private language models within CoreSite facilities — a trend management described as earlier than previously anticipated (prior expectation was 2028). </w:t>
      </w:r>
      <w:r>
        <w:rPr>
          <w:rFonts w:ascii="Calibri" w:hAnsi="Calibri"/>
          <w:b/>
          <w:color w:val="525866"/>
          <w:sz w:val="22"/>
        </w:rPr>
        <w:t xml:space="preserve">Implication: </w:t>
      </w:r>
      <w:r>
        <w:rPr>
          <w:rFonts w:ascii="Calibri" w:hAnsi="Calibri"/>
          <w:color w:val="525866"/>
          <w:sz w:val="22"/>
        </w:rPr>
        <w:t>Accelerates the AI inferencing revenue ramp at CoreSite; reduces the CapEx required to capture AI demand.</w:t>
      </w:r>
    </w:p>
    <w:p>
      <w:pPr>
        <w:pStyle w:val="ListBullet"/>
        <w:ind w:left="360" w:hanging="360"/>
      </w:pPr>
      <w:r>
        <w:rPr>
          <w:rFonts w:ascii="Calibri" w:hAnsi="Calibri"/>
          <w:b/>
          <w:color w:val="525866"/>
          <w:sz w:val="22"/>
        </w:rPr>
        <w:t xml:space="preserve">June 3, 2026 — Edge Compute Experiment Disclosed (Nareit REITweek): </w:t>
      </w:r>
      <w:r>
        <w:rPr>
          <w:rFonts w:ascii="Calibri" w:hAnsi="Calibri"/>
          <w:color w:val="525866"/>
          <w:sz w:val="22"/>
        </w:rPr>
        <w:t xml:space="preserve">Management disclosed an active edge compute experiment in Raleigh, NC, where a data center has been deployed on a tower site. Early learnings show more demand than anticipated, though specific use cases driving wider adoption remain undefined. </w:t>
      </w:r>
      <w:r>
        <w:rPr>
          <w:rFonts w:ascii="Calibri" w:hAnsi="Calibri"/>
          <w:b/>
          <w:color w:val="525866"/>
          <w:sz w:val="22"/>
        </w:rPr>
        <w:t xml:space="preserve">Implication: </w:t>
      </w:r>
      <w:r>
        <w:rPr>
          <w:rFonts w:ascii="Calibri" w:hAnsi="Calibri"/>
          <w:color w:val="525866"/>
          <w:sz w:val="22"/>
        </w:rPr>
        <w:t>Optionality value for AMT's tower portfolio; not in the base-case growth algorithm but represents potential upside above the mid-to-high single-digit AFFO/share growth target.</w:t>
      </w:r>
    </w:p>
    <w:p>
      <w:pPr>
        <w:pStyle w:val="ListBullet"/>
        <w:ind w:left="360" w:hanging="360"/>
      </w:pPr>
      <w:r>
        <w:rPr>
          <w:rFonts w:ascii="Calibri" w:hAnsi="Calibri"/>
          <w:b/>
          <w:color w:val="525866"/>
          <w:sz w:val="22"/>
        </w:rPr>
        <w:t xml:space="preserve">June 3, 2026 — CoreSite as Mid-Single-Digit % of AFFO, Growing Double-Digits (Nareit REITweek): </w:t>
      </w:r>
      <w:r>
        <w:rPr>
          <w:rFonts w:ascii="Calibri" w:hAnsi="Calibri"/>
          <w:color w:val="525866"/>
          <w:sz w:val="22"/>
        </w:rPr>
        <w:t xml:space="preserve">Management disclosed CoreSite represents a small but growing share of attributable AFFO (mid-single-digit %), growing at double-digit rates with mid-teens or better stabilized yields that improve as facilities mature. </w:t>
      </w:r>
      <w:r>
        <w:rPr>
          <w:rFonts w:ascii="Calibri" w:hAnsi="Calibri"/>
          <w:b/>
          <w:color w:val="525866"/>
          <w:sz w:val="22"/>
        </w:rPr>
        <w:t xml:space="preserve">Implication: </w:t>
      </w:r>
      <w:r>
        <w:rPr>
          <w:rFonts w:ascii="Calibri" w:hAnsi="Calibri"/>
          <w:color w:val="525866"/>
          <w:sz w:val="22"/>
        </w:rPr>
        <w:t>Provides first quantitative sizing of CoreSite's AFFO contribution; confirms it is accretive to overall AFFO growth.</w:t>
      </w:r>
    </w:p>
    <w:p>
      <w:pPr>
        <w:pStyle w:val="ListBullet"/>
        <w:ind w:left="360" w:hanging="360"/>
      </w:pPr>
      <w:r>
        <w:rPr>
          <w:rFonts w:ascii="Calibri" w:hAnsi="Calibri"/>
          <w:b/>
          <w:color w:val="525866"/>
          <w:sz w:val="22"/>
        </w:rPr>
        <w:t xml:space="preserve">June 30, 2026 — Q2 2026 Earnings Date Confirmed (Press Release): </w:t>
      </w:r>
      <w:r>
        <w:rPr>
          <w:rFonts w:ascii="Calibri" w:hAnsi="Calibri"/>
          <w:color w:val="525866"/>
          <w:sz w:val="22"/>
        </w:rPr>
        <w:t xml:space="preserve">AMT confirmed Q2 2026 results will be released July 28, 2026 at 7:00 AM ET, with a conference call at 8:30 AM ET. </w:t>
      </w:r>
      <w:r>
        <w:rPr>
          <w:rFonts w:ascii="Calibri" w:hAnsi="Calibri"/>
          <w:b/>
          <w:color w:val="525866"/>
          <w:sz w:val="22"/>
        </w:rPr>
        <w:t xml:space="preserve">Implication: </w:t>
      </w:r>
      <w:r>
        <w:rPr>
          <w:rFonts w:ascii="Calibri" w:hAnsi="Calibri"/>
          <w:color w:val="525866"/>
          <w:sz w:val="22"/>
        </w:rPr>
        <w:t>No surprise on timing; market has had full visibility into the earnings date.</w:t>
      </w:r>
    </w:p>
    <w:p>
      <w:pPr>
        <w:pStyle w:val="ListBullet"/>
        <w:ind w:left="360" w:hanging="360"/>
      </w:pPr>
      <w:r>
        <w:rPr>
          <w:rFonts w:ascii="Calibri" w:hAnsi="Calibri"/>
          <w:b/>
          <w:color w:val="525866"/>
          <w:sz w:val="22"/>
        </w:rPr>
        <w:t xml:space="preserve">July 22–23, 2026 — CCI and DLR Q2 2026 Earnings (Peer Read-Through): </w:t>
      </w:r>
      <w:r>
        <w:rPr>
          <w:rFonts w:ascii="Calibri" w:hAnsi="Calibri"/>
          <w:color w:val="525866"/>
          <w:sz w:val="22"/>
        </w:rPr>
        <w:t xml:space="preserve">CCI reported solid Q2 results but flagged lower services activity in Q3 (carrier decision-making slowdown). DLR reported record results with core FFO +14% YoY and raised guidance again. </w:t>
      </w:r>
      <w:r>
        <w:rPr>
          <w:rFonts w:ascii="Calibri" w:hAnsi="Calibri"/>
          <w:b/>
          <w:color w:val="525866"/>
          <w:sz w:val="22"/>
        </w:rPr>
        <w:t xml:space="preserve">Implication: </w:t>
      </w:r>
      <w:r>
        <w:rPr>
          <w:rFonts w:ascii="Calibri" w:hAnsi="Calibri"/>
          <w:color w:val="525866"/>
          <w:sz w:val="22"/>
        </w:rPr>
        <w:t>Mixed read-through for AMT — CCI's services softness is a mild negative for AMT's U.S. tower services line; DLR's record data center results are a strong positive for CoreSite.</w:t>
      </w:r>
    </w:p>
    <w:p>
      <w:pPr>
        <w:pStyle w:val="ListBullet"/>
        <w:ind w:left="360" w:hanging="360"/>
      </w:pPr>
      <w:r>
        <w:rPr>
          <w:rFonts w:ascii="Calibri" w:hAnsi="Calibri"/>
          <w:b/>
          <w:color w:val="525866"/>
          <w:sz w:val="22"/>
        </w:rPr>
        <w:t xml:space="preserve">Ongoing — SBA Communications Going-Private Speculation: </w:t>
      </w:r>
      <w:r>
        <w:rPr>
          <w:rFonts w:ascii="Calibri" w:hAnsi="Calibri"/>
          <w:color w:val="525866"/>
          <w:sz w:val="22"/>
        </w:rPr>
        <w:t xml:space="preserve">Market speculation about SBAC going private has highlighted the public-private tower valuation dislocation. AMT management declined to comment on specific rumors but noted the dislocation validates long-term tower asset value. </w:t>
      </w:r>
      <w:r>
        <w:rPr>
          <w:rFonts w:ascii="Calibri" w:hAnsi="Calibri"/>
          <w:b/>
          <w:color w:val="525866"/>
          <w:sz w:val="22"/>
        </w:rPr>
        <w:t xml:space="preserve">Implication: </w:t>
      </w:r>
      <w:r>
        <w:rPr>
          <w:rFonts w:ascii="Calibri" w:hAnsi="Calibri"/>
          <w:color w:val="525866"/>
          <w:sz w:val="22"/>
        </w:rPr>
        <w:t>Potential catalyst for AMT multiple re-rating if private market valuations for towers are confirmed to be materially above public market levels.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Only one insider transaction was identified since Q1 2026 earnings — a small 10b5-1 planned sale by the EVP/General Counsel in late April. No open-market discretionary buys or sells; no clustered activity or unusual patterns. Nothing notable to flag.</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Filing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Dowling, Ruth T.</w:t>
            </w:r>
          </w:p>
        </w:tc>
        <w:tc>
          <w:tcPr>
            <w:tcW w:type="dxa" w:w="1234"/>
          </w:tcPr>
          <w:p>
            <w:r>
              <w:rPr>
                <w:rFonts w:ascii="Calibri" w:hAnsi="Calibri"/>
                <w:sz w:val="22"/>
              </w:rPr>
              <w:t>EVP, Chief Admin Officer, GC &amp; Secretary</w:t>
            </w:r>
          </w:p>
        </w:tc>
        <w:tc>
          <w:tcPr>
            <w:tcW w:type="dxa" w:w="1234"/>
          </w:tcPr>
          <w:p>
            <w:r>
              <w:rPr>
                <w:rFonts w:ascii="Calibri" w:hAnsi="Calibri"/>
                <w:sz w:val="22"/>
              </w:rPr>
              <w:t>10b5-1 Planned Sale</w:t>
            </w:r>
          </w:p>
        </w:tc>
        <w:tc>
          <w:tcPr>
            <w:tcW w:type="dxa" w:w="1234"/>
          </w:tcPr>
          <w:p>
            <w:r>
              <w:rPr>
                <w:rFonts w:ascii="Calibri" w:hAnsi="Calibri"/>
                <w:sz w:val="22"/>
              </w:rPr>
              <w:t>556 shares</w:t>
            </w:r>
          </w:p>
        </w:tc>
        <w:tc>
          <w:tcPr>
            <w:tcW w:type="dxa" w:w="1234"/>
          </w:tcPr>
          <w:p>
            <w:r>
              <w:rPr>
                <w:rFonts w:ascii="Calibri" w:hAnsi="Calibri"/>
                <w:sz w:val="22"/>
              </w:rPr>
              <w:t>April 28, 2026</w:t>
            </w:r>
          </w:p>
        </w:tc>
        <w:tc>
          <w:tcPr>
            <w:tcW w:type="dxa" w:w="1234"/>
          </w:tcPr>
          <w:p>
            <w:r>
              <w:rPr>
                <w:rFonts w:ascii="Calibri" w:hAnsi="Calibri"/>
                <w:sz w:val="22"/>
              </w:rPr>
              <w:t>April 30, 2026</w:t>
            </w:r>
          </w:p>
        </w:tc>
        <w:tc>
          <w:tcPr>
            <w:tcW w:type="dxa" w:w="1234"/>
          </w:tcPr>
          <w:p>
            <w:r>
              <w:rPr>
                <w:rFonts w:ascii="Calibri" w:hAnsi="Calibri"/>
                <w:sz w:val="22"/>
              </w:rPr>
              <w:t>Pre-planned 10b5-1 sale; not discretionary. Shares remaining after transaction: 29,877.</w:t>
            </w:r>
          </w:p>
        </w:tc>
      </w:tr>
      <w:tr>
        <w:tc>
          <w:tcPr>
            <w:tcW w:type="dxa" w:w="1234"/>
          </w:tcPr>
          <w:p>
            <w:r>
              <w:rPr>
                <w:rFonts w:ascii="Calibri" w:hAnsi="Calibri"/>
                <w:sz w:val="22"/>
              </w:rPr>
              <w:t>Dowling, Ruth T.</w:t>
            </w:r>
          </w:p>
        </w:tc>
        <w:tc>
          <w:tcPr>
            <w:tcW w:type="dxa" w:w="1234"/>
          </w:tcPr>
          <w:p>
            <w:r>
              <w:rPr>
                <w:rFonts w:ascii="Calibri" w:hAnsi="Calibri"/>
                <w:sz w:val="22"/>
              </w:rPr>
              <w:t>EVP, Chief Admin Officer, GC &amp; Secretary</w:t>
            </w:r>
          </w:p>
        </w:tc>
        <w:tc>
          <w:tcPr>
            <w:tcW w:type="dxa" w:w="1234"/>
          </w:tcPr>
          <w:p>
            <w:r>
              <w:rPr>
                <w:rFonts w:ascii="Calibri" w:hAnsi="Calibri"/>
                <w:sz w:val="22"/>
              </w:rPr>
              <w:t>10b5-1 Planned Sale</w:t>
            </w:r>
          </w:p>
        </w:tc>
        <w:tc>
          <w:tcPr>
            <w:tcW w:type="dxa" w:w="1234"/>
          </w:tcPr>
          <w:p>
            <w:r>
              <w:rPr>
                <w:rFonts w:ascii="Calibri" w:hAnsi="Calibri"/>
                <w:sz w:val="22"/>
              </w:rPr>
              <w:t>416 shares</w:t>
            </w:r>
          </w:p>
        </w:tc>
        <w:tc>
          <w:tcPr>
            <w:tcW w:type="dxa" w:w="1234"/>
          </w:tcPr>
          <w:p>
            <w:r>
              <w:rPr>
                <w:rFonts w:ascii="Calibri" w:hAnsi="Calibri"/>
                <w:sz w:val="22"/>
              </w:rPr>
              <w:t>April 29, 2026</w:t>
            </w:r>
          </w:p>
        </w:tc>
        <w:tc>
          <w:tcPr>
            <w:tcW w:type="dxa" w:w="1234"/>
          </w:tcPr>
          <w:p>
            <w:r>
              <w:rPr>
                <w:rFonts w:ascii="Calibri" w:hAnsi="Calibri"/>
                <w:sz w:val="22"/>
              </w:rPr>
              <w:t>April 30, 2026</w:t>
            </w:r>
          </w:p>
        </w:tc>
        <w:tc>
          <w:tcPr>
            <w:tcW w:type="dxa" w:w="1234"/>
          </w:tcPr>
          <w:p>
            <w:r>
              <w:rPr>
                <w:rFonts w:ascii="Calibri" w:hAnsi="Calibri"/>
                <w:sz w:val="22"/>
              </w:rPr>
              <w:t>Pre-planned 10b5-1 sale; not discretionary. Shares remaining after transaction: 29,461.</w:t>
            </w:r>
          </w:p>
        </w:tc>
      </w:tr>
    </w:tbl>
    <w:p>
      <w:r>
        <w:rPr>
          <w:rFonts w:ascii="Calibri" w:hAnsi="Calibri"/>
          <w:color w:val="525866"/>
          <w:sz w:val="22"/>
        </w:rPr>
        <w:t>The only insider activity since Q1 2026 earnings consists of two small 10b5-1 pre-planned sales by the EVP/General Counsel on April 28–29, 2026 (the day of and day after Q1 earnings), totaling 972 shares. These are obligation-driven, pre-scheduled transactions with no informational content. No open-market discretionary buys or sells were filed by any insider during the period. The absence of discretionary selling by the CEO or CFO following the Q1 beat is a mild positive signal — no insider appears to be using the post-earnings strength to reduce exposure.</w:t>
      </w:r>
    </w:p>
    <w:p>
      <w:r>
        <w:rPr>
          <w:rFonts w:ascii="Calibri" w:hAnsi="Calibri"/>
          <w:i/>
          <w:color w:val="525866"/>
          <w:sz w:val="22"/>
        </w:rPr>
        <w:t>Source: SEC Form 4 Filings Database. Window: April 28, 2026 – July 27, 2026. Only open-market transactions (codes P/S) and 10b5-1 plan initiations included.</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