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American Tower Corporation (AMT)</w:t>
      </w:r>
    </w:p>
    <w:p>
      <w:r>
        <w:rPr>
          <w:rFonts w:ascii="Calibri" w:hAnsi="Calibri"/>
          <w:i/>
          <w:color w:val="525866"/>
          <w:sz w:val="22"/>
        </w:rPr>
        <w:t>Q2 2026 Earnings Preview  |  Earnings Call: July 28, 2026  |  Prepared: July 27,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Ticker</w:t>
            </w:r>
          </w:p>
        </w:tc>
        <w:tc>
          <w:tcPr>
            <w:tcW w:type="dxa" w:w="1440"/>
          </w:tcPr>
          <w:p>
            <w:r>
              <w:rPr>
                <w:rFonts w:ascii="Calibri" w:hAnsi="Calibri"/>
                <w:b/>
                <w:sz w:val="22"/>
              </w:rPr>
              <w:t>Sector</w:t>
            </w:r>
          </w:p>
        </w:tc>
        <w:tc>
          <w:tcPr>
            <w:tcW w:type="dxa" w:w="1440"/>
          </w:tcPr>
          <w:p>
            <w:r>
              <w:rPr>
                <w:rFonts w:ascii="Calibri" w:hAnsi="Calibri"/>
                <w:b/>
                <w:sz w:val="22"/>
              </w:rPr>
              <w:t>Reporting Period</w:t>
            </w:r>
          </w:p>
        </w:tc>
        <w:tc>
          <w:tcPr>
            <w:tcW w:type="dxa" w:w="1440"/>
          </w:tcPr>
          <w:p>
            <w:r>
              <w:rPr>
                <w:rFonts w:ascii="Calibri" w:hAnsi="Calibri"/>
                <w:b/>
                <w:sz w:val="22"/>
              </w:rPr>
              <w:t>Earnings Date</w:t>
            </w:r>
          </w:p>
        </w:tc>
        <w:tc>
          <w:tcPr>
            <w:tcW w:type="dxa" w:w="1440"/>
          </w:tcPr>
          <w:p>
            <w:r>
              <w:rPr>
                <w:rFonts w:ascii="Calibri" w:hAnsi="Calibri"/>
                <w:b/>
                <w:sz w:val="22"/>
              </w:rPr>
              <w:t>Last Close</w:t>
            </w:r>
          </w:p>
        </w:tc>
        <w:tc>
          <w:tcPr>
            <w:tcW w:type="dxa" w:w="1440"/>
          </w:tcPr>
          <w:p>
            <w:r>
              <w:rPr>
                <w:rFonts w:ascii="Calibri" w:hAnsi="Calibri"/>
                <w:b/>
                <w:sz w:val="22"/>
              </w:rPr>
              <w:t>NTM EV/EBITDA</w:t>
            </w:r>
          </w:p>
        </w:tc>
      </w:tr>
      <w:tr>
        <w:tc>
          <w:tcPr>
            <w:tcW w:type="dxa" w:w="1440"/>
          </w:tcPr>
          <w:p>
            <w:r>
              <w:rPr>
                <w:rFonts w:ascii="Calibri" w:hAnsi="Calibri"/>
                <w:sz w:val="22"/>
              </w:rPr>
              <w:t>AMT</w:t>
            </w:r>
          </w:p>
        </w:tc>
        <w:tc>
          <w:tcPr>
            <w:tcW w:type="dxa" w:w="1440"/>
          </w:tcPr>
          <w:p>
            <w:r>
              <w:rPr>
                <w:rFonts w:ascii="Calibri" w:hAnsi="Calibri"/>
                <w:sz w:val="22"/>
              </w:rPr>
              <w:t>Infrastructure REIT</w:t>
            </w:r>
          </w:p>
        </w:tc>
        <w:tc>
          <w:tcPr>
            <w:tcW w:type="dxa" w:w="1440"/>
          </w:tcPr>
          <w:p>
            <w:r>
              <w:rPr>
                <w:rFonts w:ascii="Calibri" w:hAnsi="Calibri"/>
                <w:sz w:val="22"/>
              </w:rPr>
              <w:t>Q2 2026 (Jun 30, 2026)</w:t>
            </w:r>
          </w:p>
        </w:tc>
        <w:tc>
          <w:tcPr>
            <w:tcW w:type="dxa" w:w="1440"/>
          </w:tcPr>
          <w:p>
            <w:r>
              <w:rPr>
                <w:rFonts w:ascii="Calibri" w:hAnsi="Calibri"/>
                <w:sz w:val="22"/>
              </w:rPr>
              <w:t>July 28, 2026</w:t>
            </w:r>
          </w:p>
        </w:tc>
        <w:tc>
          <w:tcPr>
            <w:tcW w:type="dxa" w:w="1440"/>
          </w:tcPr>
          <w:p>
            <w:r>
              <w:rPr>
                <w:rFonts w:ascii="Calibri" w:hAnsi="Calibri"/>
                <w:sz w:val="22"/>
              </w:rPr>
              <w:t>$166.74</w:t>
            </w:r>
          </w:p>
        </w:tc>
        <w:tc>
          <w:tcPr>
            <w:tcW w:type="dxa" w:w="1440"/>
          </w:tcPr>
          <w:p>
            <w:r>
              <w:rPr>
                <w:rFonts w:ascii="Calibri" w:hAnsi="Calibri"/>
                <w:sz w:val="22"/>
              </w:rPr>
              <w:t>17.3x</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a moderate beat, with consensus sitting at a manageable bar on AFFO/share ($2.73) and the biggest swing factor being whether CoreSite interconnection momentum and U.S. organic tenant billings growth can offset the continued DISH churn drag and a softer-than-expected carrier services environment flagged by Crown Castle.</w:t>
      </w:r>
    </w:p>
    <w:p>
      <w:r>
        <w:rPr>
          <w:rFonts w:ascii="Calibri" w:hAnsi="Calibri"/>
          <w:b/>
          <w:color w:val="525866"/>
          <w:sz w:val="22"/>
        </w:rPr>
        <w:t xml:space="preserve">Bar: </w:t>
      </w:r>
      <w:r>
        <w:rPr>
          <w:rFonts w:ascii="Calibri" w:hAnsi="Calibri"/>
          <w:color w:val="525866"/>
          <w:sz w:val="22"/>
        </w:rPr>
        <w:t xml:space="preserve">Consensus AFFO/share of ~$2.73 for Q2 2026 represents a modest step-down from Q1's $2.84 actual, reflecting the back-half weighting of AFFO growth that management guided to — the bar is achievable but not low. </w:t>
      </w:r>
      <w:r>
        <w:rPr>
          <w:rFonts w:ascii="Calibri" w:hAnsi="Calibri"/>
          <w:b/>
          <w:color w:val="525866"/>
          <w:sz w:val="22"/>
        </w:rPr>
        <w:t xml:space="preserve">Guidance/Tone: </w:t>
      </w:r>
      <w:r>
        <w:rPr>
          <w:rFonts w:ascii="Calibri" w:hAnsi="Calibri"/>
          <w:color w:val="525866"/>
          <w:sz w:val="22"/>
        </w:rPr>
        <w:t xml:space="preserve">Management's posture on the Q1 call was notably confident — CEO Steve Vondran declared AMT is in its "strongest strategic position in more than a decade," raised full-year guidance across all key metrics, and described a "clear inflection" in CoreSite interconnection activity; tone has not shifted materially since. </w:t>
      </w:r>
      <w:r>
        <w:rPr>
          <w:rFonts w:ascii="Calibri" w:hAnsi="Calibri"/>
          <w:b/>
          <w:color w:val="525866"/>
          <w:sz w:val="22"/>
        </w:rPr>
        <w:t xml:space="preserve">Estimate Trajectory: </w:t>
      </w:r>
      <w:r>
        <w:rPr>
          <w:rFonts w:ascii="Calibri" w:hAnsi="Calibri"/>
          <w:color w:val="525866"/>
          <w:sz w:val="22"/>
        </w:rPr>
        <w:t xml:space="preserve">AFFO/share estimates for Q2 have drifted modestly lower since the Q1 print (from ~$2.72 to ~$2.73 currently), tracking broadly in line with guidance — no meaningful divergence, suggesting the street is not pricing in incremental upside or downside. </w:t>
      </w:r>
      <w:r>
        <w:rPr>
          <w:rFonts w:ascii="Calibri" w:hAnsi="Calibri"/>
          <w:b/>
          <w:color w:val="525866"/>
          <w:sz w:val="22"/>
        </w:rPr>
        <w:t xml:space="preserve">Stock Setup: </w:t>
      </w:r>
      <w:r>
        <w:rPr>
          <w:rFonts w:ascii="Calibri" w:hAnsi="Calibri"/>
          <w:color w:val="525866"/>
          <w:sz w:val="22"/>
        </w:rPr>
        <w:t xml:space="preserve">AMT is down ~6.5% since last earnings vs. VNQ +5.1% and SPY +3.8%, with NTM EV/EBITDA compressing from ~18.5x to 17.3x — the stock has de-rated despite no fundamental deterioration, creating a setup where a clean beat could catalyze a re-rating. </w:t>
      </w:r>
      <w:r>
        <w:rPr>
          <w:rFonts w:ascii="Calibri" w:hAnsi="Calibri"/>
          <w:b/>
          <w:color w:val="525866"/>
          <w:sz w:val="22"/>
        </w:rPr>
        <w:t xml:space="preserve">Wildcard: </w:t>
      </w:r>
      <w:r>
        <w:rPr>
          <w:rFonts w:ascii="Calibri" w:hAnsi="Calibri"/>
          <w:color w:val="525866"/>
          <w:sz w:val="22"/>
        </w:rPr>
        <w:t>The single biggest swing factor is the magnitude of DISH churn impact on reported organic tenant billings growth — any signal that churn is peaking earlier than expected, combined with AT&amp;T's 600 MHz spectrum deployment (confirmed closing in July 2026) driving incremental amendment activity, could meaningfully surprise to the upside.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on AFFO/share (~$2.73) and total revenue (~$2.71B), but organic tenant billings growth (~1.4%) remains the bigger swing factor — any upside here, even modest, would signal the DISH churn trough is in sight and likely drive a positive stock reaction.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AFFO per Share (Attributable)</w:t>
            </w:r>
          </w:p>
        </w:tc>
        <w:tc>
          <w:tcPr>
            <w:tcW w:type="dxa" w:w="1234"/>
          </w:tcPr>
          <w:p>
            <w:r>
              <w:rPr>
                <w:rFonts w:ascii="Calibri" w:hAnsi="Calibri"/>
                <w:sz w:val="22"/>
              </w:rPr>
              <w:t>$2.84</w:t>
            </w:r>
          </w:p>
        </w:tc>
        <w:tc>
          <w:tcPr>
            <w:tcW w:type="dxa" w:w="1234"/>
          </w:tcPr>
          <w:p>
            <w:r>
              <w:rPr>
                <w:rFonts w:ascii="Calibri" w:hAnsi="Calibri"/>
                <w:sz w:val="22"/>
              </w:rPr>
              <w:t>$2.60</w:t>
            </w:r>
          </w:p>
        </w:tc>
        <w:tc>
          <w:tcPr>
            <w:tcW w:type="dxa" w:w="1234"/>
          </w:tcPr>
          <w:p>
            <w:r>
              <w:rPr>
                <w:rFonts w:ascii="Calibri" w:hAnsi="Calibri"/>
                <w:sz w:val="22"/>
              </w:rPr>
              <w:t>$2.73</w:t>
            </w:r>
          </w:p>
        </w:tc>
        <w:tc>
          <w:tcPr>
            <w:tcW w:type="dxa" w:w="1234"/>
          </w:tcPr>
          <w:p>
            <w:r>
              <w:rPr>
                <w:rFonts w:ascii="Calibri" w:hAnsi="Calibri"/>
                <w:sz w:val="22"/>
              </w:rPr>
              <w:t>+5.0% YoY</w:t>
            </w:r>
          </w:p>
        </w:tc>
        <w:tc>
          <w:tcPr>
            <w:tcW w:type="dxa" w:w="1234"/>
          </w:tcPr>
          <w:p>
            <w:r>
              <w:rPr>
                <w:rFonts w:ascii="Calibri" w:hAnsi="Calibri"/>
                <w:sz w:val="22"/>
              </w:rPr>
              <w:t>$10.99 (FY midpoint)</w:t>
            </w:r>
          </w:p>
        </w:tc>
        <w:tc>
          <w:tcPr>
            <w:tcW w:type="dxa" w:w="1234"/>
          </w:tcPr>
          <w:p>
            <w:r>
              <w:rPr>
                <w:rFonts w:ascii="Calibri" w:hAnsi="Calibri"/>
                <w:sz w:val="22"/>
              </w:rPr>
              <w:t>~$11.08 cons. vs. $10.99 guide; +0.8% above</w:t>
            </w:r>
          </w:p>
        </w:tc>
      </w:tr>
      <w:tr>
        <w:tc>
          <w:tcPr>
            <w:tcW w:type="dxa" w:w="1234"/>
          </w:tcPr>
          <w:p>
            <w:r>
              <w:rPr>
                <w:rFonts w:ascii="Calibri" w:hAnsi="Calibri"/>
                <w:sz w:val="22"/>
              </w:rPr>
              <w:t>Total Operating Revenues</w:t>
            </w:r>
          </w:p>
        </w:tc>
        <w:tc>
          <w:tcPr>
            <w:tcW w:type="dxa" w:w="1234"/>
          </w:tcPr>
          <w:p>
            <w:r>
              <w:rPr>
                <w:rFonts w:ascii="Calibri" w:hAnsi="Calibri"/>
                <w:sz w:val="22"/>
              </w:rPr>
              <w:t>$2,737.5M</w:t>
            </w:r>
          </w:p>
        </w:tc>
        <w:tc>
          <w:tcPr>
            <w:tcW w:type="dxa" w:w="1234"/>
          </w:tcPr>
          <w:p>
            <w:r>
              <w:rPr>
                <w:rFonts w:ascii="Calibri" w:hAnsi="Calibri"/>
                <w:sz w:val="22"/>
              </w:rPr>
              <w:t>$2,626.9M</w:t>
            </w:r>
          </w:p>
        </w:tc>
        <w:tc>
          <w:tcPr>
            <w:tcW w:type="dxa" w:w="1234"/>
          </w:tcPr>
          <w:p>
            <w:r>
              <w:rPr>
                <w:rFonts w:ascii="Calibri" w:hAnsi="Calibri"/>
                <w:sz w:val="22"/>
              </w:rPr>
              <w:t>$2,706.5M</w:t>
            </w:r>
          </w:p>
        </w:tc>
        <w:tc>
          <w:tcPr>
            <w:tcW w:type="dxa" w:w="1234"/>
          </w:tcPr>
          <w:p>
            <w:r>
              <w:rPr>
                <w:rFonts w:ascii="Calibri" w:hAnsi="Calibri"/>
                <w:sz w:val="22"/>
              </w:rPr>
              <w:t>+3.0% YoY</w:t>
            </w:r>
          </w:p>
        </w:tc>
        <w:tc>
          <w:tcPr>
            <w:tcW w:type="dxa" w:w="1234"/>
          </w:tcPr>
          <w:p>
            <w:r>
              <w:rPr>
                <w:rFonts w:ascii="Calibri" w:hAnsi="Calibri"/>
                <w:sz w:val="22"/>
              </w:rPr>
              <w:t>$10,660M (FY midpoint)</w:t>
            </w:r>
          </w:p>
        </w:tc>
        <w:tc>
          <w:tcPr>
            <w:tcW w:type="dxa" w:w="1234"/>
          </w:tcPr>
          <w:p>
            <w:r>
              <w:rPr>
                <w:rFonts w:ascii="Calibri" w:hAnsi="Calibri"/>
                <w:sz w:val="22"/>
              </w:rPr>
              <w:t>~$10,942M cons. vs. $10,660M guide; +2.6% above</w:t>
            </w:r>
          </w:p>
        </w:tc>
      </w:tr>
      <w:tr>
        <w:tc>
          <w:tcPr>
            <w:tcW w:type="dxa" w:w="1234"/>
          </w:tcPr>
          <w:p>
            <w:r>
              <w:rPr>
                <w:rFonts w:ascii="Calibri" w:hAnsi="Calibri"/>
                <w:sz w:val="22"/>
              </w:rPr>
              <w:t>Adjusted EBITDA</w:t>
            </w:r>
          </w:p>
        </w:tc>
        <w:tc>
          <w:tcPr>
            <w:tcW w:type="dxa" w:w="1234"/>
          </w:tcPr>
          <w:p>
            <w:r>
              <w:rPr>
                <w:rFonts w:ascii="Calibri" w:hAnsi="Calibri"/>
                <w:sz w:val="22"/>
              </w:rPr>
              <w:t>$1,835.2M</w:t>
            </w:r>
          </w:p>
        </w:tc>
        <w:tc>
          <w:tcPr>
            <w:tcW w:type="dxa" w:w="1234"/>
          </w:tcPr>
          <w:p>
            <w:r>
              <w:rPr>
                <w:rFonts w:ascii="Calibri" w:hAnsi="Calibri"/>
                <w:sz w:val="22"/>
              </w:rPr>
              <w:t>$1,751.8M</w:t>
            </w:r>
          </w:p>
        </w:tc>
        <w:tc>
          <w:tcPr>
            <w:tcW w:type="dxa" w:w="1234"/>
          </w:tcPr>
          <w:p>
            <w:r>
              <w:rPr>
                <w:rFonts w:ascii="Calibri" w:hAnsi="Calibri"/>
                <w:sz w:val="22"/>
              </w:rPr>
              <w:t>$1,789.9M</w:t>
            </w:r>
          </w:p>
        </w:tc>
        <w:tc>
          <w:tcPr>
            <w:tcW w:type="dxa" w:w="1234"/>
          </w:tcPr>
          <w:p>
            <w:r>
              <w:rPr>
                <w:rFonts w:ascii="Calibri" w:hAnsi="Calibri"/>
                <w:sz w:val="22"/>
              </w:rPr>
              <w:t>+2.2% YoY</w:t>
            </w:r>
          </w:p>
        </w:tc>
        <w:tc>
          <w:tcPr>
            <w:tcW w:type="dxa" w:w="1234"/>
          </w:tcPr>
          <w:p>
            <w:r>
              <w:rPr>
                <w:rFonts w:ascii="Calibri" w:hAnsi="Calibri"/>
                <w:sz w:val="22"/>
              </w:rPr>
              <w:t>$7,230M (FY midpoint)</w:t>
            </w:r>
          </w:p>
        </w:tc>
        <w:tc>
          <w:tcPr>
            <w:tcW w:type="dxa" w:w="1234"/>
          </w:tcPr>
          <w:p>
            <w:r>
              <w:rPr>
                <w:rFonts w:ascii="Calibri" w:hAnsi="Calibri"/>
                <w:sz w:val="22"/>
              </w:rPr>
              <w:t>~$7,247M cons. vs. $7,230M guide; +0.2% above</w:t>
            </w:r>
          </w:p>
        </w:tc>
      </w:tr>
      <w:tr>
        <w:tc>
          <w:tcPr>
            <w:tcW w:type="dxa" w:w="1234"/>
          </w:tcPr>
          <w:p>
            <w:r>
              <w:rPr>
                <w:rFonts w:ascii="Calibri" w:hAnsi="Calibri"/>
                <w:sz w:val="22"/>
              </w:rPr>
              <w:t>Organic Tenant Billings Growth (Consolidated)</w:t>
            </w:r>
          </w:p>
        </w:tc>
        <w:tc>
          <w:tcPr>
            <w:tcW w:type="dxa" w:w="1234"/>
          </w:tcPr>
          <w:p>
            <w:r>
              <w:rPr>
                <w:rFonts w:ascii="Calibri" w:hAnsi="Calibri"/>
                <w:sz w:val="22"/>
              </w:rPr>
              <w:t>1.69%</w:t>
            </w:r>
          </w:p>
        </w:tc>
        <w:tc>
          <w:tcPr>
            <w:tcW w:type="dxa" w:w="1234"/>
          </w:tcPr>
          <w:p>
            <w:r>
              <w:rPr>
                <w:rFonts w:ascii="Calibri" w:hAnsi="Calibri"/>
                <w:sz w:val="22"/>
              </w:rPr>
              <w:t>4.67%</w:t>
            </w:r>
          </w:p>
        </w:tc>
        <w:tc>
          <w:tcPr>
            <w:tcW w:type="dxa" w:w="1234"/>
          </w:tcPr>
          <w:p>
            <w:r>
              <w:rPr>
                <w:rFonts w:ascii="Calibri" w:hAnsi="Calibri"/>
                <w:sz w:val="22"/>
              </w:rPr>
              <w:t>~1.42%</w:t>
            </w:r>
          </w:p>
        </w:tc>
        <w:tc>
          <w:tcPr>
            <w:tcW w:type="dxa" w:w="1234"/>
          </w:tcPr>
          <w:p>
            <w:r>
              <w:rPr>
                <w:rFonts w:ascii="Calibri" w:hAnsi="Calibri"/>
                <w:sz w:val="22"/>
              </w:rPr>
              <w:t>-325 bps YoY</w:t>
            </w:r>
          </w:p>
        </w:tc>
        <w:tc>
          <w:tcPr>
            <w:tcW w:type="dxa" w:w="1234"/>
          </w:tcPr>
          <w:p>
            <w:r>
              <w:rPr>
                <w:rFonts w:ascii="Calibri" w:hAnsi="Calibri"/>
                <w:sz w:val="22"/>
              </w:rPr>
              <w:t>~1% (FY guide)</w:t>
            </w:r>
          </w:p>
        </w:tc>
        <w:tc>
          <w:tcPr>
            <w:tcW w:type="dxa" w:w="1234"/>
          </w:tcPr>
          <w:p>
            <w:r>
              <w:rPr>
                <w:rFonts w:ascii="Calibri" w:hAnsi="Calibri"/>
                <w:sz w:val="22"/>
              </w:rPr>
              <w:t>~1.42% cons. vs. ~1% guide; +42 bps above</w:t>
            </w:r>
          </w:p>
        </w:tc>
      </w:tr>
      <w:tr>
        <w:tc>
          <w:tcPr>
            <w:tcW w:type="dxa" w:w="1234"/>
          </w:tcPr>
          <w:p>
            <w:r>
              <w:rPr>
                <w:rFonts w:ascii="Calibri" w:hAnsi="Calibri"/>
                <w:sz w:val="22"/>
              </w:rPr>
              <w:t>Data Center (CoreSite) Revenue</w:t>
            </w:r>
          </w:p>
        </w:tc>
        <w:tc>
          <w:tcPr>
            <w:tcW w:type="dxa" w:w="1234"/>
          </w:tcPr>
          <w:p>
            <w:r>
              <w:rPr>
                <w:rFonts w:ascii="Calibri" w:hAnsi="Calibri"/>
                <w:sz w:val="22"/>
              </w:rPr>
              <w:t>$288.9M</w:t>
            </w:r>
          </w:p>
        </w:tc>
        <w:tc>
          <w:tcPr>
            <w:tcW w:type="dxa" w:w="1234"/>
          </w:tcPr>
          <w:p>
            <w:r>
              <w:rPr>
                <w:rFonts w:ascii="Calibri" w:hAnsi="Calibri"/>
                <w:sz w:val="22"/>
              </w:rPr>
              <w:t>$261.9M</w:t>
            </w:r>
          </w:p>
        </w:tc>
        <w:tc>
          <w:tcPr>
            <w:tcW w:type="dxa" w:w="1234"/>
          </w:tcPr>
          <w:p>
            <w:r>
              <w:rPr>
                <w:rFonts w:ascii="Calibri" w:hAnsi="Calibri"/>
                <w:sz w:val="22"/>
              </w:rPr>
              <w:t>$293.5M</w:t>
            </w:r>
          </w:p>
        </w:tc>
        <w:tc>
          <w:tcPr>
            <w:tcW w:type="dxa" w:w="1234"/>
          </w:tcPr>
          <w:p>
            <w:r>
              <w:rPr>
                <w:rFonts w:ascii="Calibri" w:hAnsi="Calibri"/>
                <w:sz w:val="22"/>
              </w:rPr>
              <w:t>+12.1% YoY</w:t>
            </w:r>
          </w:p>
        </w:tc>
        <w:tc>
          <w:tcPr>
            <w:tcW w:type="dxa" w:w="1234"/>
          </w:tcPr>
          <w:p>
            <w:r>
              <w:rPr>
                <w:rFonts w:ascii="Calibri" w:hAnsi="Calibri"/>
                <w:sz w:val="22"/>
              </w:rPr>
              <w:t>$1,185M (FY midpoint)</w:t>
            </w:r>
          </w:p>
        </w:tc>
        <w:tc>
          <w:tcPr>
            <w:tcW w:type="dxa" w:w="1234"/>
          </w:tcPr>
          <w:p>
            <w:r>
              <w:rPr>
                <w:rFonts w:ascii="Calibri" w:hAnsi="Calibri"/>
                <w:sz w:val="22"/>
              </w:rPr>
              <w:t>~$1,194M cons. vs. $1,185M guide; +0.8% above</w:t>
            </w:r>
          </w:p>
        </w:tc>
      </w:tr>
    </w:tbl>
    <w:p>
      <w:r>
        <w:rPr>
          <w:rFonts w:ascii="Calibri" w:hAnsi="Calibri"/>
          <w:i/>
          <w:color w:val="525866"/>
          <w:sz w:val="22"/>
        </w:rPr>
        <w:t>Sources: Visible Alpha Consensus and Actuals Data (AFFO per Share, Total Operating Revenues, Adjusted EBITDA, Organic Tenant Billings Growth, Data Center Revenues); AMT Q1 2026 Earnings Release (April 28, 2026) for FY 2026 guidance midpoints.</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AFFO per Share (Attributable)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$2.84</w:t>
            </w:r>
          </w:p>
        </w:tc>
        <w:tc>
          <w:tcPr>
            <w:tcW w:type="dxa" w:w="1728"/>
          </w:tcPr>
          <w:p>
            <w:r>
              <w:rPr>
                <w:rFonts w:ascii="Calibri" w:hAnsi="Calibri"/>
                <w:sz w:val="22"/>
              </w:rPr>
              <w:t>$2.75</w:t>
            </w:r>
          </w:p>
        </w:tc>
        <w:tc>
          <w:tcPr>
            <w:tcW w:type="dxa" w:w="1728"/>
          </w:tcPr>
          <w:p>
            <w:r>
              <w:rPr>
                <w:rFonts w:ascii="Calibri" w:hAnsi="Calibri"/>
                <w:b/>
                <w:color w:val="30A46C"/>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$2.63</w:t>
            </w:r>
          </w:p>
        </w:tc>
        <w:tc>
          <w:tcPr>
            <w:tcW w:type="dxa" w:w="1728"/>
          </w:tcPr>
          <w:p>
            <w:r>
              <w:rPr>
                <w:rFonts w:ascii="Calibri" w:hAnsi="Calibri"/>
                <w:sz w:val="22"/>
              </w:rPr>
              <w:t>$2.62</w:t>
            </w:r>
          </w:p>
        </w:tc>
        <w:tc>
          <w:tcPr>
            <w:tcW w:type="dxa" w:w="1728"/>
          </w:tcPr>
          <w:p>
            <w:r>
              <w:rPr>
                <w:rFonts w:ascii="Calibri" w:hAnsi="Calibri"/>
                <w:b/>
                <w:color w:val="30A46C"/>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$2.78</w:t>
            </w:r>
          </w:p>
        </w:tc>
        <w:tc>
          <w:tcPr>
            <w:tcW w:type="dxa" w:w="1728"/>
          </w:tcPr>
          <w:p>
            <w:r>
              <w:rPr>
                <w:rFonts w:ascii="Calibri" w:hAnsi="Calibri"/>
                <w:sz w:val="22"/>
              </w:rPr>
              <w:t>$2.64</w:t>
            </w:r>
          </w:p>
        </w:tc>
        <w:tc>
          <w:tcPr>
            <w:tcW w:type="dxa" w:w="1728"/>
          </w:tcPr>
          <w:p>
            <w:r>
              <w:rPr>
                <w:rFonts w:ascii="Calibri" w:hAnsi="Calibri"/>
                <w:b/>
                <w:color w:val="30A46C"/>
                <w:sz w:val="22"/>
              </w:rPr>
              <w:t>+5.3%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$2.60</w:t>
            </w:r>
          </w:p>
        </w:tc>
        <w:tc>
          <w:tcPr>
            <w:tcW w:type="dxa" w:w="1728"/>
          </w:tcPr>
          <w:p>
            <w:r>
              <w:rPr>
                <w:rFonts w:ascii="Calibri" w:hAnsi="Calibri"/>
                <w:sz w:val="22"/>
              </w:rPr>
              <w:t>$2.61</w:t>
            </w:r>
          </w:p>
        </w:tc>
        <w:tc>
          <w:tcPr>
            <w:tcW w:type="dxa" w:w="1728"/>
          </w:tcPr>
          <w:p>
            <w:r>
              <w:rPr>
                <w:rFonts w:ascii="Calibri" w:hAnsi="Calibri"/>
                <w:b/>
                <w:color w:val="E5484D"/>
                <w:sz w:val="22"/>
              </w:rPr>
              <w:t>-0.4%</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$2.75</w:t>
            </w:r>
          </w:p>
        </w:tc>
        <w:tc>
          <w:tcPr>
            <w:tcW w:type="dxa" w:w="1728"/>
          </w:tcPr>
          <w:p>
            <w:r>
              <w:rPr>
                <w:rFonts w:ascii="Calibri" w:hAnsi="Calibri"/>
                <w:sz w:val="22"/>
              </w:rPr>
              <w:t>$2.62</w:t>
            </w:r>
          </w:p>
        </w:tc>
        <w:tc>
          <w:tcPr>
            <w:tcW w:type="dxa" w:w="1728"/>
          </w:tcPr>
          <w:p>
            <w:r>
              <w:rPr>
                <w:rFonts w:ascii="Calibri" w:hAnsi="Calibri"/>
                <w:b/>
                <w:color w:val="30A46C"/>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$2.32</w:t>
            </w:r>
          </w:p>
        </w:tc>
        <w:tc>
          <w:tcPr>
            <w:tcW w:type="dxa" w:w="1728"/>
          </w:tcPr>
          <w:p>
            <w:r>
              <w:rPr>
                <w:rFonts w:ascii="Calibri" w:hAnsi="Calibri"/>
                <w:sz w:val="22"/>
              </w:rPr>
              <w:t>$2.37</w:t>
            </w:r>
          </w:p>
        </w:tc>
        <w:tc>
          <w:tcPr>
            <w:tcW w:type="dxa" w:w="1728"/>
          </w:tcPr>
          <w:p>
            <w:r>
              <w:rPr>
                <w:rFonts w:ascii="Calibri" w:hAnsi="Calibri"/>
                <w:b/>
                <w:color w:val="E5484D"/>
                <w:sz w:val="22"/>
              </w:rPr>
              <w:t>-2.1%</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$2.64</w:t>
            </w:r>
          </w:p>
        </w:tc>
        <w:tc>
          <w:tcPr>
            <w:tcW w:type="dxa" w:w="1728"/>
          </w:tcPr>
          <w:p>
            <w:r>
              <w:rPr>
                <w:rFonts w:ascii="Calibri" w:hAnsi="Calibri"/>
                <w:sz w:val="22"/>
              </w:rPr>
              <w:t>$2.63</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Organic Tenant Billings Growth (Consolidated)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1.69%</w:t>
            </w:r>
          </w:p>
        </w:tc>
        <w:tc>
          <w:tcPr>
            <w:tcW w:type="dxa" w:w="1728"/>
          </w:tcPr>
          <w:p>
            <w:r>
              <w:rPr>
                <w:rFonts w:ascii="Calibri" w:hAnsi="Calibri"/>
                <w:sz w:val="22"/>
              </w:rPr>
              <w:t>1.45%</w:t>
            </w:r>
          </w:p>
        </w:tc>
        <w:tc>
          <w:tcPr>
            <w:tcW w:type="dxa" w:w="1728"/>
          </w:tcPr>
          <w:p>
            <w:r>
              <w:rPr>
                <w:rFonts w:ascii="Calibri" w:hAnsi="Calibri"/>
                <w:b/>
                <w:color w:val="30A46C"/>
                <w:sz w:val="22"/>
              </w:rPr>
              <w:t>+24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5.95%</w:t>
            </w:r>
          </w:p>
        </w:tc>
        <w:tc>
          <w:tcPr>
            <w:tcW w:type="dxa" w:w="1728"/>
          </w:tcPr>
          <w:p>
            <w:r>
              <w:rPr>
                <w:rFonts w:ascii="Calibri" w:hAnsi="Calibri"/>
                <w:sz w:val="22"/>
              </w:rPr>
              <w:t>5.85%</w:t>
            </w:r>
          </w:p>
        </w:tc>
        <w:tc>
          <w:tcPr>
            <w:tcW w:type="dxa" w:w="1728"/>
          </w:tcPr>
          <w:p>
            <w:r>
              <w:rPr>
                <w:rFonts w:ascii="Calibri" w:hAnsi="Calibri"/>
                <w:b/>
                <w:color w:val="30A46C"/>
                <w:sz w:val="22"/>
              </w:rPr>
              <w:t>+10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4.95%</w:t>
            </w:r>
          </w:p>
        </w:tc>
        <w:tc>
          <w:tcPr>
            <w:tcW w:type="dxa" w:w="1728"/>
          </w:tcPr>
          <w:p>
            <w:r>
              <w:rPr>
                <w:rFonts w:ascii="Calibri" w:hAnsi="Calibri"/>
                <w:sz w:val="22"/>
              </w:rPr>
              <w:t>4.72%</w:t>
            </w:r>
          </w:p>
        </w:tc>
        <w:tc>
          <w:tcPr>
            <w:tcW w:type="dxa" w:w="1728"/>
          </w:tcPr>
          <w:p>
            <w:r>
              <w:rPr>
                <w:rFonts w:ascii="Calibri" w:hAnsi="Calibri"/>
                <w:b/>
                <w:color w:val="30A46C"/>
                <w:sz w:val="22"/>
              </w:rPr>
              <w:t>+23 bps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4.67%</w:t>
            </w:r>
          </w:p>
        </w:tc>
        <w:tc>
          <w:tcPr>
            <w:tcW w:type="dxa" w:w="1728"/>
          </w:tcPr>
          <w:p>
            <w:r>
              <w:rPr>
                <w:rFonts w:ascii="Calibri" w:hAnsi="Calibri"/>
                <w:sz w:val="22"/>
              </w:rPr>
              <w:t>4.43%</w:t>
            </w:r>
          </w:p>
        </w:tc>
        <w:tc>
          <w:tcPr>
            <w:tcW w:type="dxa" w:w="1728"/>
          </w:tcPr>
          <w:p>
            <w:r>
              <w:rPr>
                <w:rFonts w:ascii="Calibri" w:hAnsi="Calibri"/>
                <w:b/>
                <w:color w:val="30A46C"/>
                <w:sz w:val="22"/>
              </w:rPr>
              <w:t>+24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4.65%</w:t>
            </w:r>
          </w:p>
        </w:tc>
        <w:tc>
          <w:tcPr>
            <w:tcW w:type="dxa" w:w="1728"/>
          </w:tcPr>
          <w:p>
            <w:r>
              <w:rPr>
                <w:rFonts w:ascii="Calibri" w:hAnsi="Calibri"/>
                <w:sz w:val="22"/>
              </w:rPr>
              <w:t>4.33%</w:t>
            </w:r>
          </w:p>
        </w:tc>
        <w:tc>
          <w:tcPr>
            <w:tcW w:type="dxa" w:w="1728"/>
          </w:tcPr>
          <w:p>
            <w:r>
              <w:rPr>
                <w:rFonts w:ascii="Calibri" w:hAnsi="Calibri"/>
                <w:b/>
                <w:color w:val="30A46C"/>
                <w:sz w:val="22"/>
              </w:rPr>
              <w:t>+32 bps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5.00%</w:t>
            </w:r>
          </w:p>
        </w:tc>
        <w:tc>
          <w:tcPr>
            <w:tcW w:type="dxa" w:w="1728"/>
          </w:tcPr>
          <w:p>
            <w:r>
              <w:rPr>
                <w:rFonts w:ascii="Calibri" w:hAnsi="Calibri"/>
                <w:sz w:val="22"/>
              </w:rPr>
              <w:t>4.62%</w:t>
            </w:r>
          </w:p>
        </w:tc>
        <w:tc>
          <w:tcPr>
            <w:tcW w:type="dxa" w:w="1728"/>
          </w:tcPr>
          <w:p>
            <w:r>
              <w:rPr>
                <w:rFonts w:ascii="Calibri" w:hAnsi="Calibri"/>
                <w:b/>
                <w:color w:val="30A46C"/>
                <w:sz w:val="22"/>
              </w:rPr>
              <w:t>+38 bps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5.22%</w:t>
            </w:r>
          </w:p>
        </w:tc>
        <w:tc>
          <w:tcPr>
            <w:tcW w:type="dxa" w:w="1728"/>
          </w:tcPr>
          <w:p>
            <w:r>
              <w:rPr>
                <w:rFonts w:ascii="Calibri" w:hAnsi="Calibri"/>
                <w:sz w:val="22"/>
              </w:rPr>
              <w:t>4.91%</w:t>
            </w:r>
          </w:p>
        </w:tc>
        <w:tc>
          <w:tcPr>
            <w:tcW w:type="dxa" w:w="1728"/>
          </w:tcPr>
          <w:p>
            <w:r>
              <w:rPr>
                <w:rFonts w:ascii="Calibri" w:hAnsi="Calibri"/>
                <w:b/>
                <w:color w:val="30A46C"/>
                <w:sz w:val="22"/>
              </w:rPr>
              <w:t>+31 bps</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AMT has beaten AFFO/share consensus in 5 of the last 7 reported quarters (with 2 misses in Q2 2025 and Q4 2024), while organic tenant billings growth has beaten consensus in every quarter with available data — a consistent pattern of conservative guidance that sets up for modest beats on the operating KPI even as reported AFFO can be lumpy due to FX and financing costs.</w:t>
      </w:r>
      <w:r>
        <w:rPr>
          <w:rFonts w:ascii="Calibri" w:hAnsi="Calibri"/>
          <w:i/>
          <w:color w:val="525866"/>
          <w:sz w:val="22"/>
        </w:rPr>
        <w:t xml:space="preserv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across all key metrics at the Q1 2026 print (April 28), driven by FX and straight-line tailwinds rather than organic acceleration — no post-earnings revisions since then, and management tone has remained consistently confident heading into Q2.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Property Revenue (FY 2026)</w:t>
            </w:r>
          </w:p>
        </w:tc>
        <w:tc>
          <w:tcPr>
            <w:tcW w:type="dxa" w:w="1728"/>
          </w:tcPr>
          <w:p>
            <w:r>
              <w:rPr>
                <w:rFonts w:ascii="Calibri" w:hAnsi="Calibri"/>
                <w:sz w:val="22"/>
              </w:rPr>
              <w:t>$10,585M – $10,735M (midpoint $10,660M; +3.4% YoY)</w:t>
            </w:r>
          </w:p>
        </w:tc>
        <w:tc>
          <w:tcPr>
            <w:tcW w:type="dxa" w:w="1728"/>
          </w:tcPr>
          <w:p>
            <w:r>
              <w:rPr>
                <w:rFonts w:ascii="Calibri" w:hAnsi="Calibri"/>
                <w:sz w:val="22"/>
              </w:rPr>
              <w:t>—</w:t>
            </w:r>
          </w:p>
        </w:tc>
        <w:tc>
          <w:tcPr>
            <w:tcW w:type="dxa" w:w="1728"/>
          </w:tcPr>
          <w:p>
            <w:r>
              <w:rPr>
                <w:rFonts w:ascii="Calibri" w:hAnsi="Calibri"/>
                <w:sz w:val="22"/>
              </w:rPr>
              <w:t>~$10,942M</w:t>
            </w:r>
          </w:p>
        </w:tc>
        <w:tc>
          <w:tcPr>
            <w:tcW w:type="dxa" w:w="1728"/>
          </w:tcPr>
          <w:p>
            <w:r>
              <w:rPr>
                <w:rFonts w:ascii="Calibri" w:hAnsi="Calibri"/>
                <w:sz w:val="22"/>
              </w:rPr>
              <w:t>Raised at Q1 print by $145M at midpoint; driven by ~$110M FX tailwind + ~$35M accelerated LatAm straight-line revenue (Oi). No post-earnings change.</w:t>
            </w:r>
          </w:p>
        </w:tc>
      </w:tr>
      <w:tr>
        <w:tc>
          <w:tcPr>
            <w:tcW w:type="dxa" w:w="1728"/>
          </w:tcPr>
          <w:p>
            <w:r>
              <w:rPr>
                <w:rFonts w:ascii="Calibri" w:hAnsi="Calibri"/>
                <w:sz w:val="22"/>
              </w:rPr>
              <w:t>Adjusted EBITDA (FY 2026)</w:t>
            </w:r>
          </w:p>
        </w:tc>
        <w:tc>
          <w:tcPr>
            <w:tcW w:type="dxa" w:w="1728"/>
          </w:tcPr>
          <w:p>
            <w:r>
              <w:rPr>
                <w:rFonts w:ascii="Calibri" w:hAnsi="Calibri"/>
                <w:sz w:val="22"/>
              </w:rPr>
              <w:t>$7,195M – $7,265M (midpoint $7,230M; +1.4% YoY)</w:t>
            </w:r>
          </w:p>
        </w:tc>
        <w:tc>
          <w:tcPr>
            <w:tcW w:type="dxa" w:w="1728"/>
          </w:tcPr>
          <w:p>
            <w:r>
              <w:rPr>
                <w:rFonts w:ascii="Calibri" w:hAnsi="Calibri"/>
                <w:sz w:val="22"/>
              </w:rPr>
              <w:t>—</w:t>
            </w:r>
          </w:p>
        </w:tc>
        <w:tc>
          <w:tcPr>
            <w:tcW w:type="dxa" w:w="1728"/>
          </w:tcPr>
          <w:p>
            <w:r>
              <w:rPr>
                <w:rFonts w:ascii="Calibri" w:hAnsi="Calibri"/>
                <w:sz w:val="22"/>
              </w:rPr>
              <w:t>~$7,247M</w:t>
            </w:r>
          </w:p>
        </w:tc>
        <w:tc>
          <w:tcPr>
            <w:tcW w:type="dxa" w:w="1728"/>
          </w:tcPr>
          <w:p>
            <w:r>
              <w:rPr>
                <w:rFonts w:ascii="Calibri" w:hAnsi="Calibri"/>
                <w:sz w:val="22"/>
              </w:rPr>
              <w:t>Raised at Q1 print by $105M at midpoint; ~$67M from FX. Consensus sits just above midpoint. No post-earnings change.</w:t>
            </w:r>
          </w:p>
        </w:tc>
      </w:tr>
      <w:tr>
        <w:tc>
          <w:tcPr>
            <w:tcW w:type="dxa" w:w="1728"/>
          </w:tcPr>
          <w:p>
            <w:r>
              <w:rPr>
                <w:rFonts w:ascii="Calibri" w:hAnsi="Calibri"/>
                <w:sz w:val="22"/>
              </w:rPr>
              <w:t>AFFO per Share Attributable (FY 2026)</w:t>
            </w:r>
          </w:p>
        </w:tc>
        <w:tc>
          <w:tcPr>
            <w:tcW w:type="dxa" w:w="1728"/>
          </w:tcPr>
          <w:p>
            <w:r>
              <w:rPr>
                <w:rFonts w:ascii="Calibri" w:hAnsi="Calibri"/>
                <w:sz w:val="22"/>
              </w:rPr>
              <w:t>$10.90 – $11.07 (midpoint ~$10.99; +2.1% YoY)</w:t>
            </w:r>
          </w:p>
        </w:tc>
        <w:tc>
          <w:tcPr>
            <w:tcW w:type="dxa" w:w="1728"/>
          </w:tcPr>
          <w:p>
            <w:r>
              <w:rPr>
                <w:rFonts w:ascii="Calibri" w:hAnsi="Calibri"/>
                <w:sz w:val="22"/>
              </w:rPr>
              <w:t>—</w:t>
            </w:r>
          </w:p>
        </w:tc>
        <w:tc>
          <w:tcPr>
            <w:tcW w:type="dxa" w:w="1728"/>
          </w:tcPr>
          <w:p>
            <w:r>
              <w:rPr>
                <w:rFonts w:ascii="Calibri" w:hAnsi="Calibri"/>
                <w:sz w:val="22"/>
              </w:rPr>
              <w:t>~$11.08</w:t>
            </w:r>
          </w:p>
        </w:tc>
        <w:tc>
          <w:tcPr>
            <w:tcW w:type="dxa" w:w="1728"/>
          </w:tcPr>
          <w:p>
            <w:r>
              <w:rPr>
                <w:rFonts w:ascii="Calibri" w:hAnsi="Calibri"/>
                <w:sz w:val="22"/>
              </w:rPr>
              <w:t>Raised at Q1 print by $0.12/share; ~$0.12 from FX. Mgmt noted ~5% growth on FX-neutral basis ex-DISH churn. No post-earnings change.</w:t>
            </w:r>
          </w:p>
        </w:tc>
      </w:tr>
      <w:tr>
        <w:tc>
          <w:tcPr>
            <w:tcW w:type="dxa" w:w="1728"/>
          </w:tcPr>
          <w:p>
            <w:r>
              <w:rPr>
                <w:rFonts w:ascii="Calibri" w:hAnsi="Calibri"/>
                <w:sz w:val="22"/>
              </w:rPr>
              <w:t>Organic Tenant Billings Growth — Consolidated (FY 2026)</w:t>
            </w:r>
          </w:p>
        </w:tc>
        <w:tc>
          <w:tcPr>
            <w:tcW w:type="dxa" w:w="1728"/>
          </w:tcPr>
          <w:p>
            <w:r>
              <w:rPr>
                <w:rFonts w:ascii="Calibri" w:hAnsi="Calibri"/>
                <w:sz w:val="22"/>
              </w:rPr>
              <w:t>~1% (or ~4% ex-DISH churn)</w:t>
            </w:r>
          </w:p>
        </w:tc>
        <w:tc>
          <w:tcPr>
            <w:tcW w:type="dxa" w:w="1728"/>
          </w:tcPr>
          <w:p>
            <w:r>
              <w:rPr>
                <w:rFonts w:ascii="Calibri" w:hAnsi="Calibri"/>
                <w:sz w:val="22"/>
              </w:rPr>
              <w:t>—</w:t>
            </w:r>
          </w:p>
        </w:tc>
        <w:tc>
          <w:tcPr>
            <w:tcW w:type="dxa" w:w="1728"/>
          </w:tcPr>
          <w:p>
            <w:r>
              <w:rPr>
                <w:rFonts w:ascii="Calibri" w:hAnsi="Calibri"/>
                <w:sz w:val="22"/>
              </w:rPr>
              <w:t>~1.24%</w:t>
            </w:r>
          </w:p>
        </w:tc>
        <w:tc>
          <w:tcPr>
            <w:tcW w:type="dxa" w:w="1728"/>
          </w:tcPr>
          <w:p>
            <w:r>
              <w:rPr>
                <w:rFonts w:ascii="Calibri" w:hAnsi="Calibri"/>
                <w:sz w:val="22"/>
              </w:rPr>
              <w:t>Reiterated at Q1 print; DISH churn fully excluded from guidance. Consensus slightly above midpoint.</w:t>
            </w:r>
          </w:p>
        </w:tc>
      </w:tr>
      <w:tr>
        <w:tc>
          <w:tcPr>
            <w:tcW w:type="dxa" w:w="1728"/>
          </w:tcPr>
          <w:p>
            <w:r>
              <w:rPr>
                <w:rFonts w:ascii="Calibri" w:hAnsi="Calibri"/>
                <w:sz w:val="22"/>
              </w:rPr>
              <w:t>Data Center Revenue (FY 2026)</w:t>
            </w:r>
          </w:p>
        </w:tc>
        <w:tc>
          <w:tcPr>
            <w:tcW w:type="dxa" w:w="1728"/>
          </w:tcPr>
          <w:p>
            <w:r>
              <w:rPr>
                <w:rFonts w:ascii="Calibri" w:hAnsi="Calibri"/>
                <w:sz w:val="22"/>
              </w:rPr>
              <w:t>$1,175M – $1,195M (midpoint $1,185M; +12.5% YoY)</w:t>
            </w:r>
          </w:p>
        </w:tc>
        <w:tc>
          <w:tcPr>
            <w:tcW w:type="dxa" w:w="1728"/>
          </w:tcPr>
          <w:p>
            <w:r>
              <w:rPr>
                <w:rFonts w:ascii="Calibri" w:hAnsi="Calibri"/>
                <w:sz w:val="22"/>
              </w:rPr>
              <w:t>—</w:t>
            </w:r>
          </w:p>
        </w:tc>
        <w:tc>
          <w:tcPr>
            <w:tcW w:type="dxa" w:w="1728"/>
          </w:tcPr>
          <w:p>
            <w:r>
              <w:rPr>
                <w:rFonts w:ascii="Calibri" w:hAnsi="Calibri"/>
                <w:sz w:val="22"/>
              </w:rPr>
              <w:t>~$1,194M</w:t>
            </w:r>
          </w:p>
        </w:tc>
        <w:tc>
          <w:tcPr>
            <w:tcW w:type="dxa" w:w="1728"/>
          </w:tcPr>
          <w:p>
            <w:r>
              <w:rPr>
                <w:rFonts w:ascii="Calibri" w:hAnsi="Calibri"/>
                <w:sz w:val="22"/>
              </w:rPr>
              <w:t>Reiterated at Q1 print; $695M development spend planned. Consensus at top of range. No post-earnings change.</w:t>
            </w:r>
          </w:p>
        </w:tc>
      </w:tr>
      <w:tr>
        <w:tc>
          <w:tcPr>
            <w:tcW w:type="dxa" w:w="1728"/>
          </w:tcPr>
          <w:p>
            <w:r>
              <w:rPr>
                <w:rFonts w:ascii="Calibri" w:hAnsi="Calibri"/>
                <w:sz w:val="22"/>
              </w:rPr>
              <w:t>CapEx (FY 2026)</w:t>
            </w:r>
          </w:p>
        </w:tc>
        <w:tc>
          <w:tcPr>
            <w:tcW w:type="dxa" w:w="1728"/>
          </w:tcPr>
          <w:p>
            <w:r>
              <w:rPr>
                <w:rFonts w:ascii="Calibri" w:hAnsi="Calibri"/>
                <w:sz w:val="22"/>
              </w:rPr>
              <w:t>$1,800M – $1,910M</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includes $695M data center development + 1,700–2,300 new tower builds globally. No post-earnings change.</w:t>
            </w:r>
          </w:p>
        </w:tc>
      </w:tr>
    </w:tbl>
    <w:p>
      <w:r>
        <w:rPr>
          <w:rFonts w:ascii="Calibri" w:hAnsi="Calibri"/>
          <w:i/>
          <w:color w:val="525866"/>
          <w:sz w:val="22"/>
        </w:rPr>
        <w:t>Sources: AMT Q1 2026 Earnings Release (April 28, 2026); AMT Q1 2026 Earnings Call Transcript (April 28,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AFFO/share have drifted only marginally since the Q1 print (from $2.72 to $2.73), tracking tightly with guidance — no meaningful divergence. For FY 2026, consensus sits modestly above the guidance midpoint on all key metrics, suggesting the street is pricing in a small beat on FX and CoreSite but not extrapolating organic upside.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5, 2026 — ~5 Days Post Q1 Print)</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28)</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AFFO/Share — Q2 2026</w:t>
            </w:r>
          </w:p>
        </w:tc>
        <w:tc>
          <w:tcPr>
            <w:tcW w:type="dxa" w:w="1080"/>
          </w:tcPr>
          <w:p>
            <w:r>
              <w:rPr>
                <w:rFonts w:ascii="Calibri" w:hAnsi="Calibri"/>
                <w:sz w:val="22"/>
              </w:rPr>
              <w:t>$2.716</w:t>
            </w:r>
          </w:p>
        </w:tc>
        <w:tc>
          <w:tcPr>
            <w:tcW w:type="dxa" w:w="1080"/>
          </w:tcPr>
          <w:p>
            <w:r>
              <w:rPr>
                <w:rFonts w:ascii="Calibri" w:hAnsi="Calibri"/>
                <w:sz w:val="22"/>
              </w:rPr>
              <w:t>$2.728</w:t>
            </w:r>
          </w:p>
        </w:tc>
        <w:tc>
          <w:tcPr>
            <w:tcW w:type="dxa" w:w="1080"/>
          </w:tcPr>
          <w:p>
            <w:r>
              <w:rPr>
                <w:rFonts w:ascii="Calibri" w:hAnsi="Calibri"/>
                <w:sz w:val="22"/>
              </w:rPr>
              <w:t>+0.4%</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N/A (FY only)</w:t>
            </w:r>
          </w:p>
        </w:tc>
      </w:tr>
      <w:tr>
        <w:tc>
          <w:tcPr>
            <w:tcW w:type="dxa" w:w="1080"/>
          </w:tcPr>
          <w:p>
            <w:r>
              <w:rPr>
                <w:rFonts w:ascii="Calibri" w:hAnsi="Calibri"/>
                <w:sz w:val="22"/>
              </w:rPr>
              <w:t>AFFO/Share — FY 2026</w:t>
            </w:r>
          </w:p>
        </w:tc>
        <w:tc>
          <w:tcPr>
            <w:tcW w:type="dxa" w:w="1080"/>
          </w:tcPr>
          <w:p>
            <w:r>
              <w:rPr>
                <w:rFonts w:ascii="Calibri" w:hAnsi="Calibri"/>
                <w:sz w:val="22"/>
              </w:rPr>
              <w:t>$11.019</w:t>
            </w:r>
          </w:p>
        </w:tc>
        <w:tc>
          <w:tcPr>
            <w:tcW w:type="dxa" w:w="1080"/>
          </w:tcPr>
          <w:p>
            <w:r>
              <w:rPr>
                <w:rFonts w:ascii="Calibri" w:hAnsi="Calibri"/>
                <w:sz w:val="22"/>
              </w:rPr>
              <w:t>$11.078</w:t>
            </w:r>
          </w:p>
        </w:tc>
        <w:tc>
          <w:tcPr>
            <w:tcW w:type="dxa" w:w="1080"/>
          </w:tcPr>
          <w:p>
            <w:r>
              <w:rPr>
                <w:rFonts w:ascii="Calibri" w:hAnsi="Calibri"/>
                <w:sz w:val="22"/>
              </w:rPr>
              <w:t>+0.5%</w:t>
            </w:r>
          </w:p>
        </w:tc>
        <w:tc>
          <w:tcPr>
            <w:tcW w:type="dxa" w:w="1080"/>
          </w:tcPr>
          <w:p>
            <w:r>
              <w:rPr>
                <w:rFonts w:ascii="Calibri" w:hAnsi="Calibri"/>
                <w:sz w:val="22"/>
              </w:rPr>
              <w:t>$10.90 – $11.07 (mid: $10.99)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above midpoint</w:t>
            </w:r>
          </w:p>
        </w:tc>
      </w:tr>
      <w:tr>
        <w:tc>
          <w:tcPr>
            <w:tcW w:type="dxa" w:w="1080"/>
          </w:tcPr>
          <w:p>
            <w:r>
              <w:rPr>
                <w:rFonts w:ascii="Calibri" w:hAnsi="Calibri"/>
                <w:sz w:val="22"/>
              </w:rPr>
              <w:t>Total Revenue — Q2 2026</w:t>
            </w:r>
          </w:p>
        </w:tc>
        <w:tc>
          <w:tcPr>
            <w:tcW w:type="dxa" w:w="1080"/>
          </w:tcPr>
          <w:p>
            <w:r>
              <w:rPr>
                <w:rFonts w:ascii="Calibri" w:hAnsi="Calibri"/>
                <w:sz w:val="22"/>
              </w:rPr>
              <w:t>$2,701.9M</w:t>
            </w:r>
          </w:p>
        </w:tc>
        <w:tc>
          <w:tcPr>
            <w:tcW w:type="dxa" w:w="1080"/>
          </w:tcPr>
          <w:p>
            <w:r>
              <w:rPr>
                <w:rFonts w:ascii="Calibri" w:hAnsi="Calibri"/>
                <w:sz w:val="22"/>
              </w:rPr>
              <w:t>$2,706.5M</w:t>
            </w:r>
          </w:p>
        </w:tc>
        <w:tc>
          <w:tcPr>
            <w:tcW w:type="dxa" w:w="1080"/>
          </w:tcPr>
          <w:p>
            <w:r>
              <w:rPr>
                <w:rFonts w:ascii="Calibri" w:hAnsi="Calibri"/>
                <w:sz w:val="22"/>
              </w:rPr>
              <w:t>+0.2%</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N/A (FY only)</w:t>
            </w:r>
          </w:p>
        </w:tc>
      </w:tr>
      <w:tr>
        <w:tc>
          <w:tcPr>
            <w:tcW w:type="dxa" w:w="1080"/>
          </w:tcPr>
          <w:p>
            <w:r>
              <w:rPr>
                <w:rFonts w:ascii="Calibri" w:hAnsi="Calibri"/>
                <w:sz w:val="22"/>
              </w:rPr>
              <w:t>Total Revenue — FY 2026</w:t>
            </w:r>
          </w:p>
        </w:tc>
        <w:tc>
          <w:tcPr>
            <w:tcW w:type="dxa" w:w="1080"/>
          </w:tcPr>
          <w:p>
            <w:r>
              <w:rPr>
                <w:rFonts w:ascii="Calibri" w:hAnsi="Calibri"/>
                <w:sz w:val="22"/>
              </w:rPr>
              <w:t>$10,941.9M</w:t>
            </w:r>
          </w:p>
        </w:tc>
        <w:tc>
          <w:tcPr>
            <w:tcW w:type="dxa" w:w="1080"/>
          </w:tcPr>
          <w:p>
            <w:r>
              <w:rPr>
                <w:rFonts w:ascii="Calibri" w:hAnsi="Calibri"/>
                <w:sz w:val="22"/>
              </w:rPr>
              <w:t>$10,953.6M</w:t>
            </w:r>
          </w:p>
        </w:tc>
        <w:tc>
          <w:tcPr>
            <w:tcW w:type="dxa" w:w="1080"/>
          </w:tcPr>
          <w:p>
            <w:r>
              <w:rPr>
                <w:rFonts w:ascii="Calibri" w:hAnsi="Calibri"/>
                <w:sz w:val="22"/>
              </w:rPr>
              <w:t>+0.1%</w:t>
            </w:r>
          </w:p>
        </w:tc>
        <w:tc>
          <w:tcPr>
            <w:tcW w:type="dxa" w:w="1080"/>
          </w:tcPr>
          <w:p>
            <w:r>
              <w:rPr>
                <w:rFonts w:ascii="Calibri" w:hAnsi="Calibri"/>
                <w:sz w:val="22"/>
              </w:rPr>
              <w:t>$10,585M – $10,735M (mid: $10,660M)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+2.7% above midpoint</w:t>
            </w:r>
          </w:p>
        </w:tc>
      </w:tr>
      <w:tr>
        <w:tc>
          <w:tcPr>
            <w:tcW w:type="dxa" w:w="1080"/>
          </w:tcPr>
          <w:p>
            <w:r>
              <w:rPr>
                <w:rFonts w:ascii="Calibri" w:hAnsi="Calibri"/>
                <w:sz w:val="22"/>
              </w:rPr>
              <w:t>Adj. EBITDA — Q2 2026</w:t>
            </w:r>
          </w:p>
        </w:tc>
        <w:tc>
          <w:tcPr>
            <w:tcW w:type="dxa" w:w="1080"/>
          </w:tcPr>
          <w:p>
            <w:r>
              <w:rPr>
                <w:rFonts w:ascii="Calibri" w:hAnsi="Calibri"/>
                <w:sz w:val="22"/>
              </w:rPr>
              <w:t>$1,788.2M</w:t>
            </w:r>
          </w:p>
        </w:tc>
        <w:tc>
          <w:tcPr>
            <w:tcW w:type="dxa" w:w="1080"/>
          </w:tcPr>
          <w:p>
            <w:r>
              <w:rPr>
                <w:rFonts w:ascii="Calibri" w:hAnsi="Calibri"/>
                <w:sz w:val="22"/>
              </w:rPr>
              <w:t>$1,789.9M</w:t>
            </w:r>
          </w:p>
        </w:tc>
        <w:tc>
          <w:tcPr>
            <w:tcW w:type="dxa" w:w="1080"/>
          </w:tcPr>
          <w:p>
            <w:r>
              <w:rPr>
                <w:rFonts w:ascii="Calibri" w:hAnsi="Calibri"/>
                <w:sz w:val="22"/>
              </w:rPr>
              <w:t>+0.1%</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N/A (FY only)</w:t>
            </w:r>
          </w:p>
        </w:tc>
      </w:tr>
      <w:tr>
        <w:tc>
          <w:tcPr>
            <w:tcW w:type="dxa" w:w="1080"/>
          </w:tcPr>
          <w:p>
            <w:r>
              <w:rPr>
                <w:rFonts w:ascii="Calibri" w:hAnsi="Calibri"/>
                <w:sz w:val="22"/>
              </w:rPr>
              <w:t>Adj. EBITDA — FY 2026</w:t>
            </w:r>
          </w:p>
        </w:tc>
        <w:tc>
          <w:tcPr>
            <w:tcW w:type="dxa" w:w="1080"/>
          </w:tcPr>
          <w:p>
            <w:r>
              <w:rPr>
                <w:rFonts w:ascii="Calibri" w:hAnsi="Calibri"/>
                <w:sz w:val="22"/>
              </w:rPr>
              <w:t>$7,251.7M</w:t>
            </w:r>
          </w:p>
        </w:tc>
        <w:tc>
          <w:tcPr>
            <w:tcW w:type="dxa" w:w="1080"/>
          </w:tcPr>
          <w:p>
            <w:r>
              <w:rPr>
                <w:rFonts w:ascii="Calibri" w:hAnsi="Calibri"/>
                <w:sz w:val="22"/>
              </w:rPr>
              <w:t>$7,247.5M</w:t>
            </w:r>
          </w:p>
        </w:tc>
        <w:tc>
          <w:tcPr>
            <w:tcW w:type="dxa" w:w="1080"/>
          </w:tcPr>
          <w:p>
            <w:r>
              <w:rPr>
                <w:rFonts w:ascii="Calibri" w:hAnsi="Calibri"/>
                <w:sz w:val="22"/>
              </w:rPr>
              <w:t>-0.1%</w:t>
            </w:r>
          </w:p>
        </w:tc>
        <w:tc>
          <w:tcPr>
            <w:tcW w:type="dxa" w:w="1080"/>
          </w:tcPr>
          <w:p>
            <w:r>
              <w:rPr>
                <w:rFonts w:ascii="Calibri" w:hAnsi="Calibri"/>
                <w:sz w:val="22"/>
              </w:rPr>
              <w:t>$7,195M – $7,265M (mid: $7,230M)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w:t>
            </w:r>
          </w:p>
        </w:tc>
      </w:tr>
      <w:tr>
        <w:tc>
          <w:tcPr>
            <w:tcW w:type="dxa" w:w="1080"/>
          </w:tcPr>
          <w:p>
            <w:r>
              <w:rPr>
                <w:rFonts w:ascii="Calibri" w:hAnsi="Calibri"/>
                <w:sz w:val="22"/>
              </w:rPr>
              <w:t>Organic TBG — Q2 2026</w:t>
            </w:r>
          </w:p>
        </w:tc>
        <w:tc>
          <w:tcPr>
            <w:tcW w:type="dxa" w:w="1080"/>
          </w:tcPr>
          <w:p>
            <w:r>
              <w:rPr>
                <w:rFonts w:ascii="Calibri" w:hAnsi="Calibri"/>
                <w:sz w:val="22"/>
              </w:rPr>
              <w:t>1.42%</w:t>
            </w:r>
          </w:p>
        </w:tc>
        <w:tc>
          <w:tcPr>
            <w:tcW w:type="dxa" w:w="1080"/>
          </w:tcPr>
          <w:p>
            <w:r>
              <w:rPr>
                <w:rFonts w:ascii="Calibri" w:hAnsi="Calibri"/>
                <w:sz w:val="22"/>
              </w:rPr>
              <w:t>1.42%</w:t>
            </w:r>
          </w:p>
        </w:tc>
        <w:tc>
          <w:tcPr>
            <w:tcW w:type="dxa" w:w="1080"/>
          </w:tcPr>
          <w:p>
            <w:r>
              <w:rPr>
                <w:rFonts w:ascii="Calibri" w:hAnsi="Calibri"/>
                <w:sz w:val="22"/>
              </w:rPr>
              <w:t>Flat</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N/A (FY only)</w:t>
            </w:r>
          </w:p>
        </w:tc>
      </w:tr>
      <w:tr>
        <w:tc>
          <w:tcPr>
            <w:tcW w:type="dxa" w:w="1080"/>
          </w:tcPr>
          <w:p>
            <w:r>
              <w:rPr>
                <w:rFonts w:ascii="Calibri" w:hAnsi="Calibri"/>
                <w:sz w:val="22"/>
              </w:rPr>
              <w:t>Organic TBG — FY 2026</w:t>
            </w:r>
          </w:p>
        </w:tc>
        <w:tc>
          <w:tcPr>
            <w:tcW w:type="dxa" w:w="1080"/>
          </w:tcPr>
          <w:p>
            <w:r>
              <w:rPr>
                <w:rFonts w:ascii="Calibri" w:hAnsi="Calibri"/>
                <w:sz w:val="22"/>
              </w:rPr>
              <w:t>1.24%</w:t>
            </w:r>
          </w:p>
        </w:tc>
        <w:tc>
          <w:tcPr>
            <w:tcW w:type="dxa" w:w="1080"/>
          </w:tcPr>
          <w:p>
            <w:r>
              <w:rPr>
                <w:rFonts w:ascii="Calibri" w:hAnsi="Calibri"/>
                <w:sz w:val="22"/>
              </w:rPr>
              <w:t>1.24%</w:t>
            </w:r>
          </w:p>
        </w:tc>
        <w:tc>
          <w:tcPr>
            <w:tcW w:type="dxa" w:w="1080"/>
          </w:tcPr>
          <w:p>
            <w:r>
              <w:rPr>
                <w:rFonts w:ascii="Calibri" w:hAnsi="Calibri"/>
                <w:sz w:val="22"/>
              </w:rPr>
              <w:t>Flat</w:t>
            </w:r>
          </w:p>
        </w:tc>
        <w:tc>
          <w:tcPr>
            <w:tcW w:type="dxa" w:w="1080"/>
          </w:tcPr>
          <w:p>
            <w:r>
              <w:rPr>
                <w:rFonts w:ascii="Calibri" w:hAnsi="Calibri"/>
                <w:sz w:val="22"/>
              </w:rPr>
              <w:t>~1% (FY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+24 bps above midpoint</w:t>
            </w:r>
          </w:p>
        </w:tc>
      </w:tr>
      <w:tr>
        <w:tc>
          <w:tcPr>
            <w:tcW w:type="dxa" w:w="1080"/>
          </w:tcPr>
          <w:p>
            <w:r>
              <w:rPr>
                <w:rFonts w:ascii="Calibri" w:hAnsi="Calibri"/>
                <w:sz w:val="22"/>
              </w:rPr>
              <w:t>Data Center Revenue — Q2 2026</w:t>
            </w:r>
          </w:p>
        </w:tc>
        <w:tc>
          <w:tcPr>
            <w:tcW w:type="dxa" w:w="1080"/>
          </w:tcPr>
          <w:p>
            <w:r>
              <w:rPr>
                <w:rFonts w:ascii="Calibri" w:hAnsi="Calibri"/>
                <w:sz w:val="22"/>
              </w:rPr>
              <w:t>$292.8M</w:t>
            </w:r>
          </w:p>
        </w:tc>
        <w:tc>
          <w:tcPr>
            <w:tcW w:type="dxa" w:w="1080"/>
          </w:tcPr>
          <w:p>
            <w:r>
              <w:rPr>
                <w:rFonts w:ascii="Calibri" w:hAnsi="Calibri"/>
                <w:sz w:val="22"/>
              </w:rPr>
              <w:t>$293.5M</w:t>
            </w:r>
          </w:p>
        </w:tc>
        <w:tc>
          <w:tcPr>
            <w:tcW w:type="dxa" w:w="1080"/>
          </w:tcPr>
          <w:p>
            <w:r>
              <w:rPr>
                <w:rFonts w:ascii="Calibri" w:hAnsi="Calibri"/>
                <w:sz w:val="22"/>
              </w:rPr>
              <w:t>+0.2%</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N/A (FY only)</w:t>
            </w:r>
          </w:p>
        </w:tc>
      </w:tr>
      <w:tr>
        <w:tc>
          <w:tcPr>
            <w:tcW w:type="dxa" w:w="1080"/>
          </w:tcPr>
          <w:p>
            <w:r>
              <w:rPr>
                <w:rFonts w:ascii="Calibri" w:hAnsi="Calibri"/>
                <w:sz w:val="22"/>
              </w:rPr>
              <w:t>Data Center Revenue — FY 2026</w:t>
            </w:r>
          </w:p>
        </w:tc>
        <w:tc>
          <w:tcPr>
            <w:tcW w:type="dxa" w:w="1080"/>
          </w:tcPr>
          <w:p>
            <w:r>
              <w:rPr>
                <w:rFonts w:ascii="Calibri" w:hAnsi="Calibri"/>
                <w:sz w:val="22"/>
              </w:rPr>
              <w:t>$1,193.2M</w:t>
            </w:r>
          </w:p>
        </w:tc>
        <w:tc>
          <w:tcPr>
            <w:tcW w:type="dxa" w:w="1080"/>
          </w:tcPr>
          <w:p>
            <w:r>
              <w:rPr>
                <w:rFonts w:ascii="Calibri" w:hAnsi="Calibri"/>
                <w:sz w:val="22"/>
              </w:rPr>
              <w:t>$1,194.1M</w:t>
            </w:r>
          </w:p>
        </w:tc>
        <w:tc>
          <w:tcPr>
            <w:tcW w:type="dxa" w:w="1080"/>
          </w:tcPr>
          <w:p>
            <w:r>
              <w:rPr>
                <w:rFonts w:ascii="Calibri" w:hAnsi="Calibri"/>
                <w:sz w:val="22"/>
              </w:rPr>
              <w:t>+0.1%</w:t>
            </w:r>
          </w:p>
        </w:tc>
        <w:tc>
          <w:tcPr>
            <w:tcW w:type="dxa" w:w="1080"/>
          </w:tcPr>
          <w:p>
            <w:r>
              <w:rPr>
                <w:rFonts w:ascii="Calibri" w:hAnsi="Calibri"/>
                <w:sz w:val="22"/>
              </w:rPr>
              <w:t>$1,175M – $1,195M (mid: $1,185M)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above midpoint; at top of range</w:t>
            </w:r>
          </w:p>
        </w:tc>
      </w:tr>
    </w:tbl>
    <w:p>
      <w:r>
        <w:rPr>
          <w:rFonts w:ascii="Calibri" w:hAnsi="Calibri"/>
          <w:color w:val="525866"/>
          <w:sz w:val="22"/>
        </w:rPr>
        <w:t>Estimates have been remarkably stable since the Q1 print — virtually no revision in any direction across all KPIs — suggesting the street is comfortable with guidance and not pricing in incremental risk or upside. The only notable gap is total revenue consensus running ~2.7% above the FY guidance midpoint, likely reflecting the street's expectation that FX and CoreSite will continue to outperform the conservative guidance range.</w:t>
      </w:r>
      <w:r>
        <w:rPr>
          <w:rFonts w:ascii="Calibri" w:hAnsi="Calibri"/>
          <w:i/>
          <w:color w:val="525866"/>
          <w:sz w:val="22"/>
        </w:rPr>
        <w:t xml:space="preserv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AMT has underperformed both VNQ (REIT ETF) and the S&amp;P 500 since the Q1 2026 earnings print, with the stock down ~6.5% vs. VNQ +5.1% and SPY +3.8% — the underperformance is driven almost entirely by multiple compression (NTM EV/EBITDA from ~18.5x to 17.3x), not estimate cuts, suggesting sentiment-driven selling rather than fundamental deterioration.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Period</w:t>
            </w:r>
          </w:p>
        </w:tc>
        <w:tc>
          <w:tcPr>
            <w:tcW w:type="dxa" w:w="1440"/>
            <w:shd w:val="clear" w:color="auto" w:fill="3B4259"/>
          </w:tcPr>
          <w:p>
            <w:r>
              <w:rPr>
                <w:rFonts w:ascii="Calibri" w:hAnsi="Calibri"/>
                <w:b/>
                <w:color w:val="FFFFFF"/>
                <w:sz w:val="22"/>
              </w:rPr>
              <w:t>AMT Return</w:t>
            </w:r>
          </w:p>
        </w:tc>
        <w:tc>
          <w:tcPr>
            <w:tcW w:type="dxa" w:w="1440"/>
            <w:shd w:val="clear" w:color="auto" w:fill="3B4259"/>
          </w:tcPr>
          <w:p>
            <w:r>
              <w:rPr>
                <w:rFonts w:ascii="Calibri" w:hAnsi="Calibri"/>
                <w:b/>
                <w:color w:val="FFFFFF"/>
                <w:sz w:val="22"/>
              </w:rPr>
              <w:t>VNQ Return</w:t>
            </w:r>
          </w:p>
        </w:tc>
        <w:tc>
          <w:tcPr>
            <w:tcW w:type="dxa" w:w="1440"/>
            <w:shd w:val="clear" w:color="auto" w:fill="3B4259"/>
          </w:tcPr>
          <w:p>
            <w:r>
              <w:rPr>
                <w:rFonts w:ascii="Calibri" w:hAnsi="Calibri"/>
                <w:b/>
                <w:color w:val="FFFFFF"/>
                <w:sz w:val="22"/>
              </w:rPr>
              <w:t>SPY Return</w:t>
            </w:r>
          </w:p>
        </w:tc>
        <w:tc>
          <w:tcPr>
            <w:tcW w:type="dxa" w:w="1440"/>
            <w:shd w:val="clear" w:color="auto" w:fill="3B4259"/>
          </w:tcPr>
          <w:p>
            <w:r>
              <w:rPr>
                <w:rFonts w:ascii="Calibri" w:hAnsi="Calibri"/>
                <w:b/>
                <w:color w:val="FFFFFF"/>
                <w:sz w:val="22"/>
              </w:rPr>
              <w:t>AMT vs. VNQ</w:t>
            </w:r>
          </w:p>
        </w:tc>
        <w:tc>
          <w:tcPr>
            <w:tcW w:type="dxa" w:w="1440"/>
            <w:shd w:val="clear" w:color="auto" w:fill="3B4259"/>
          </w:tcPr>
          <w:p>
            <w:r>
              <w:rPr>
                <w:rFonts w:ascii="Calibri" w:hAnsi="Calibri"/>
                <w:b/>
                <w:color w:val="FFFFFF"/>
                <w:sz w:val="22"/>
              </w:rPr>
              <w:t>AMT vs. SPY</w:t>
            </w:r>
          </w:p>
        </w:tc>
      </w:tr>
      <w:tr>
        <w:tc>
          <w:tcPr>
            <w:tcW w:type="dxa" w:w="1440"/>
          </w:tcPr>
          <w:p>
            <w:r>
              <w:rPr>
                <w:rFonts w:ascii="Calibri" w:hAnsi="Calibri"/>
                <w:sz w:val="22"/>
              </w:rPr>
              <w:t>Since Q1 Earnings (Apr 28 → Jul 28)</w:t>
            </w:r>
          </w:p>
        </w:tc>
        <w:tc>
          <w:tcPr>
            <w:tcW w:type="dxa" w:w="1440"/>
          </w:tcPr>
          <w:p>
            <w:r>
              <w:rPr>
                <w:rFonts w:ascii="Calibri" w:hAnsi="Calibri"/>
                <w:b/>
                <w:color w:val="E5484D"/>
                <w:sz w:val="22"/>
              </w:rPr>
              <w:t>-6.5%</w:t>
            </w:r>
          </w:p>
        </w:tc>
        <w:tc>
          <w:tcPr>
            <w:tcW w:type="dxa" w:w="1440"/>
          </w:tcPr>
          <w:p>
            <w:r>
              <w:rPr>
                <w:rFonts w:ascii="Calibri" w:hAnsi="Calibri"/>
                <w:sz w:val="22"/>
              </w:rPr>
              <w:t>+5.1%</w:t>
            </w:r>
          </w:p>
        </w:tc>
        <w:tc>
          <w:tcPr>
            <w:tcW w:type="dxa" w:w="1440"/>
          </w:tcPr>
          <w:p>
            <w:r>
              <w:rPr>
                <w:rFonts w:ascii="Calibri" w:hAnsi="Calibri"/>
                <w:sz w:val="22"/>
              </w:rPr>
              <w:t>+3.8%</w:t>
            </w:r>
          </w:p>
        </w:tc>
        <w:tc>
          <w:tcPr>
            <w:tcW w:type="dxa" w:w="1440"/>
          </w:tcPr>
          <w:p>
            <w:r>
              <w:rPr>
                <w:rFonts w:ascii="Calibri" w:hAnsi="Calibri"/>
                <w:b/>
                <w:color w:val="E5484D"/>
                <w:sz w:val="22"/>
              </w:rPr>
              <w:t>-11.6 ppts</w:t>
            </w:r>
          </w:p>
        </w:tc>
        <w:tc>
          <w:tcPr>
            <w:tcW w:type="dxa" w:w="1440"/>
          </w:tcPr>
          <w:p>
            <w:r>
              <w:rPr>
                <w:rFonts w:ascii="Calibri" w:hAnsi="Calibri"/>
                <w:b/>
                <w:color w:val="E5484D"/>
                <w:sz w:val="22"/>
              </w:rPr>
              <w:t>-10.3 ppts</w:t>
            </w:r>
          </w:p>
        </w:tc>
      </w:tr>
      <w:tr>
        <w:tc>
          <w:tcPr>
            <w:tcW w:type="dxa" w:w="1440"/>
          </w:tcPr>
          <w:p>
            <w:r>
              <w:rPr>
                <w:rFonts w:ascii="Calibri" w:hAnsi="Calibri"/>
                <w:sz w:val="22"/>
              </w:rPr>
              <w:t>1 Month</w:t>
            </w:r>
          </w:p>
        </w:tc>
        <w:tc>
          <w:tcPr>
            <w:tcW w:type="dxa" w:w="1440"/>
          </w:tcPr>
          <w:p>
            <w:r>
              <w:rPr>
                <w:rFonts w:ascii="Calibri" w:hAnsi="Calibri"/>
                <w:sz w:val="22"/>
              </w:rPr>
              <w:t>-1.2%</w:t>
            </w:r>
          </w:p>
        </w:tc>
        <w:tc>
          <w:tcPr>
            <w:tcW w:type="dxa" w:w="1440"/>
          </w:tcPr>
          <w:p>
            <w:r>
              <w:rPr>
                <w:rFonts w:ascii="Calibri" w:hAnsi="Calibri"/>
                <w:sz w:val="22"/>
              </w:rPr>
              <w:t>~+1.0%</w:t>
            </w:r>
          </w:p>
        </w:tc>
        <w:tc>
          <w:tcPr>
            <w:tcW w:type="dxa" w:w="1440"/>
          </w:tcPr>
          <w:p>
            <w:r>
              <w:rPr>
                <w:rFonts w:ascii="Calibri" w:hAnsi="Calibri"/>
                <w:sz w:val="22"/>
              </w:rPr>
              <w:t>~+0.1%</w:t>
            </w:r>
          </w:p>
        </w:tc>
        <w:tc>
          <w:tcPr>
            <w:tcW w:type="dxa" w:w="1440"/>
          </w:tcPr>
          <w:p>
            <w:r>
              <w:rPr>
                <w:rFonts w:ascii="Calibri" w:hAnsi="Calibri"/>
                <w:sz w:val="22"/>
              </w:rPr>
              <w:t>~-2.2 ppts</w:t>
            </w:r>
          </w:p>
        </w:tc>
        <w:tc>
          <w:tcPr>
            <w:tcW w:type="dxa" w:w="1440"/>
          </w:tcPr>
          <w:p>
            <w:r>
              <w:rPr>
                <w:rFonts w:ascii="Calibri" w:hAnsi="Calibri"/>
                <w:sz w:val="22"/>
              </w:rPr>
              <w:t>~-1.3 ppts</w:t>
            </w:r>
          </w:p>
        </w:tc>
      </w:tr>
      <w:tr>
        <w:tc>
          <w:tcPr>
            <w:tcW w:type="dxa" w:w="1440"/>
          </w:tcPr>
          <w:p>
            <w:r>
              <w:rPr>
                <w:rFonts w:ascii="Calibri" w:hAnsi="Calibri"/>
                <w:sz w:val="22"/>
              </w:rPr>
              <w:t>3 Month</w:t>
            </w:r>
          </w:p>
        </w:tc>
        <w:tc>
          <w:tcPr>
            <w:tcW w:type="dxa" w:w="1440"/>
          </w:tcPr>
          <w:p>
            <w:r>
              <w:rPr>
                <w:rFonts w:ascii="Calibri" w:hAnsi="Calibri"/>
                <w:sz w:val="22"/>
              </w:rPr>
              <w:t>-6.4%</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12 Month</w:t>
            </w:r>
          </w:p>
        </w:tc>
        <w:tc>
          <w:tcPr>
            <w:tcW w:type="dxa" w:w="1440"/>
          </w:tcPr>
          <w:p>
            <w:r>
              <w:rPr>
                <w:rFonts w:ascii="Calibri" w:hAnsi="Calibri"/>
                <w:b/>
                <w:color w:val="E5484D"/>
                <w:sz w:val="22"/>
              </w:rPr>
              <w:t>-27.9%</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Key Events Since Q1 Earnings (April 28, 2026):</w:t>
      </w:r>
    </w:p>
    <w:p>
      <w:pPr>
        <w:pStyle w:val="ListBullet"/>
        <w:ind w:left="360" w:hanging="360"/>
      </w:pPr>
      <w:r>
        <w:rPr>
          <w:rFonts w:ascii="Calibri" w:hAnsi="Calibri"/>
          <w:b/>
          <w:color w:val="525866"/>
          <w:sz w:val="22"/>
        </w:rPr>
        <w:t xml:space="preserve">May 12, 2026: </w:t>
      </w:r>
      <w:r>
        <w:rPr>
          <w:rFonts w:ascii="Calibri" w:hAnsi="Calibri"/>
          <w:color w:val="525866"/>
          <w:sz w:val="22"/>
        </w:rPr>
        <w:t>FCC approved EchoStar spectrum transfer to AT&amp;T and SpaceX with $2.4B escrow for vendors — AMT stock initially rallied on the news as it de-risked DISH recovery prospects.</w:t>
      </w:r>
    </w:p>
    <w:p>
      <w:pPr>
        <w:pStyle w:val="ListBullet"/>
        <w:ind w:left="360" w:hanging="360"/>
      </w:pPr>
      <w:r>
        <w:rPr>
          <w:rFonts w:ascii="Calibri" w:hAnsi="Calibri"/>
          <w:b/>
          <w:color w:val="525866"/>
          <w:sz w:val="22"/>
        </w:rPr>
        <w:t xml:space="preserve">May 14, 2026: </w:t>
      </w:r>
      <w:r>
        <w:rPr>
          <w:rFonts w:ascii="Calibri" w:hAnsi="Calibri"/>
          <w:color w:val="525866"/>
          <w:sz w:val="22"/>
        </w:rPr>
        <w:t>AT&amp;T/T-Mobile/Verizon announced satellite direct-to-device JV — AMT management subsequently characterized this as complementary to terrestrial networks, not competitive.</w:t>
      </w:r>
    </w:p>
    <w:p>
      <w:pPr>
        <w:pStyle w:val="ListBullet"/>
        <w:ind w:left="360" w:hanging="360"/>
      </w:pPr>
      <w:r>
        <w:rPr>
          <w:rFonts w:ascii="Calibri" w:hAnsi="Calibri"/>
          <w:b/>
          <w:color w:val="525866"/>
          <w:sz w:val="22"/>
        </w:rPr>
        <w:t xml:space="preserve">Late June 2026: </w:t>
      </w:r>
      <w:r>
        <w:rPr>
          <w:rFonts w:ascii="Calibri" w:hAnsi="Calibri"/>
          <w:color w:val="525866"/>
          <w:sz w:val="22"/>
        </w:rPr>
        <w:t>SpaceX/Charter mobile partnership reports triggered a sharp sector selloff — AMT fell from ~$194 to ~$163 between June 4 and June 30, a ~16% decline, significantly underperforming VNQ which was roughly flat over the same period.</w:t>
      </w:r>
    </w:p>
    <w:p>
      <w:pPr>
        <w:pStyle w:val="ListBullet"/>
        <w:ind w:left="360" w:hanging="360"/>
      </w:pPr>
      <w:r>
        <w:rPr>
          <w:rFonts w:ascii="Calibri" w:hAnsi="Calibri"/>
          <w:b/>
          <w:color w:val="525866"/>
          <w:sz w:val="22"/>
        </w:rPr>
        <w:t xml:space="preserve">July 2026: </w:t>
      </w:r>
      <w:r>
        <w:rPr>
          <w:rFonts w:ascii="Calibri" w:hAnsi="Calibri"/>
          <w:color w:val="525866"/>
          <w:sz w:val="22"/>
        </w:rPr>
        <w:t>AT&amp;T 600 MHz spectrum acquisition from EchoStar expected to close in July 2026 (confirmed by CCI Q2 call) — a potential mid-term catalyst for tower amendment activity.</w:t>
      </w:r>
    </w:p>
    <w:p>
      <w:r>
        <w:rPr>
          <w:rFonts w:ascii="Calibri" w:hAnsi="Calibri"/>
          <w:b/>
          <w:color w:val="525866"/>
          <w:sz w:val="22"/>
        </w:rPr>
        <w:t xml:space="preserve">Valuation Context: </w:t>
      </w:r>
      <w:r>
        <w:rPr>
          <w:rFonts w:ascii="Calibri" w:hAnsi="Calibri"/>
          <w:color w:val="525866"/>
          <w:sz w:val="22"/>
        </w:rPr>
        <w:t>NTM EV/EBITDA has compressed from ~18.5x (at Q1 earnings) to 17.3x currently, vs. a 12-month high of ~20.7x. The de-rating is driven by sentiment around satellite competition fears and carrier consolidation uncertainty, not by estimate cuts — AFFO/share estimates are essentially flat since the Q1 print. At 17.3x NTM EV/EBITDA, AMT trades at a meaningful discount to its 12-month average, creating a potential re-rating opportunity if Q2 results confirm the DISH churn trough narrative.</w:t>
      </w:r>
      <w:r>
        <w:rPr>
          <w:rFonts w:ascii="Calibri" w:hAnsi="Calibri"/>
          <w:i/>
          <w:color w:val="525866"/>
          <w:sz w:val="22"/>
        </w:rPr>
        <w:t xml:space="preserve"> Source: Stock Price Data (Yahoo Finance); AMT Stock Performance Decomposition.</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late-June SpaceX/Charter mobile partnership speculation, which triggered a sharp sector selloff and drove AMT's worst underperformance since the DISH default — management's rebuttal (satellite is complementary, not competitive) will be tested on the Q2 call, and any incremental clarity on AT&amp;T's 600 MHz deployment timeline is the most actionable near-term catalyst.</w:t>
      </w:r>
    </w:p>
    <w:p>
      <w:pPr>
        <w:pStyle w:val="ListBullet"/>
        <w:ind w:left="360" w:hanging="360"/>
      </w:pPr>
      <w:r>
        <w:rPr>
          <w:rFonts w:ascii="Calibri" w:hAnsi="Calibri"/>
          <w:b/>
          <w:color w:val="525866"/>
          <w:sz w:val="22"/>
        </w:rPr>
        <w:t>May 12, 2026 — FCC Approves EchoStar Spectrum Transfer; $2.4B Escrow Established.</w:t>
      </w:r>
      <w:r>
        <w:rPr>
          <w:rFonts w:ascii="Calibri" w:hAnsi="Calibri"/>
          <w:color w:val="525866"/>
          <w:sz w:val="22"/>
        </w:rPr>
        <w:t xml:space="preserve"> FCC approved the transfer of EchoStar's 600 MHz spectrum to AT&amp;T and SpaceX, contingent on a $2.4B bankruptcy-remote escrow for vendors. AMT and CCI were identified as the two largest contributors to the escrow pool. </w:t>
      </w:r>
    </w:p>
    <w:p>
      <w:pPr>
        <w:pStyle w:val="ListBullet"/>
        <w:ind w:left="360" w:hanging="360"/>
      </w:pPr>
      <w:r>
        <w:rPr>
          <w:rFonts w:ascii="Calibri" w:hAnsi="Calibri"/>
          <w:i/>
          <w:color w:val="525866"/>
          <w:sz w:val="22"/>
        </w:rPr>
        <w:t xml:space="preserve">Implication: </w:t>
      </w:r>
      <w:r>
        <w:rPr>
          <w:rFonts w:ascii="Calibri" w:hAnsi="Calibri"/>
          <w:color w:val="525866"/>
          <w:sz w:val="22"/>
        </w:rPr>
        <w:t>Provides a mechanism for AMT to recover a portion of DISH-related receivables outside the normal bankruptcy waterfall; also accelerates AT&amp;T's 600 MHz deployment, which requires new antennas and radios on tower sites — a direct mid-term leasing catalyst.</w:t>
      </w:r>
    </w:p>
    <w:p>
      <w:pPr>
        <w:pStyle w:val="ListBullet"/>
        <w:ind w:left="360" w:hanging="360"/>
      </w:pPr>
      <w:r>
        <w:rPr>
          <w:rFonts w:ascii="Calibri" w:hAnsi="Calibri"/>
          <w:b/>
          <w:color w:val="525866"/>
          <w:sz w:val="22"/>
        </w:rPr>
        <w:t>May 14, 2026 — AT&amp;T/T-Mobile/Verizon Announce Satellite Direct-to-Device JV.</w:t>
      </w:r>
      <w:r>
        <w:rPr>
          <w:rFonts w:ascii="Calibri" w:hAnsi="Calibri"/>
          <w:color w:val="525866"/>
          <w:sz w:val="22"/>
        </w:rPr>
        <w:t xml:space="preserve"> The three major carriers announced a joint venture to pool spectrum for satellite direct-to-device service. AMT management characterized this as further validation that satellite extends terrestrial coverage rather than competing with it.</w:t>
      </w:r>
    </w:p>
    <w:p>
      <w:pPr>
        <w:pStyle w:val="ListBullet"/>
        <w:ind w:left="360" w:hanging="360"/>
      </w:pPr>
      <w:r>
        <w:rPr>
          <w:rFonts w:ascii="Calibri" w:hAnsi="Calibri"/>
          <w:i/>
          <w:color w:val="525866"/>
          <w:sz w:val="22"/>
        </w:rPr>
        <w:t xml:space="preserve">Implication: </w:t>
      </w:r>
      <w:r>
        <w:rPr>
          <w:rFonts w:ascii="Calibri" w:hAnsi="Calibri"/>
          <w:color w:val="525866"/>
          <w:sz w:val="22"/>
        </w:rPr>
        <w:t>Neutral to slightly positive for AMT — the JV structure suggests carriers view satellite as a complement, not a substitute, reducing the risk of tower demand displacement.</w:t>
      </w:r>
    </w:p>
    <w:p>
      <w:pPr>
        <w:pStyle w:val="ListBullet"/>
        <w:ind w:left="360" w:hanging="360"/>
      </w:pPr>
      <w:r>
        <w:rPr>
          <w:rFonts w:ascii="Calibri" w:hAnsi="Calibri"/>
          <w:b/>
          <w:color w:val="525866"/>
          <w:sz w:val="22"/>
        </w:rPr>
        <w:t>Late June 2026 — SpaceX/Charter Mobile Partnership Reports Trigger Sector Selloff.</w:t>
      </w:r>
      <w:r>
        <w:rPr>
          <w:rFonts w:ascii="Calibri" w:hAnsi="Calibri"/>
          <w:color w:val="525866"/>
          <w:sz w:val="22"/>
        </w:rPr>
        <w:t xml:space="preserve"> Reports of SpaceX exploring a mobile phone business in partnership with Charter Communications sent AMT, CCI, SBAC, VZ, T, and TMUS sharply lower. AMT fell ~16% from its June 4 high of ~$194 to ~$163 by June 30.</w:t>
      </w:r>
    </w:p>
    <w:p>
      <w:pPr>
        <w:pStyle w:val="ListBullet"/>
        <w:ind w:left="360" w:hanging="360"/>
      </w:pPr>
      <w:r>
        <w:rPr>
          <w:rFonts w:ascii="Calibri" w:hAnsi="Calibri"/>
          <w:i/>
          <w:color w:val="525866"/>
          <w:sz w:val="22"/>
        </w:rPr>
        <w:t xml:space="preserve">Implication: </w:t>
      </w:r>
      <w:r>
        <w:rPr>
          <w:rFonts w:ascii="Calibri" w:hAnsi="Calibri"/>
          <w:color w:val="525866"/>
          <w:sz w:val="22"/>
        </w:rPr>
        <w:t>The selloff appears sentiment-driven and disproportionate — Verizon's CEO provided detailed physics-based arguments on the Q2 call (July 24) explaining why satellite cannot replicate terrestrial capacity in urban/suburban areas (where 95-98% of revenues are generated). The overhang may persist until AMT management directly addresses it on the Q2 call.</w:t>
      </w:r>
    </w:p>
    <w:p>
      <w:pPr>
        <w:pStyle w:val="ListBullet"/>
        <w:ind w:left="360" w:hanging="360"/>
      </w:pPr>
      <w:r>
        <w:rPr>
          <w:rFonts w:ascii="Calibri" w:hAnsi="Calibri"/>
          <w:b/>
          <w:color w:val="525866"/>
          <w:sz w:val="22"/>
        </w:rPr>
        <w:t>June 24, 2026 — Verizon Removed from Dow Jones Industrial Average.</w:t>
      </w:r>
      <w:r>
        <w:rPr>
          <w:rFonts w:ascii="Calibri" w:hAnsi="Calibri"/>
          <w:color w:val="525866"/>
          <w:sz w:val="22"/>
        </w:rPr>
        <w:t xml:space="preserve"> Verizon was removed from the DJIA effective June 29, 2026. No direct AMT impact, but reflects broader telecom sector sentiment headwinds.</w:t>
      </w:r>
    </w:p>
    <w:p>
      <w:pPr>
        <w:pStyle w:val="ListBullet"/>
        <w:ind w:left="360" w:hanging="360"/>
      </w:pPr>
      <w:r>
        <w:rPr>
          <w:rFonts w:ascii="Calibri" w:hAnsi="Calibri"/>
          <w:b/>
          <w:color w:val="525866"/>
          <w:sz w:val="22"/>
        </w:rPr>
        <w:t>July 22, 2026 — AT&amp;T Q2 2026 Earnings: Record Subscriber Growth, $23-24B CapEx Maintained.</w:t>
      </w:r>
      <w:r>
        <w:rPr>
          <w:rFonts w:ascii="Calibri" w:hAnsi="Calibri"/>
          <w:color w:val="525866"/>
          <w:sz w:val="22"/>
        </w:rPr>
        <w:t xml:space="preserve"> AT&amp;T reported its best-ever Q2 fiber net adds and record combined fiber/FWA net adds, with 432,000 postpaid phone net adds. Full-year 2026 capex guidance of $23-24B maintained. AT&amp;T stock rose ~5% on the day.</w:t>
      </w:r>
    </w:p>
    <w:p>
      <w:pPr>
        <w:pStyle w:val="ListBullet"/>
        <w:ind w:left="360" w:hanging="360"/>
      </w:pPr>
      <w:r>
        <w:rPr>
          <w:rFonts w:ascii="Calibri" w:hAnsi="Calibri"/>
          <w:i/>
          <w:color w:val="525866"/>
          <w:sz w:val="22"/>
        </w:rPr>
        <w:t xml:space="preserve">Implication: </w:t>
      </w:r>
      <w:r>
        <w:rPr>
          <w:rFonts w:ascii="Calibri" w:hAnsi="Calibri"/>
          <w:color w:val="525866"/>
          <w:sz w:val="22"/>
        </w:rPr>
        <w:t>Positive read-through for AMT — strong AT&amp;T subscriber growth and sustained capex signal continued wireless network investment. AT&amp;T's explicit mention of deploying small cell infrastructure and densifying networks is a direct positive for tower leasing demand.</w:t>
      </w:r>
    </w:p>
    <w:p>
      <w:pPr>
        <w:pStyle w:val="ListBullet"/>
        <w:ind w:left="360" w:hanging="360"/>
      </w:pPr>
      <w:r>
        <w:rPr>
          <w:rFonts w:ascii="Calibri" w:hAnsi="Calibri"/>
          <w:b/>
          <w:color w:val="525866"/>
          <w:sz w:val="22"/>
        </w:rPr>
        <w:t>July 23, 2026 — T-Mobile Q2 2026 Earnings: $10B CapEx Unchanged; 5G Advanced Rollout.</w:t>
      </w:r>
      <w:r>
        <w:rPr>
          <w:rFonts w:ascii="Calibri" w:hAnsi="Calibri"/>
          <w:color w:val="525866"/>
          <w:sz w:val="22"/>
        </w:rPr>
        <w:t xml:space="preserve"> T-Mobile confirmed full-year 2026 cash capex of ~$10B unchanged, rolled out 5G Advanced to improve uplink performance, and highlighted upcoming C-band 2.0 and 2.7 GHz spectrum opportunities in 2027-2028.</w:t>
      </w:r>
    </w:p>
    <w:p>
      <w:pPr>
        <w:pStyle w:val="ListBullet"/>
        <w:ind w:left="360" w:hanging="360"/>
      </w:pPr>
      <w:r>
        <w:rPr>
          <w:rFonts w:ascii="Calibri" w:hAnsi="Calibri"/>
          <w:i/>
          <w:color w:val="525866"/>
          <w:sz w:val="22"/>
        </w:rPr>
        <w:t xml:space="preserve">Implication: </w:t>
      </w:r>
      <w:r>
        <w:rPr>
          <w:rFonts w:ascii="Calibri" w:hAnsi="Calibri"/>
          <w:color w:val="525866"/>
          <w:sz w:val="22"/>
        </w:rPr>
        <w:t>Positive for AMT — stable, substantial capex and future spectrum deployment plans signal sustained tower leasing demand. T-Mobile stock fell despite the beat, partly on slower subscriber growth, but the infrastructure investment signal is constructive for AMT.</w:t>
      </w:r>
    </w:p>
    <w:p>
      <w:pPr>
        <w:pStyle w:val="ListBullet"/>
        <w:ind w:left="360" w:hanging="360"/>
      </w:pPr>
      <w:r>
        <w:rPr>
          <w:rFonts w:ascii="Calibri" w:hAnsi="Calibri"/>
          <w:b/>
          <w:color w:val="525866"/>
          <w:sz w:val="22"/>
        </w:rPr>
        <w:t>July 24, 2026 — Verizon Q2 2026 Earnings: $16-16.5B CapEx; Google Dark Fiber Deal &gt;$1B.</w:t>
      </w:r>
      <w:r>
        <w:rPr>
          <w:rFonts w:ascii="Calibri" w:hAnsi="Calibri"/>
          <w:color w:val="525866"/>
          <w:sz w:val="22"/>
        </w:rPr>
        <w:t xml:space="preserve"> Verizon reported $8.2B capex through Q2, maintained full-year guidance of $16-16.5B, and announced a &gt;$1B dark fiber deal with Google. CEO provided detailed rebuttal of satellite competition concerns.</w:t>
      </w:r>
    </w:p>
    <w:p>
      <w:pPr>
        <w:pStyle w:val="ListBullet"/>
        <w:ind w:left="360" w:hanging="360"/>
      </w:pPr>
      <w:r>
        <w:rPr>
          <w:rFonts w:ascii="Calibri" w:hAnsi="Calibri"/>
          <w:i/>
          <w:color w:val="525866"/>
          <w:sz w:val="22"/>
        </w:rPr>
        <w:t xml:space="preserve">Implication: </w:t>
      </w:r>
      <w:r>
        <w:rPr>
          <w:rFonts w:ascii="Calibri" w:hAnsi="Calibri"/>
          <w:color w:val="525866"/>
          <w:sz w:val="22"/>
        </w:rPr>
        <w:t>Positive for AMT — Verizon's sustained capex and explicit dismissal of satellite as a competitive threat to terrestrial networks in urban/suburban areas directly supports the tower demand thesis. The dark fiber deal is not directly relevant to AMT's tower business.</w:t>
      </w:r>
    </w:p>
    <w:p>
      <w:pPr>
        <w:pStyle w:val="ListBullet"/>
        <w:ind w:left="360" w:hanging="360"/>
      </w:pPr>
      <w:r>
        <w:rPr>
          <w:rFonts w:ascii="Calibri" w:hAnsi="Calibri"/>
          <w:b/>
          <w:color w:val="525866"/>
          <w:sz w:val="22"/>
        </w:rPr>
        <w:t>July 22, 2026 — Crown Castle Q2 2026 Earnings: 2026 Declared "Low Watermark" for Organic Growth.</w:t>
      </w:r>
      <w:r>
        <w:rPr>
          <w:rFonts w:ascii="Calibri" w:hAnsi="Calibri"/>
          <w:color w:val="525866"/>
          <w:sz w:val="22"/>
        </w:rPr>
        <w:t xml:space="preserve"> CCI reported solid Q2 results, raised FY 2026 AFFO guidance, and declared 2026 the "low watermark" for organic growth with visibility into improvement. Noted a pullback in carrier services activity across all three major carriers due to leadership changes and layoffs.</w:t>
      </w:r>
    </w:p>
    <w:p>
      <w:pPr>
        <w:pStyle w:val="ListBullet"/>
        <w:ind w:left="360" w:hanging="360"/>
      </w:pPr>
      <w:r>
        <w:rPr>
          <w:rFonts w:ascii="Calibri" w:hAnsi="Calibri"/>
          <w:i/>
          <w:color w:val="525866"/>
          <w:sz w:val="22"/>
        </w:rPr>
        <w:t xml:space="preserve">Implication: </w:t>
      </w:r>
      <w:r>
        <w:rPr>
          <w:rFonts w:ascii="Calibri" w:hAnsi="Calibri"/>
          <w:color w:val="525866"/>
          <w:sz w:val="22"/>
        </w:rPr>
        <w:t>Mixed for AMT — the "low watermark" declaration is constructive for the long-term tower thesis, but the near-term services activity pullback is a potential headwind for AMT's Q2 services revenue line.</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The only insider activity since the Q1 earnings print is a small 10b5-1 planned sale by the EVP/General Counsel — routine and obligation-driven; no open-market buys or discretionary sales. The absence of any open-market buying despite a ~16% pullback from the June highs is notable but not alarming given the 10b5-1 plan context.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Value (Est.)</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Dowling, Ruth T.</w:t>
            </w:r>
          </w:p>
        </w:tc>
        <w:tc>
          <w:tcPr>
            <w:tcW w:type="dxa" w:w="1234"/>
          </w:tcPr>
          <w:p>
            <w:r>
              <w:rPr>
                <w:rFonts w:ascii="Calibri" w:hAnsi="Calibri"/>
                <w:sz w:val="22"/>
              </w:rPr>
              <w:t>EVP, Chief Admin Officer, GC &amp; Secretary</w:t>
            </w:r>
          </w:p>
        </w:tc>
        <w:tc>
          <w:tcPr>
            <w:tcW w:type="dxa" w:w="1234"/>
          </w:tcPr>
          <w:p>
            <w:r>
              <w:rPr>
                <w:rFonts w:ascii="Calibri" w:hAnsi="Calibri"/>
                <w:sz w:val="22"/>
              </w:rPr>
              <w:t>10b5-1 Planned Sale</w:t>
            </w:r>
          </w:p>
        </w:tc>
        <w:tc>
          <w:tcPr>
            <w:tcW w:type="dxa" w:w="1234"/>
          </w:tcPr>
          <w:p>
            <w:r>
              <w:rPr>
                <w:rFonts w:ascii="Calibri" w:hAnsi="Calibri"/>
                <w:sz w:val="22"/>
              </w:rPr>
              <w:t>556 shares</w:t>
            </w:r>
          </w:p>
        </w:tc>
        <w:tc>
          <w:tcPr>
            <w:tcW w:type="dxa" w:w="1234"/>
          </w:tcPr>
          <w:p>
            <w:r>
              <w:rPr>
                <w:rFonts w:ascii="Calibri" w:hAnsi="Calibri"/>
                <w:sz w:val="22"/>
              </w:rPr>
              <w:t>~$99K (at ~$178/share)</w:t>
            </w:r>
          </w:p>
        </w:tc>
        <w:tc>
          <w:tcPr>
            <w:tcW w:type="dxa" w:w="1234"/>
          </w:tcPr>
          <w:p>
            <w:r>
              <w:rPr>
                <w:rFonts w:ascii="Calibri" w:hAnsi="Calibri"/>
                <w:sz w:val="22"/>
              </w:rPr>
              <w:t>Apr 28, 2026</w:t>
            </w:r>
          </w:p>
        </w:tc>
        <w:tc>
          <w:tcPr>
            <w:tcW w:type="dxa" w:w="1234"/>
          </w:tcPr>
          <w:p>
            <w:r>
              <w:rPr>
                <w:rFonts w:ascii="Calibri" w:hAnsi="Calibri"/>
                <w:sz w:val="22"/>
              </w:rPr>
              <w:t>Pre-planned 10b5-1 sale; executed on earnings day. Routine; not discretionary.</w:t>
            </w:r>
          </w:p>
        </w:tc>
      </w:tr>
      <w:tr>
        <w:tc>
          <w:tcPr>
            <w:tcW w:type="dxa" w:w="1234"/>
          </w:tcPr>
          <w:p>
            <w:r>
              <w:rPr>
                <w:rFonts w:ascii="Calibri" w:hAnsi="Calibri"/>
                <w:sz w:val="22"/>
              </w:rPr>
              <w:t>Dowling, Ruth T.</w:t>
            </w:r>
          </w:p>
        </w:tc>
        <w:tc>
          <w:tcPr>
            <w:tcW w:type="dxa" w:w="1234"/>
          </w:tcPr>
          <w:p>
            <w:r>
              <w:rPr>
                <w:rFonts w:ascii="Calibri" w:hAnsi="Calibri"/>
                <w:sz w:val="22"/>
              </w:rPr>
              <w:t>EVP, Chief Admin Officer, GC &amp; Secretary</w:t>
            </w:r>
          </w:p>
        </w:tc>
        <w:tc>
          <w:tcPr>
            <w:tcW w:type="dxa" w:w="1234"/>
          </w:tcPr>
          <w:p>
            <w:r>
              <w:rPr>
                <w:rFonts w:ascii="Calibri" w:hAnsi="Calibri"/>
                <w:sz w:val="22"/>
              </w:rPr>
              <w:t>10b5-1 Planned Sale</w:t>
            </w:r>
          </w:p>
        </w:tc>
        <w:tc>
          <w:tcPr>
            <w:tcW w:type="dxa" w:w="1234"/>
          </w:tcPr>
          <w:p>
            <w:r>
              <w:rPr>
                <w:rFonts w:ascii="Calibri" w:hAnsi="Calibri"/>
                <w:sz w:val="22"/>
              </w:rPr>
              <w:t>416 shares</w:t>
            </w:r>
          </w:p>
        </w:tc>
        <w:tc>
          <w:tcPr>
            <w:tcW w:type="dxa" w:w="1234"/>
          </w:tcPr>
          <w:p>
            <w:r>
              <w:rPr>
                <w:rFonts w:ascii="Calibri" w:hAnsi="Calibri"/>
                <w:sz w:val="22"/>
              </w:rPr>
              <w:t>~$74K (at ~$178/share)</w:t>
            </w:r>
          </w:p>
        </w:tc>
        <w:tc>
          <w:tcPr>
            <w:tcW w:type="dxa" w:w="1234"/>
          </w:tcPr>
          <w:p>
            <w:r>
              <w:rPr>
                <w:rFonts w:ascii="Calibri" w:hAnsi="Calibri"/>
                <w:sz w:val="22"/>
              </w:rPr>
              <w:t>Apr 29, 2026</w:t>
            </w:r>
          </w:p>
        </w:tc>
        <w:tc>
          <w:tcPr>
            <w:tcW w:type="dxa" w:w="1234"/>
          </w:tcPr>
          <w:p>
            <w:r>
              <w:rPr>
                <w:rFonts w:ascii="Calibri" w:hAnsi="Calibri"/>
                <w:sz w:val="22"/>
              </w:rPr>
              <w:t>Continuation of pre-planned 10b5-1 sale. Routine; not discretionary.</w:t>
            </w:r>
          </w:p>
        </w:tc>
      </w:tr>
    </w:tbl>
    <w:p>
      <w:r>
        <w:rPr>
          <w:rFonts w:ascii="Calibri" w:hAnsi="Calibri"/>
          <w:color w:val="525866"/>
          <w:sz w:val="22"/>
        </w:rPr>
        <w:t>No open-market buys or discretionary sales were filed in the period from April 28 to July 27, 2026. The two transactions above are both pre-planned 10b5-1 sales by the General Counsel, totaling 972 shares (~$173K), and carry no informational signal about management's view of the stock. The absence of open-market buying during the June selloff (when AMT fell ~16% from its highs) is worth monitoring but is not unusual given blackout periods and the pre-planned nature of the only activity on record.</w:t>
      </w:r>
      <w:r>
        <w:rPr>
          <w:rFonts w:ascii="Calibri" w:hAnsi="Calibri"/>
          <w:i/>
          <w:color w:val="525866"/>
          <w:sz w:val="22"/>
        </w:rPr>
        <w:t xml:space="preserve"> Source: SEC Form 4 Filings Database.</w:t>
      </w:r>
    </w:p>
    <w:p>
      <w:r>
        <w:br w:type="page"/>
      </w:r>
    </w:p>
    <w:p>
      <w:pPr>
        <w:pStyle w:val="Heading2"/>
      </w:pPr>
      <w:r>
        <w:rPr>
          <w:rFonts w:ascii="Calibri" w:hAnsi="Calibri"/>
          <w:b/>
          <w:color w:val="3B4259"/>
          <w:sz w:val="28"/>
        </w:rPr>
        <w:t>8. Peer Commentary &amp; Current-Quarter Read-Through</w:t>
      </w:r>
    </w:p>
    <w:p>
      <w:r>
        <w:rPr>
          <w:rFonts w:ascii="Calibri" w:hAnsi="Calibri"/>
          <w:b/>
          <w:color w:val="525866"/>
          <w:sz w:val="22"/>
        </w:rPr>
        <w:t xml:space="preserve">Key Takeaway: </w:t>
      </w:r>
      <w:r>
        <w:rPr>
          <w:rFonts w:ascii="Calibri" w:hAnsi="Calibri"/>
          <w:color w:val="525866"/>
          <w:sz w:val="22"/>
        </w:rPr>
        <w:t>Peer commentary from the last 60 days is broadly constructive for AMT's Q2 and forward outlook — all three major carriers maintained or grew capex, AT&amp;T's 600 MHz deployment is a near-term tower catalyst, and both CCI and carriers explicitly dismissed satellite as a competitive threat to terrestrial networks. The one meaningful negative read-through is CCI's disclosure of a broad pullback in carrier services activity across all three carriers in Q2/Q3, which could weigh on AMT's services revenue line.</w:t>
      </w:r>
    </w:p>
    <w:p>
      <w:r>
        <w:rPr>
          <w:rFonts w:ascii="Calibri" w:hAnsi="Calibri"/>
          <w:i/>
          <w:color w:val="525866"/>
          <w:sz w:val="22"/>
        </w:rPr>
        <w:t xml:space="preserve">Methodology: </w:t>
      </w:r>
      <w:r>
        <w:rPr>
          <w:rFonts w:ascii="Calibri" w:hAnsi="Calibri"/>
          <w:i/>
          <w:color w:val="525866"/>
          <w:sz w:val="22"/>
        </w:rPr>
        <w:t>Only commentary from the last 60 days (May 27 – July 27, 2026) that addresses Q2 2026 conditions or the forward Q3/FY 2026 outlook is included below. Commentary solely about prior-quarter historical results has been excluded. Sources include Q2 2026 earnings calls (CCI July 22, AT&amp;T July 22, T-Mobile July 23, Verizon July 24) and the CCI Nareit REITweek conference (June 2, 2026).</w:t>
      </w:r>
    </w:p>
    <w:p>
      <w:r>
        <w:rPr>
          <w:rFonts w:ascii="Calibri" w:hAnsi="Calibri"/>
          <w:i/>
          <w:color w:val="525866"/>
          <w:sz w:val="22"/>
        </w:rPr>
        <w:t>Sources: CCI Q2 2026 Earnings Call Transcript (July 22, 2026); CCI Nareit REITweek Investor Conference Transcript (June 2, 2026); AT&amp;T Q2 2026 Earnings Call Transcript (July 22, 2026); T-Mobile Q2 2026 Earnings Call Transcript (July 23, 2026); Verizon Q2 2026 Earnings Call Transcript (July 24, 2026).</w:t>
      </w:r>
    </w:p>
    <w:p>
      <w:r>
        <w:rPr>
          <w:rFonts w:ascii="Calibri" w:hAnsi="Calibri"/>
          <w:b/>
          <w:color w:val="525866"/>
          <w:sz w:val="22"/>
        </w:rPr>
        <w:t xml:space="preserve">Bottom Line: </w:t>
      </w:r>
      <w:r>
        <w:rPr>
          <w:rFonts w:ascii="Calibri" w:hAnsi="Calibri"/>
          <w:color w:val="525866"/>
          <w:sz w:val="22"/>
        </w:rPr>
        <w:t>The peer read-through is net positive for AMT heading into Q2 earnings. The three major carriers collectively committed to ~$50B+ in 2026 capex, all explicitly dismissed satellite as a competitive threat, and CCI confirmed 2026 is the industry growth trough. The one meaningful negative — CCI's disclosure of a broad carrier services activity pullback — is a near-term headwind for AMT's services revenue but does not change the structural tower demand thesis. The most important question for the Q2 call is whether AMT can confirm the DISH churn trough and provide any incremental color on AT&amp;T's 600 MHz deployment timeline as a forward leasing catalyst.</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