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amzn-q2-2026-earnings-preview"/>
    <w:p>
      <w:pPr>
        <w:pStyle w:val="Heading1"/>
      </w:pPr>
      <w:r>
        <w:t xml:space="preserve">AMZN Q2 2026 Earnings Preview</w:t>
      </w:r>
    </w:p>
    <w:p>
      <w:pPr>
        <w:pStyle w:val="FirstParagraph"/>
      </w:pPr>
      <w:r>
        <w:rPr>
          <w:b/>
          <w:bCs/>
        </w:rPr>
        <w:t xml:space="preserve">Report date:</w:t>
      </w:r>
      <w:r>
        <w:t xml:space="preserve"> </w:t>
      </w:r>
      <w:r>
        <w:t xml:space="preserve">July 30, 2026, after market close</w:t>
      </w:r>
      <w:r>
        <w:br/>
      </w:r>
      <w:r>
        <w:rPr>
          <w:b/>
          <w:bCs/>
        </w:rPr>
        <w:t xml:space="preserve">Core debate:</w:t>
      </w:r>
      <w:r>
        <w:t xml:space="preserve"> </w:t>
      </w:r>
      <w:r>
        <w:t xml:space="preserve">Can accelerating AWS growth justify Amazon’s rapidly rising AI capital intensity?</w:t>
      </w:r>
    </w:p>
    <w:bookmarkStart w:id="9" w:name="executive-summary"/>
    <w:p>
      <w:pPr>
        <w:pStyle w:val="Heading2"/>
      </w:pPr>
      <w:r>
        <w:t xml:space="preserve">Executive summary</w:t>
      </w:r>
    </w:p>
    <w:p>
      <w:pPr>
        <w:pStyle w:val="FirstParagraph"/>
      </w:pPr>
      <w:r>
        <w:t xml:space="preserve">Amazon enters the quarter with strong operating momentum but a substantially higher bar than it faced three months ago.</w:t>
      </w:r>
    </w:p>
    <w:p>
      <w:pPr>
        <w:pStyle w:val="BodyText"/>
      </w:pPr>
      <w:r>
        <w:t xml:space="preserve">The most important number will be</w:t>
      </w:r>
      <w:r>
        <w:t xml:space="preserve"> </w:t>
      </w:r>
      <w:r>
        <w:rPr>
          <w:b/>
          <w:bCs/>
        </w:rPr>
        <w:t xml:space="preserve">AWS growth</w:t>
      </w:r>
      <w:r>
        <w:t xml:space="preserve">. Revenue accelerated to 28% in Q1, and current expectations call for roughly</w:t>
      </w:r>
      <w:r>
        <w:t xml:space="preserve"> </w:t>
      </w:r>
      <w:r>
        <w:rPr>
          <w:b/>
          <w:bCs/>
        </w:rPr>
        <w:t xml:space="preserve">32% growth in Q2</w:t>
      </w:r>
      <w:r>
        <w:t xml:space="preserve">, implying about</w:t>
      </w:r>
      <w:r>
        <w:t xml:space="preserve"> </w:t>
      </w:r>
      <w:r>
        <w:rPr>
          <w:b/>
          <w:bCs/>
        </w:rPr>
        <w:t xml:space="preserve">$49.6 billion of AWS revenue</w:t>
      </w:r>
      <w:r>
        <w:t xml:space="preserve">. Meeting that estimate would confirm that AI demand and traditional cloud migrations are driving another leg of acceleration. Merely reporting another strong quarter may not be enough if growth falls short of the low-30% range.</w:t>
      </w:r>
    </w:p>
    <w:p>
      <w:pPr>
        <w:pStyle w:val="BodyText"/>
      </w:pPr>
      <w:r>
        <w:t xml:space="preserve">The second—and potentially more important—issue is</w:t>
      </w:r>
      <w:r>
        <w:t xml:space="preserve"> </w:t>
      </w:r>
      <w:r>
        <w:rPr>
          <w:b/>
          <w:bCs/>
        </w:rPr>
        <w:t xml:space="preserve">capital spending</w:t>
      </w:r>
      <w:r>
        <w:t xml:space="preserve">. Amazon previously indicated approximately</w:t>
      </w:r>
      <w:r>
        <w:t xml:space="preserve"> </w:t>
      </w:r>
      <m:oMath>
        <m:r>
          <m:t>200</m:t>
        </m:r>
        <m:r>
          <m:t>b</m:t>
        </m:r>
        <m:r>
          <m:t>i</m:t>
        </m:r>
        <m:r>
          <m:t>l</m:t>
        </m:r>
        <m:r>
          <m:t>l</m:t>
        </m:r>
        <m:r>
          <m:t>i</m:t>
        </m:r>
        <m:r>
          <m:t>o</m:t>
        </m:r>
        <m:r>
          <m:t>n</m:t>
        </m:r>
        <m:r>
          <m:t>o</m:t>
        </m:r>
        <m:r>
          <m:t>f</m:t>
        </m:r>
        <m:r>
          <m:t>2026</m:t>
        </m:r>
        <m:r>
          <m:t>c</m:t>
        </m:r>
        <m:r>
          <m:t>a</m:t>
        </m:r>
        <m:r>
          <m:t>p</m:t>
        </m:r>
        <m:r>
          <m:t>e</m:t>
        </m:r>
        <m:r>
          <m:t>x</m:t>
        </m:r>
        <m:r>
          <m:rPr>
            <m:sty m:val="p"/>
          </m:rPr>
          <m:t>*</m:t>
        </m:r>
        <m:r>
          <m:rPr>
            <m:sty m:val="p"/>
          </m:rPr>
          <m:t>*</m:t>
        </m:r>
        <m:r>
          <m:rPr>
            <m:sty m:val="p"/>
          </m:rPr>
          <m:t>,</m:t>
        </m:r>
        <m:r>
          <m:t>w</m:t>
        </m:r>
        <m:r>
          <m:t>h</m:t>
        </m:r>
        <m:r>
          <m:t>i</m:t>
        </m:r>
        <m:r>
          <m:t>l</m:t>
        </m:r>
        <m:r>
          <m:t>e</m:t>
        </m:r>
        <m:r>
          <m:t>r</m:t>
        </m:r>
        <m:r>
          <m:t>e</m:t>
        </m:r>
        <m:r>
          <m:t>c</m:t>
        </m:r>
        <m:r>
          <m:t>e</m:t>
        </m:r>
        <m:r>
          <m:t>n</m:t>
        </m:r>
        <m:r>
          <m:t>t</m:t>
        </m:r>
        <m:r>
          <m:t>c</m:t>
        </m:r>
        <m:r>
          <m:t>o</m:t>
        </m:r>
        <m:r>
          <m:t>n</m:t>
        </m:r>
        <m:r>
          <m:t>s</m:t>
        </m:r>
        <m:r>
          <m:t>e</m:t>
        </m:r>
        <m:r>
          <m:t>n</m:t>
        </m:r>
        <m:r>
          <m:t>s</m:t>
        </m:r>
        <m:r>
          <m:t>u</m:t>
        </m:r>
        <m:r>
          <m:t>s</m:t>
        </m:r>
        <m:r>
          <m:t>h</m:t>
        </m:r>
        <m:r>
          <m:t>a</m:t>
        </m:r>
        <m:r>
          <m:t>s</m:t>
        </m:r>
        <m:r>
          <m:t>m</m:t>
        </m:r>
        <m:r>
          <m:t>o</m:t>
        </m:r>
        <m:r>
          <m:t>v</m:t>
        </m:r>
        <m:r>
          <m:t>e</m:t>
        </m:r>
        <m:r>
          <m:t>d</m:t>
        </m:r>
        <m:r>
          <m:t>t</m:t>
        </m:r>
        <m:r>
          <m:t>o</m:t>
        </m:r>
        <m:r>
          <m:t>w</m:t>
        </m:r>
        <m:r>
          <m:t>a</m:t>
        </m:r>
        <m:r>
          <m:t>r</m:t>
        </m:r>
        <m:r>
          <m:t>d</m:t>
        </m:r>
        <m:r>
          <m:t>r</m:t>
        </m:r>
        <m:r>
          <m:t>o</m:t>
        </m:r>
        <m:r>
          <m:t>u</m:t>
        </m:r>
        <m:r>
          <m:t>g</m:t>
        </m:r>
        <m:r>
          <m:t>h</m:t>
        </m:r>
        <m:r>
          <m:t>l</m:t>
        </m:r>
        <m:r>
          <m:t>y</m:t>
        </m:r>
        <m:r>
          <m:rPr>
            <m:sty m:val="p"/>
          </m:rPr>
          <m:t>*</m:t>
        </m:r>
        <m:r>
          <m:rPr>
            <m:sty m:val="p"/>
          </m:rPr>
          <m:t>*</m:t>
        </m:r>
      </m:oMath>
      <w:r>
        <w:rPr>
          <w:b/>
          <w:bCs/>
        </w:rPr>
        <w:t xml:space="preserve">207 billion</w:t>
      </w:r>
      <w:r>
        <w:t xml:space="preserve">. Given the market’s increasingly skeptical response to hyperscaler spending, investors will want any increase paired with:</w:t>
      </w:r>
    </w:p>
    <w:p>
      <w:pPr>
        <w:pStyle w:val="Compact"/>
        <w:numPr>
          <w:ilvl w:val="0"/>
          <w:numId w:val="1001"/>
        </w:numPr>
      </w:pPr>
      <w:r>
        <w:t xml:space="preserve">Faster AWS revenue growth</w:t>
      </w:r>
    </w:p>
    <w:p>
      <w:pPr>
        <w:pStyle w:val="Compact"/>
        <w:numPr>
          <w:ilvl w:val="0"/>
          <w:numId w:val="1001"/>
        </w:numPr>
      </w:pPr>
      <w:r>
        <w:t xml:space="preserve">Evidence that capacity is already contracted</w:t>
      </w:r>
    </w:p>
    <w:p>
      <w:pPr>
        <w:pStyle w:val="Compact"/>
        <w:numPr>
          <w:ilvl w:val="0"/>
          <w:numId w:val="1001"/>
        </w:numPr>
      </w:pPr>
      <w:r>
        <w:t xml:space="preserve">Stable AWS margins</w:t>
      </w:r>
    </w:p>
    <w:p>
      <w:pPr>
        <w:pStyle w:val="Compact"/>
        <w:numPr>
          <w:ilvl w:val="0"/>
          <w:numId w:val="1001"/>
        </w:numPr>
      </w:pPr>
      <w:r>
        <w:t xml:space="preserve">Specific timing for monetization</w:t>
      </w:r>
    </w:p>
    <w:p>
      <w:pPr>
        <w:pStyle w:val="Compact"/>
        <w:numPr>
          <w:ilvl w:val="0"/>
          <w:numId w:val="1001"/>
        </w:numPr>
      </w:pPr>
      <w:r>
        <w:t xml:space="preserve">Confidence that free cash flow can eventually recover</w:t>
      </w:r>
    </w:p>
    <w:p>
      <w:pPr>
        <w:pStyle w:val="FirstParagraph"/>
      </w:pPr>
      <w:r>
        <w:t xml:space="preserve">Amazon’s retail and advertising businesses should remain supportive, but the stock reaction will probably be determined by the combination of</w:t>
      </w:r>
      <w:r>
        <w:t xml:space="preserve"> </w:t>
      </w:r>
      <w:r>
        <w:rPr>
          <w:b/>
          <w:bCs/>
        </w:rPr>
        <w:t xml:space="preserve">AWS growth, AWS profitability, capex, and Q3 guidance</w:t>
      </w:r>
      <w:r>
        <w:t xml:space="preserve">.</w:t>
      </w:r>
    </w:p>
    <w:p>
      <w:r>
        <w:pict>
          <v:rect style="width:0;height:1.5pt" o:hralign="center" o:hrstd="t" o:hr="t"/>
        </w:pict>
      </w:r>
    </w:p>
    <w:bookmarkEnd w:id="9"/>
    <w:bookmarkStart w:id="10" w:name="key-figures-entering-the-report"/>
    <w:p>
      <w:pPr>
        <w:pStyle w:val="Heading2"/>
      </w:pPr>
      <w:r>
        <w:t xml:space="preserve">Key figures entering the report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Q1 2026 result</w:t>
            </w:r>
          </w:p>
        </w:tc>
        <w:tc>
          <w:tcPr/>
          <w:p>
            <w:pPr>
              <w:pStyle w:val="Compact"/>
              <w:jc w:val="right"/>
            </w:pPr>
            <w:r>
              <w:t xml:space="preserve">Q2 setup</w:t>
            </w:r>
          </w:p>
        </w:tc>
      </w:tr>
      <w:tr>
        <w:tc>
          <w:tcPr/>
          <w:p>
            <w:pPr>
              <w:pStyle w:val="Compact"/>
            </w:pPr>
            <w:r>
              <w:t xml:space="preserve">Total revenue</w:t>
            </w:r>
          </w:p>
        </w:tc>
        <w:tc>
          <w:tcPr/>
          <w:p>
            <w:pPr>
              <w:pStyle w:val="Compact"/>
              <w:jc w:val="right"/>
            </w:pPr>
            <w:r>
              <w:t xml:space="preserve">$181.5B, +17%</w:t>
            </w:r>
          </w:p>
        </w:tc>
        <w:tc>
          <w:tcPr/>
          <w:p>
            <w:pPr>
              <w:pStyle w:val="Compact"/>
              <w:jc w:val="right"/>
            </w:pPr>
            <w:r>
              <w:t xml:space="preserve">Guidance:</w:t>
            </w:r>
            <w:r>
              <w:t xml:space="preserve"> </w:t>
            </w:r>
            <m:oMath>
              <m:r>
                <m:t>194</m:t>
              </m:r>
              <m:r>
                <m:t>B</m:t>
              </m:r>
              <m:r>
                <m:rPr>
                  <m:sty m:val="p"/>
                </m:rPr>
                <m:t>–</m:t>
              </m:r>
            </m:oMath>
            <w:r>
              <w:t xml:space="preserve">199B, +16%–19%</w:t>
            </w:r>
          </w:p>
        </w:tc>
      </w:tr>
      <w:tr>
        <w:tc>
          <w:tcPr/>
          <w:p>
            <w:pPr>
              <w:pStyle w:val="Compact"/>
            </w:pPr>
            <w:r>
              <w:t xml:space="preserve">Operating income</w:t>
            </w:r>
          </w:p>
        </w:tc>
        <w:tc>
          <w:tcPr/>
          <w:p>
            <w:pPr>
              <w:pStyle w:val="Compact"/>
              <w:jc w:val="right"/>
            </w:pPr>
            <w:r>
              <w:t xml:space="preserve">$23.9B</w:t>
            </w:r>
          </w:p>
        </w:tc>
        <w:tc>
          <w:tcPr/>
          <w:p>
            <w:pPr>
              <w:pStyle w:val="Compact"/>
              <w:jc w:val="right"/>
            </w:pPr>
            <w:r>
              <w:t xml:space="preserve">Guidance:</w:t>
            </w:r>
            <w:r>
              <w:t xml:space="preserve"> </w:t>
            </w:r>
            <m:oMath>
              <m:r>
                <m:t>20</m:t>
              </m:r>
              <m:r>
                <m:t>B</m:t>
              </m:r>
              <m:r>
                <m:rPr>
                  <m:sty m:val="p"/>
                </m:rPr>
                <m:t>–</m:t>
              </m:r>
            </m:oMath>
            <w:r>
              <w:t xml:space="preserve">24B</w:t>
            </w:r>
          </w:p>
        </w:tc>
      </w:tr>
      <w:tr>
        <w:tc>
          <w:tcPr/>
          <w:p>
            <w:pPr>
              <w:pStyle w:val="Compact"/>
            </w:pPr>
            <w:r>
              <w:t xml:space="preserve">Consolidated operating margin</w:t>
            </w:r>
          </w:p>
        </w:tc>
        <w:tc>
          <w:tcPr/>
          <w:p>
            <w:pPr>
              <w:pStyle w:val="Compact"/>
              <w:jc w:val="right"/>
            </w:pPr>
            <w:r>
              <w:t xml:space="preserve">13.1%</w:t>
            </w:r>
          </w:p>
        </w:tc>
        <w:tc>
          <w:tcPr/>
          <w:p>
            <w:pPr>
              <w:pStyle w:val="Compact"/>
              <w:jc w:val="right"/>
            </w:pPr>
            <w:r>
              <w:t xml:space="preserve">Guided range implies roughly 10.3%–12.1%</w:t>
            </w:r>
          </w:p>
        </w:tc>
      </w:tr>
      <w:tr>
        <w:tc>
          <w:tcPr/>
          <w:p>
            <w:pPr>
              <w:pStyle w:val="Compact"/>
            </w:pPr>
            <w:r>
              <w:t xml:space="preserve">AWS revenue</w:t>
            </w:r>
          </w:p>
        </w:tc>
        <w:tc>
          <w:tcPr/>
          <w:p>
            <w:pPr>
              <w:pStyle w:val="Compact"/>
              <w:jc w:val="right"/>
            </w:pPr>
            <w:r>
              <w:t xml:space="preserve">$37.6B, +28%</w:t>
            </w:r>
          </w:p>
        </w:tc>
        <w:tc>
          <w:tcPr/>
          <w:p>
            <w:pPr>
              <w:pStyle w:val="Compact"/>
              <w:jc w:val="right"/>
            </w:pPr>
            <w:r>
              <w:t xml:space="preserve">Consensus growth approximately 32%</w:t>
            </w:r>
          </w:p>
        </w:tc>
      </w:tr>
      <w:tr>
        <w:tc>
          <w:tcPr/>
          <w:p>
            <w:pPr>
              <w:pStyle w:val="Compact"/>
            </w:pPr>
            <w:r>
              <w:t xml:space="preserve">AWS operating income</w:t>
            </w:r>
          </w:p>
        </w:tc>
        <w:tc>
          <w:tcPr/>
          <w:p>
            <w:pPr>
              <w:pStyle w:val="Compact"/>
              <w:jc w:val="right"/>
            </w:pPr>
            <w:r>
              <w:t xml:space="preserve">$14.2B</w:t>
            </w:r>
          </w:p>
        </w:tc>
        <w:tc>
          <w:tcPr/>
          <w:p>
            <w:pPr>
              <w:pStyle w:val="Compact"/>
              <w:jc w:val="right"/>
            </w:pPr>
            <w:r>
              <w:t xml:space="preserve">Margin and incremental infrastructure costs are key</w:t>
            </w:r>
          </w:p>
        </w:tc>
      </w:tr>
      <w:tr>
        <w:tc>
          <w:tcPr/>
          <w:p>
            <w:pPr>
              <w:pStyle w:val="Compact"/>
            </w:pPr>
            <w:r>
              <w:t xml:space="preserve">AWS operating margin</w:t>
            </w:r>
          </w:p>
        </w:tc>
        <w:tc>
          <w:tcPr/>
          <w:p>
            <w:pPr>
              <w:pStyle w:val="Compact"/>
              <w:jc w:val="right"/>
            </w:pPr>
            <w:r>
              <w:t xml:space="preserve">37.7%</w:t>
            </w:r>
          </w:p>
        </w:tc>
        <w:tc>
          <w:tcPr/>
          <w:p>
            <w:pPr>
              <w:pStyle w:val="Compact"/>
              <w:jc w:val="right"/>
            </w:pPr>
            <w:r>
              <w:t xml:space="preserve">Investors will look for continued mid-to-high-30% profitability</w:t>
            </w:r>
          </w:p>
        </w:tc>
      </w:tr>
      <w:tr>
        <w:tc>
          <w:tcPr/>
          <w:p>
            <w:pPr>
              <w:pStyle w:val="Compact"/>
            </w:pPr>
            <w:r>
              <w:t xml:space="preserve">Advertising revenue</w:t>
            </w:r>
          </w:p>
        </w:tc>
        <w:tc>
          <w:tcPr/>
          <w:p>
            <w:pPr>
              <w:pStyle w:val="Compact"/>
              <w:jc w:val="right"/>
            </w:pPr>
            <w:r>
              <w:t xml:space="preserve">$17.2B, +22% ex-FX</w:t>
            </w:r>
          </w:p>
        </w:tc>
        <w:tc>
          <w:tcPr/>
          <w:p>
            <w:pPr>
              <w:pStyle w:val="Compact"/>
              <w:jc w:val="right"/>
            </w:pPr>
            <w:r>
              <w:t xml:space="preserve">Another 20%-plus quarter would be constructive</w:t>
            </w:r>
          </w:p>
        </w:tc>
      </w:tr>
      <w:tr>
        <w:tc>
          <w:tcPr/>
          <w:p>
            <w:pPr>
              <w:pStyle w:val="Compact"/>
            </w:pPr>
            <w:r>
              <w:t xml:space="preserve">TTM operating cash flow</w:t>
            </w:r>
          </w:p>
        </w:tc>
        <w:tc>
          <w:tcPr/>
          <w:p>
            <w:pPr>
              <w:pStyle w:val="Compact"/>
              <w:jc w:val="right"/>
            </w:pPr>
            <w:r>
              <w:t xml:space="preserve">$148.5B</w:t>
            </w:r>
          </w:p>
        </w:tc>
        <w:tc>
          <w:tcPr/>
          <w:p>
            <w:pPr>
              <w:pStyle w:val="Compact"/>
              <w:jc w:val="right"/>
            </w:pPr>
            <w:r>
              <w:t xml:space="preserve">Strong underlying cash generation</w:t>
            </w:r>
          </w:p>
        </w:tc>
      </w:tr>
      <w:tr>
        <w:tc>
          <w:tcPr/>
          <w:p>
            <w:pPr>
              <w:pStyle w:val="Compact"/>
            </w:pPr>
            <w:r>
              <w:t xml:space="preserve">TTM free cash flow</w:t>
            </w:r>
          </w:p>
        </w:tc>
        <w:tc>
          <w:tcPr/>
          <w:p>
            <w:pPr>
              <w:pStyle w:val="Compact"/>
              <w:jc w:val="right"/>
            </w:pPr>
            <w:r>
              <w:t xml:space="preserve">$1.2B</w:t>
            </w:r>
          </w:p>
        </w:tc>
        <w:tc>
          <w:tcPr/>
          <w:p>
            <w:pPr>
              <w:pStyle w:val="Compact"/>
              <w:jc w:val="right"/>
            </w:pPr>
            <w:r>
              <w:t xml:space="preserve">Nearly consumed by $147.3B of net equipment purchases</w:t>
            </w:r>
          </w:p>
        </w:tc>
      </w:tr>
      <w:tr>
        <w:tc>
          <w:tcPr/>
          <w:p>
            <w:pPr>
              <w:pStyle w:val="Compact"/>
            </w:pPr>
            <w:r>
              <w:t xml:space="preserve">2026 capex plan</w:t>
            </w:r>
          </w:p>
        </w:tc>
        <w:tc>
          <w:tcPr/>
          <w:p>
            <w:pPr>
              <w:pStyle w:val="Compact"/>
              <w:jc w:val="right"/>
            </w:pPr>
            <w:r>
              <w:t xml:space="preserve">Approximately $200B</w:t>
            </w:r>
          </w:p>
        </w:tc>
        <w:tc>
          <w:tcPr/>
          <w:p>
            <w:pPr>
              <w:pStyle w:val="Compact"/>
              <w:jc w:val="right"/>
            </w:pPr>
            <w:r>
              <w:t xml:space="preserve">Market expectations have moved toward roughly $207B</w:t>
            </w:r>
          </w:p>
        </w:tc>
      </w:tr>
    </w:tbl>
    <w:p>
      <w:pPr>
        <w:pStyle w:val="BodyText"/>
      </w:pPr>
      <w:r>
        <w:t xml:space="preserve">Amazon shares closed at approximately</w:t>
      </w:r>
      <w:r>
        <w:t xml:space="preserve"> </w:t>
      </w:r>
      <w:r>
        <w:rPr>
          <w:b/>
          <w:bCs/>
        </w:rPr>
        <w:t xml:space="preserve">$230.30 on July 29</w:t>
      </w:r>
      <w:r>
        <w:t xml:space="preserve">, up only about 2% year to date and roughly 16% below their May high. That pullback lowers the immediate valuation risk, but it also reflects growing concern about AI spending and free cash flow.</w:t>
      </w:r>
    </w:p>
    <w:p>
      <w:r>
        <w:pict>
          <v:rect style="width:0;height:1.5pt" o:hralign="center" o:hrstd="t" o:hr="t"/>
        </w:pict>
      </w:r>
    </w:p>
    <w:bookmarkEnd w:id="10"/>
    <w:bookmarkStart w:id="14" w:name="X1f5c2542f91b5102197603a57e5379ab149b04e"/>
    <w:p>
      <w:pPr>
        <w:pStyle w:val="Heading2"/>
      </w:pPr>
      <w:r>
        <w:t xml:space="preserve">1. AWS must clear a high bar</w:t>
      </w:r>
    </w:p>
    <w:p>
      <w:pPr>
        <w:pStyle w:val="FirstParagraph"/>
      </w:pPr>
      <w:r>
        <w:t xml:space="preserve">AWS is the central earnings variable.</w:t>
      </w:r>
    </w:p>
    <w:p>
      <w:pPr>
        <w:pStyle w:val="BodyText"/>
      </w:pPr>
      <w:r>
        <w:t xml:space="preserve">Revenue growth has accelerated from 17% in Q2 2025 to 20% in Q3, 24% in Q4, and 28% in Q1 2026. Expectations for approximately 32% growth in Q2 imply another unusually large acceleration on a much bigger revenue base.</w:t>
      </w:r>
    </w:p>
    <w:bookmarkStart w:id="11" w:name="what-would-constitute-a-good-result"/>
    <w:p>
      <w:pPr>
        <w:pStyle w:val="Heading3"/>
      </w:pPr>
      <w:r>
        <w:t xml:space="preserve">What would constitute a good result?</w:t>
      </w:r>
    </w:p>
    <w:p>
      <w:pPr>
        <w:pStyle w:val="Compact"/>
        <w:numPr>
          <w:ilvl w:val="0"/>
          <w:numId w:val="1002"/>
        </w:numPr>
      </w:pPr>
      <w:r>
        <w:rPr>
          <w:b/>
          <w:bCs/>
        </w:rPr>
        <w:t xml:space="preserve">32% or better AWS growth</w:t>
      </w:r>
    </w:p>
    <w:p>
      <w:pPr>
        <w:pStyle w:val="Compact"/>
        <w:numPr>
          <w:ilvl w:val="0"/>
          <w:numId w:val="1002"/>
        </w:numPr>
      </w:pPr>
      <w:r>
        <w:t xml:space="preserve">Evidence that growth is broad-based across AI and core cloud services</w:t>
      </w:r>
    </w:p>
    <w:p>
      <w:pPr>
        <w:pStyle w:val="Compact"/>
        <w:numPr>
          <w:ilvl w:val="0"/>
          <w:numId w:val="1002"/>
        </w:numPr>
      </w:pPr>
      <w:r>
        <w:t xml:space="preserve">Continued capacity constraints caused by demand rather than execution problems</w:t>
      </w:r>
    </w:p>
    <w:p>
      <w:pPr>
        <w:pStyle w:val="Compact"/>
        <w:numPr>
          <w:ilvl w:val="0"/>
          <w:numId w:val="1002"/>
        </w:numPr>
      </w:pPr>
      <w:r>
        <w:t xml:space="preserve">Stable or only modestly lower margins despite elevated infrastructure costs</w:t>
      </w:r>
    </w:p>
    <w:p>
      <w:pPr>
        <w:pStyle w:val="Compact"/>
        <w:numPr>
          <w:ilvl w:val="0"/>
          <w:numId w:val="1002"/>
        </w:numPr>
      </w:pPr>
      <w:r>
        <w:t xml:space="preserve">Strong commentary about Q3 and second-half deployments</w:t>
      </w:r>
    </w:p>
    <w:p>
      <w:pPr>
        <w:pStyle w:val="FirstParagraph"/>
      </w:pPr>
      <w:r>
        <w:t xml:space="preserve">A result around 29%–30% would still be impressive in absolute terms, but could disappoint because the stock is being valued on continued acceleration.</w:t>
      </w:r>
    </w:p>
    <w:bookmarkEnd w:id="11"/>
    <w:bookmarkStart w:id="12" w:name="the-supporting-evidence"/>
    <w:p>
      <w:pPr>
        <w:pStyle w:val="Heading3"/>
      </w:pPr>
      <w:r>
        <w:t xml:space="preserve">The supporting evidence</w:t>
      </w:r>
    </w:p>
    <w:p>
      <w:pPr>
        <w:pStyle w:val="FirstParagraph"/>
      </w:pPr>
      <w:r>
        <w:t xml:space="preserve">Management disclosed several unusually strong demand indicators in Q1:</w:t>
      </w:r>
    </w:p>
    <w:p>
      <w:pPr>
        <w:pStyle w:val="Compact"/>
        <w:numPr>
          <w:ilvl w:val="0"/>
          <w:numId w:val="1003"/>
        </w:numPr>
      </w:pPr>
      <w:r>
        <w:t xml:space="preserve">AWS backlog of</w:t>
      </w:r>
      <w:r>
        <w:t xml:space="preserve"> </w:t>
      </w:r>
      <w:r>
        <w:rPr>
          <w:b/>
          <w:bCs/>
        </w:rPr>
        <w:t xml:space="preserve">$364 billion</w:t>
      </w:r>
    </w:p>
    <w:p>
      <w:pPr>
        <w:pStyle w:val="Compact"/>
        <w:numPr>
          <w:ilvl w:val="0"/>
          <w:numId w:val="1003"/>
        </w:numPr>
      </w:pPr>
      <w:r>
        <w:t xml:space="preserve">The backlog figure excluded a recently announced Anthropic agreement exceeding $100 billion</w:t>
      </w:r>
    </w:p>
    <w:p>
      <w:pPr>
        <w:pStyle w:val="Compact"/>
        <w:numPr>
          <w:ilvl w:val="0"/>
          <w:numId w:val="1003"/>
        </w:numPr>
      </w:pPr>
      <w:r>
        <w:t xml:space="preserve">More than</w:t>
      </w:r>
      <w:r>
        <w:t xml:space="preserve"> </w:t>
      </w:r>
      <w:r>
        <w:rPr>
          <w:b/>
          <w:bCs/>
        </w:rPr>
        <w:t xml:space="preserve">$225 billion of Trainium revenue commitments</w:t>
      </w:r>
    </w:p>
    <w:p>
      <w:pPr>
        <w:pStyle w:val="Compact"/>
        <w:numPr>
          <w:ilvl w:val="0"/>
          <w:numId w:val="1003"/>
        </w:numPr>
      </w:pPr>
      <w:r>
        <w:t xml:space="preserve">AWS AI revenue running above</w:t>
      </w:r>
      <w:r>
        <w:t xml:space="preserve"> </w:t>
      </w:r>
      <w:r>
        <w:rPr>
          <w:b/>
          <w:bCs/>
        </w:rPr>
        <w:t xml:space="preserve">$15 billion annually</w:t>
      </w:r>
      <w:r>
        <w:t xml:space="preserve"> </w:t>
      </w:r>
      <w:r>
        <w:t xml:space="preserve">and growing triple digits</w:t>
      </w:r>
    </w:p>
    <w:p>
      <w:pPr>
        <w:pStyle w:val="Compact"/>
        <w:numPr>
          <w:ilvl w:val="0"/>
          <w:numId w:val="1003"/>
        </w:numPr>
      </w:pPr>
      <w:r>
        <w:t xml:space="preserve">Bedrock customer spending up 170% sequentially in Q1</w:t>
      </w:r>
    </w:p>
    <w:p>
      <w:pPr>
        <w:pStyle w:val="Compact"/>
        <w:numPr>
          <w:ilvl w:val="0"/>
          <w:numId w:val="1003"/>
        </w:numPr>
      </w:pPr>
      <w:r>
        <w:t xml:space="preserve">Trainium2 largely sold out and Trainium3 nearly fully subscribed</w:t>
      </w:r>
    </w:p>
    <w:p>
      <w:pPr>
        <w:pStyle w:val="FirstParagraph"/>
      </w:pPr>
      <w:r>
        <w:t xml:space="preserve">These figures suggest Amazon’s capacity expansion is responding to real demand. The open question is how quickly contracted demand becomes recognized revenue.</w:t>
      </w:r>
    </w:p>
    <w:bookmarkEnd w:id="12"/>
    <w:bookmarkStart w:id="13" w:name="the-margin-question"/>
    <w:p>
      <w:pPr>
        <w:pStyle w:val="Heading3"/>
      </w:pPr>
      <w:r>
        <w:t xml:space="preserve">The margin question</w:t>
      </w:r>
    </w:p>
    <w:p>
      <w:pPr>
        <w:pStyle w:val="FirstParagraph"/>
      </w:pPr>
      <w:r>
        <w:t xml:space="preserve">AWS produced a 37.7% operating margin in Q1, despite heavy investment. Investors should not necessarily expect that peak margin every quarter: depreciation, energy costs, memory inflation and the cost of bringing new capacity online can pressure near-term profitability.</w:t>
      </w:r>
    </w:p>
    <w:p>
      <w:pPr>
        <w:pStyle w:val="BodyText"/>
      </w:pPr>
      <w:r>
        <w:t xml:space="preserve">Still, a sharp decline would raise concerns that Amazon is buying growth at lower returns. A modest decline paired with growth above 30% would probably be acceptable; substantial margin compression alongside an AWS miss would be more problematic.</w:t>
      </w:r>
    </w:p>
    <w:p>
      <w:r>
        <w:pict>
          <v:rect style="width:0;height:1.5pt" o:hralign="center" o:hrstd="t" o:hr="t"/>
        </w:pict>
      </w:r>
    </w:p>
    <w:bookmarkEnd w:id="13"/>
    <w:bookmarkEnd w:id="14"/>
    <w:bookmarkStart w:id="17" w:name="Xa3c0889dbcea35bc7016a14ccb8a18b656ad405"/>
    <w:p>
      <w:pPr>
        <w:pStyle w:val="Heading2"/>
      </w:pPr>
      <w:r>
        <w:t xml:space="preserve">2. Capex may matter more than the earnings beat</w:t>
      </w:r>
    </w:p>
    <w:p>
      <w:pPr>
        <w:pStyle w:val="FirstParagraph"/>
      </w:pPr>
      <w:r>
        <w:t xml:space="preserve">Amazon’s free-cash-flow profile has changed dramatically.</w:t>
      </w:r>
    </w:p>
    <w:p>
      <w:pPr>
        <w:pStyle w:val="BodyText"/>
      </w:pPr>
      <w:r>
        <w:t xml:space="preserve">Trailing-12-month operating cash flow reached $148.5 billion in Q1, but net property and equipment purchases rose to $147.3 billion, leaving only $1.2 billion of reported free cash flow. Q1 cash capex alone was $43.2 billion.</w:t>
      </w:r>
    </w:p>
    <w:p>
      <w:pPr>
        <w:pStyle w:val="BodyText"/>
      </w:pPr>
      <w:r>
        <w:t xml:space="preserve">Management has defended the spending on several grounds:</w:t>
      </w:r>
    </w:p>
    <w:p>
      <w:pPr>
        <w:pStyle w:val="Compact"/>
        <w:numPr>
          <w:ilvl w:val="0"/>
          <w:numId w:val="1004"/>
        </w:numPr>
      </w:pPr>
      <w:r>
        <w:t xml:space="preserve">Much of the capacity is already supported by customer commitments.</w:t>
      </w:r>
    </w:p>
    <w:p>
      <w:pPr>
        <w:pStyle w:val="Compact"/>
        <w:numPr>
          <w:ilvl w:val="0"/>
          <w:numId w:val="1004"/>
        </w:numPr>
      </w:pPr>
      <w:r>
        <w:t xml:space="preserve">AWS infrastructure must be funded six to 24 months before it produces revenue.</w:t>
      </w:r>
    </w:p>
    <w:p>
      <w:pPr>
        <w:pStyle w:val="Compact"/>
        <w:numPr>
          <w:ilvl w:val="0"/>
          <w:numId w:val="1004"/>
        </w:numPr>
      </w:pPr>
      <w:r>
        <w:t xml:space="preserve">Data centers have useful lives exceeding 30 years, while servers and chips generally produce revenue over five to six years.</w:t>
      </w:r>
    </w:p>
    <w:p>
      <w:pPr>
        <w:pStyle w:val="Compact"/>
        <w:numPr>
          <w:ilvl w:val="0"/>
          <w:numId w:val="1004"/>
        </w:numPr>
      </w:pPr>
      <w:r>
        <w:t xml:space="preserve">Trainium should lower Amazon’s long-term infrastructure costs versus relying exclusively on third-party accelerators.</w:t>
      </w:r>
    </w:p>
    <w:p>
      <w:pPr>
        <w:pStyle w:val="FirstParagraph"/>
      </w:pPr>
      <w:r>
        <w:t xml:space="preserve">Those arguments are credible, but investors are becoming less willing to accept unlimited spending based solely on long-term opportunity.</w:t>
      </w:r>
    </w:p>
    <w:bookmarkStart w:id="15" w:name="what-investors-need-to-hear"/>
    <w:p>
      <w:pPr>
        <w:pStyle w:val="Heading3"/>
      </w:pPr>
      <w:r>
        <w:t xml:space="preserve">What investors need to hear</w:t>
      </w:r>
    </w:p>
    <w:p>
      <w:pPr>
        <w:pStyle w:val="FirstParagraph"/>
      </w:pPr>
      <w:r>
        <w:t xml:space="preserve">If Amazon raises its approximately $200 billion capex plan, management needs to explain:</w:t>
      </w:r>
    </w:p>
    <w:p>
      <w:pPr>
        <w:pStyle w:val="Compact"/>
        <w:numPr>
          <w:ilvl w:val="0"/>
          <w:numId w:val="1005"/>
        </w:numPr>
      </w:pPr>
      <w:r>
        <w:t xml:space="preserve">How much reflects additional capacity versus higher component prices</w:t>
      </w:r>
    </w:p>
    <w:p>
      <w:pPr>
        <w:pStyle w:val="Compact"/>
        <w:numPr>
          <w:ilvl w:val="0"/>
          <w:numId w:val="1005"/>
        </w:numPr>
      </w:pPr>
      <w:r>
        <w:t xml:space="preserve">What portion is backed by contractual commitments</w:t>
      </w:r>
    </w:p>
    <w:p>
      <w:pPr>
        <w:pStyle w:val="Compact"/>
        <w:numPr>
          <w:ilvl w:val="0"/>
          <w:numId w:val="1005"/>
        </w:numPr>
      </w:pPr>
      <w:r>
        <w:t xml:space="preserve">When the additional infrastructure will enter service</w:t>
      </w:r>
    </w:p>
    <w:p>
      <w:pPr>
        <w:pStyle w:val="Compact"/>
        <w:numPr>
          <w:ilvl w:val="0"/>
          <w:numId w:val="1005"/>
        </w:numPr>
      </w:pPr>
      <w:r>
        <w:t xml:space="preserve">Whether supply constraints are delaying revenue recognition</w:t>
      </w:r>
    </w:p>
    <w:p>
      <w:pPr>
        <w:pStyle w:val="Compact"/>
        <w:numPr>
          <w:ilvl w:val="0"/>
          <w:numId w:val="1005"/>
        </w:numPr>
      </w:pPr>
      <w:r>
        <w:t xml:space="preserve">How spending affects AWS margins and depreciation</w:t>
      </w:r>
    </w:p>
    <w:p>
      <w:pPr>
        <w:pStyle w:val="Compact"/>
        <w:numPr>
          <w:ilvl w:val="0"/>
          <w:numId w:val="1005"/>
        </w:numPr>
      </w:pPr>
      <w:r>
        <w:t xml:space="preserve">When operating cash flow can begin outgrowing capex again</w:t>
      </w:r>
    </w:p>
    <w:p>
      <w:pPr>
        <w:pStyle w:val="FirstParagraph"/>
      </w:pPr>
      <w:r>
        <w:t xml:space="preserve">A capex increase to approximately</w:t>
      </w:r>
      <w:r>
        <w:t xml:space="preserve"> </w:t>
      </w:r>
      <m:oMath>
        <m:r>
          <m:t>205</m:t>
        </m:r>
        <m:r>
          <m:t>b</m:t>
        </m:r>
        <m:r>
          <m:t>i</m:t>
        </m:r>
        <m:r>
          <m:t>l</m:t>
        </m:r>
        <m:r>
          <m:t>l</m:t>
        </m:r>
        <m:r>
          <m:t>i</m:t>
        </m:r>
        <m:r>
          <m:t>o</m:t>
        </m:r>
        <m:r>
          <m:t>n</m:t>
        </m:r>
        <m:r>
          <m:rPr>
            <m:sty m:val="p"/>
          </m:rPr>
          <m:t>–</m:t>
        </m:r>
      </m:oMath>
      <w:r>
        <w:t xml:space="preserve">210 billion could be absorbed if AWS growth and backlog remain strong. A materially larger increase without better near-term revenue or margin guidance would likely be received poorly.</w:t>
      </w:r>
    </w:p>
    <w:bookmarkEnd w:id="15"/>
    <w:bookmarkStart w:id="16" w:name="balance-sheet-implications"/>
    <w:p>
      <w:pPr>
        <w:pStyle w:val="Heading3"/>
      </w:pPr>
      <w:r>
        <w:t xml:space="preserve">Balance-sheet implications</w:t>
      </w:r>
    </w:p>
    <w:p>
      <w:pPr>
        <w:pStyle w:val="FirstParagraph"/>
      </w:pPr>
      <w:r>
        <w:t xml:space="preserve">Amazon had approximately $143 billion of cash, equivalents and marketable securities at the end of Q1, but long-term debt rose to $119 billion after substantial new financing. The company also invested $15 billion in OpenAI during Q1 and committed to purchase an additional $35 billion, subject to conditions.</w:t>
      </w:r>
    </w:p>
    <w:p>
      <w:pPr>
        <w:pStyle w:val="BodyText"/>
      </w:pPr>
      <w:r>
        <w:t xml:space="preserve">Amazon has ample liquidity, but the combination of AI infrastructure, strategic investments and satellite spending means the debate is no longer about financial capacity. It is about</w:t>
      </w:r>
      <w:r>
        <w:t xml:space="preserve"> </w:t>
      </w:r>
      <w:r>
        <w:rPr>
          <w:b/>
          <w:bCs/>
        </w:rPr>
        <w:t xml:space="preserve">prospective returns on capital</w:t>
      </w:r>
      <w:r>
        <w:t xml:space="preserve">.</w:t>
      </w:r>
    </w:p>
    <w:p>
      <w:r>
        <w:pict>
          <v:rect style="width:0;height:1.5pt" o:hralign="center" o:hrstd="t" o:hr="t"/>
        </w:pict>
      </w:r>
    </w:p>
    <w:bookmarkEnd w:id="16"/>
    <w:bookmarkEnd w:id="17"/>
    <w:bookmarkStart w:id="20" w:name="Xec1fd1355f51a9e3316c7b7f86b3f404f3f8b77"/>
    <w:p>
      <w:pPr>
        <w:pStyle w:val="Heading2"/>
      </w:pPr>
      <w:r>
        <w:t xml:space="preserve">3. Prime Day complicates the retail comparison</w:t>
      </w:r>
    </w:p>
    <w:p>
      <w:pPr>
        <w:pStyle w:val="FirstParagraph"/>
      </w:pPr>
      <w:r>
        <w:t xml:space="preserve">Q2 guidance assumes that Prime Day occurred during the quarter in most of Amazon’s largest markets, including the United States. In 2025, Prime Day occurred in Q3.</w:t>
      </w:r>
    </w:p>
    <w:p>
      <w:pPr>
        <w:pStyle w:val="BodyText"/>
      </w:pPr>
      <w:r>
        <w:t xml:space="preserve">That timing shift should:</w:t>
      </w:r>
    </w:p>
    <w:p>
      <w:pPr>
        <w:pStyle w:val="Compact"/>
        <w:numPr>
          <w:ilvl w:val="0"/>
          <w:numId w:val="1006"/>
        </w:numPr>
      </w:pPr>
      <w:r>
        <w:t xml:space="preserve">Boost Q2 revenue and unit growth</w:t>
      </w:r>
    </w:p>
    <w:p>
      <w:pPr>
        <w:pStyle w:val="Compact"/>
        <w:numPr>
          <w:ilvl w:val="0"/>
          <w:numId w:val="1006"/>
        </w:numPr>
      </w:pPr>
      <w:r>
        <w:t xml:space="preserve">Add promotional and fulfillment costs during Q2</w:t>
      </w:r>
    </w:p>
    <w:p>
      <w:pPr>
        <w:pStyle w:val="Compact"/>
        <w:numPr>
          <w:ilvl w:val="0"/>
          <w:numId w:val="1006"/>
        </w:numPr>
      </w:pPr>
      <w:r>
        <w:t xml:space="preserve">Create a more difficult headline comparison for Q3</w:t>
      </w:r>
    </w:p>
    <w:p>
      <w:pPr>
        <w:pStyle w:val="Compact"/>
        <w:numPr>
          <w:ilvl w:val="0"/>
          <w:numId w:val="1006"/>
        </w:numPr>
      </w:pPr>
      <w:r>
        <w:t xml:space="preserve">Make sequential and year-over-year retail trends harder to interpret</w:t>
      </w:r>
    </w:p>
    <w:p>
      <w:pPr>
        <w:pStyle w:val="FirstParagraph"/>
      </w:pPr>
      <w:r>
        <w:t xml:space="preserve">Investors should therefore separate organic retail trends from the calendar shift. The most useful indicators will be paid-unit growth, third-party seller services, fulfillment productivity and North American margins.</w:t>
      </w:r>
    </w:p>
    <w:bookmarkStart w:id="18" w:name="recent-operating-momentum-is-strong"/>
    <w:p>
      <w:pPr>
        <w:pStyle w:val="Heading3"/>
      </w:pPr>
      <w:r>
        <w:t xml:space="preserve">Recent operating momentum is strong</w:t>
      </w:r>
    </w:p>
    <w:p>
      <w:pPr>
        <w:pStyle w:val="FirstParagraph"/>
      </w:pPr>
      <w:r>
        <w:t xml:space="preserve">In Q1:</w:t>
      </w:r>
    </w:p>
    <w:p>
      <w:pPr>
        <w:pStyle w:val="Compact"/>
        <w:numPr>
          <w:ilvl w:val="0"/>
          <w:numId w:val="1007"/>
        </w:numPr>
      </w:pPr>
      <w:r>
        <w:t xml:space="preserve">Worldwide paid units grew 15%, the fastest rate since the later pandemic period.</w:t>
      </w:r>
    </w:p>
    <w:p>
      <w:pPr>
        <w:pStyle w:val="Compact"/>
        <w:numPr>
          <w:ilvl w:val="0"/>
          <w:numId w:val="1007"/>
        </w:numPr>
      </w:pPr>
      <w:r>
        <w:t xml:space="preserve">North American revenue grew 12%.</w:t>
      </w:r>
    </w:p>
    <w:p>
      <w:pPr>
        <w:pStyle w:val="Compact"/>
        <w:numPr>
          <w:ilvl w:val="0"/>
          <w:numId w:val="1007"/>
        </w:numPr>
      </w:pPr>
      <w:r>
        <w:t xml:space="preserve">North American operating margin expanded to 7.9% from 6.3%.</w:t>
      </w:r>
    </w:p>
    <w:p>
      <w:pPr>
        <w:pStyle w:val="Compact"/>
        <w:numPr>
          <w:ilvl w:val="0"/>
          <w:numId w:val="1007"/>
        </w:numPr>
      </w:pPr>
      <w:r>
        <w:t xml:space="preserve">Fulfillment expense grew approximately 9% ex-FX, below unit growth.</w:t>
      </w:r>
    </w:p>
    <w:p>
      <w:pPr>
        <w:pStyle w:val="Compact"/>
        <w:numPr>
          <w:ilvl w:val="0"/>
          <w:numId w:val="1007"/>
        </w:numPr>
      </w:pPr>
      <w:r>
        <w:t xml:space="preserve">Shipping costs grew approximately 12% ex-FX, also below unit growth.</w:t>
      </w:r>
    </w:p>
    <w:p>
      <w:pPr>
        <w:pStyle w:val="Compact"/>
        <w:numPr>
          <w:ilvl w:val="0"/>
          <w:numId w:val="1007"/>
        </w:numPr>
      </w:pPr>
      <w:r>
        <w:t xml:space="preserve">Third-party seller services grew 12% ex-FX.</w:t>
      </w:r>
    </w:p>
    <w:p>
      <w:pPr>
        <w:pStyle w:val="Compact"/>
        <w:numPr>
          <w:ilvl w:val="0"/>
          <w:numId w:val="1007"/>
        </w:numPr>
      </w:pPr>
      <w:r>
        <w:t xml:space="preserve">Online-store revenue grew 9% ex-FX.</w:t>
      </w:r>
    </w:p>
    <w:p>
      <w:pPr>
        <w:pStyle w:val="FirstParagraph"/>
      </w:pPr>
      <w:r>
        <w:t xml:space="preserve">This indicates Amazon is generating meaningful operating leverage from denser delivery routes, regionalized inventory, automation and faster delivery.</w:t>
      </w:r>
    </w:p>
    <w:bookmarkEnd w:id="18"/>
    <w:bookmarkStart w:id="19" w:name="known-q2-cost-pressures"/>
    <w:p>
      <w:pPr>
        <w:pStyle w:val="Heading3"/>
      </w:pPr>
      <w:r>
        <w:t xml:space="preserve">Known Q2 cost pressures</w:t>
      </w:r>
    </w:p>
    <w:p>
      <w:pPr>
        <w:pStyle w:val="FirstParagraph"/>
      </w:pPr>
      <w:r>
        <w:t xml:space="preserve">Management’s operating-income guidance already incorporated several headwinds:</w:t>
      </w:r>
    </w:p>
    <w:p>
      <w:pPr>
        <w:pStyle w:val="Compact"/>
        <w:numPr>
          <w:ilvl w:val="0"/>
          <w:numId w:val="1008"/>
        </w:numPr>
      </w:pPr>
      <w:r>
        <w:t xml:space="preserve">Approximately</w:t>
      </w:r>
      <w:r>
        <w:t xml:space="preserve"> </w:t>
      </w:r>
      <w:r>
        <w:rPr>
          <w:b/>
          <w:bCs/>
        </w:rPr>
        <w:t xml:space="preserve">$1 billion of incremental Amazon Leo expense</w:t>
      </w:r>
    </w:p>
    <w:p>
      <w:pPr>
        <w:pStyle w:val="Compact"/>
        <w:numPr>
          <w:ilvl w:val="0"/>
          <w:numId w:val="1008"/>
        </w:numPr>
      </w:pPr>
      <w:r>
        <w:t xml:space="preserve">A seasonal increase in stock-based compensation</w:t>
      </w:r>
    </w:p>
    <w:p>
      <w:pPr>
        <w:pStyle w:val="Compact"/>
        <w:numPr>
          <w:ilvl w:val="0"/>
          <w:numId w:val="1008"/>
        </w:numPr>
      </w:pPr>
      <w:r>
        <w:t xml:space="preserve">Higher fuel and transportation costs</w:t>
      </w:r>
    </w:p>
    <w:p>
      <w:pPr>
        <w:pStyle w:val="Compact"/>
        <w:numPr>
          <w:ilvl w:val="0"/>
          <w:numId w:val="1008"/>
        </w:numPr>
      </w:pPr>
      <w:r>
        <w:t xml:space="preserve">Continued technology infrastructure spending</w:t>
      </w:r>
    </w:p>
    <w:p>
      <w:pPr>
        <w:pStyle w:val="Compact"/>
        <w:numPr>
          <w:ilvl w:val="0"/>
          <w:numId w:val="1008"/>
        </w:numPr>
      </w:pPr>
      <w:r>
        <w:t xml:space="preserve">Prime Day-related expenses</w:t>
      </w:r>
    </w:p>
    <w:p>
      <w:pPr>
        <w:pStyle w:val="FirstParagraph"/>
      </w:pPr>
      <w:r>
        <w:t xml:space="preserve">Given those items, operating income near the top half of the</w:t>
      </w:r>
      <w:r>
        <w:t xml:space="preserve"> </w:t>
      </w:r>
      <m:oMath>
        <m:r>
          <m:t>20</m:t>
        </m:r>
        <m:r>
          <m:t>b</m:t>
        </m:r>
        <m:r>
          <m:t>i</m:t>
        </m:r>
        <m:r>
          <m:t>l</m:t>
        </m:r>
        <m:r>
          <m:t>l</m:t>
        </m:r>
        <m:r>
          <m:t>i</m:t>
        </m:r>
        <m:r>
          <m:t>o</m:t>
        </m:r>
        <m:r>
          <m:t>n</m:t>
        </m:r>
        <m:r>
          <m:rPr>
            <m:sty m:val="p"/>
          </m:rPr>
          <m:t>–</m:t>
        </m:r>
      </m:oMath>
      <w:r>
        <w:t xml:space="preserve">24 billion range would be a strong result.</w:t>
      </w:r>
    </w:p>
    <w:p>
      <w:r>
        <w:pict>
          <v:rect style="width:0;height:1.5pt" o:hralign="center" o:hrstd="t" o:hr="t"/>
        </w:pict>
      </w:r>
    </w:p>
    <w:bookmarkEnd w:id="19"/>
    <w:bookmarkEnd w:id="20"/>
    <w:bookmarkStart w:id="21" w:name="Xd0a6fbe863f3508e152805f7580cddae8ebdcad"/>
    <w:p>
      <w:pPr>
        <w:pStyle w:val="Heading2"/>
      </w:pPr>
      <w:r>
        <w:t xml:space="preserve">4. Advertising remains an underappreciated profit engine</w:t>
      </w:r>
    </w:p>
    <w:p>
      <w:pPr>
        <w:pStyle w:val="FirstParagraph"/>
      </w:pPr>
      <w:r>
        <w:t xml:space="preserve">Advertising revenue reached $17.2 billion in Q1 and grew 22% excluding currency effects. Trailing-12-month advertising revenue exceeded $70 billion.</w:t>
      </w:r>
    </w:p>
    <w:p>
      <w:pPr>
        <w:pStyle w:val="BodyText"/>
      </w:pPr>
      <w:r>
        <w:t xml:space="preserve">Advertising matters disproportionately because it:</w:t>
      </w:r>
    </w:p>
    <w:p>
      <w:pPr>
        <w:pStyle w:val="Compact"/>
        <w:numPr>
          <w:ilvl w:val="0"/>
          <w:numId w:val="1009"/>
        </w:numPr>
      </w:pPr>
      <w:r>
        <w:t xml:space="preserve">Monetizes traffic Amazon already owns</w:t>
      </w:r>
    </w:p>
    <w:p>
      <w:pPr>
        <w:pStyle w:val="Compact"/>
        <w:numPr>
          <w:ilvl w:val="0"/>
          <w:numId w:val="1009"/>
        </w:numPr>
      </w:pPr>
      <w:r>
        <w:t xml:space="preserve">Supports retail segment margins</w:t>
      </w:r>
    </w:p>
    <w:p>
      <w:pPr>
        <w:pStyle w:val="Compact"/>
        <w:numPr>
          <w:ilvl w:val="0"/>
          <w:numId w:val="1009"/>
        </w:numPr>
      </w:pPr>
      <w:r>
        <w:t xml:space="preserve">Benefits from Amazon’s first-party shopping data</w:t>
      </w:r>
    </w:p>
    <w:p>
      <w:pPr>
        <w:pStyle w:val="Compact"/>
        <w:numPr>
          <w:ilvl w:val="0"/>
          <w:numId w:val="1009"/>
        </w:numPr>
      </w:pPr>
      <w:r>
        <w:t xml:space="preserve">Is expanding into connected television and third-party inventory</w:t>
      </w:r>
    </w:p>
    <w:p>
      <w:pPr>
        <w:pStyle w:val="Compact"/>
        <w:numPr>
          <w:ilvl w:val="0"/>
          <w:numId w:val="1009"/>
        </w:numPr>
      </w:pPr>
      <w:r>
        <w:t xml:space="preserve">Can be integrated directly into Rufus and agentic shopping experiences</w:t>
      </w:r>
    </w:p>
    <w:p>
      <w:pPr>
        <w:pStyle w:val="FirstParagraph"/>
      </w:pPr>
      <w:r>
        <w:t xml:space="preserve">The key concern is whether AI shopping agents reduce traditional search-ad inventory. Management argues that multi-turn shopping conversations create new sponsored placements, prompts and brand interactions. Early evidence will be useful, but near-term ad growth should remain driven primarily by sponsored products, Prime Video and broader off-Amazon inventory.</w:t>
      </w:r>
    </w:p>
    <w:p>
      <w:pPr>
        <w:pStyle w:val="BodyText"/>
      </w:pPr>
      <w:r>
        <w:t xml:space="preserve">Another quarter above 20% growth would support the view that retail margin expansion is durable rather than solely the product of fulfillment efficiencies.</w:t>
      </w:r>
    </w:p>
    <w:p>
      <w:r>
        <w:pict>
          <v:rect style="width:0;height:1.5pt" o:hralign="center" o:hrstd="t" o:hr="t"/>
        </w:pict>
      </w:r>
    </w:p>
    <w:bookmarkEnd w:id="21"/>
    <w:bookmarkStart w:id="22" w:name="X2b4093a18cb0c3d20bd53d723a11f5450930167"/>
    <w:p>
      <w:pPr>
        <w:pStyle w:val="Heading2"/>
      </w:pPr>
      <w:r>
        <w:t xml:space="preserve">5. Focus on operating income, not headline EPS</w:t>
      </w:r>
    </w:p>
    <w:p>
      <w:pPr>
        <w:pStyle w:val="FirstParagraph"/>
      </w:pPr>
      <w:r>
        <w:t xml:space="preserve">Q1 net income included a</w:t>
      </w:r>
      <w:r>
        <w:t xml:space="preserve"> </w:t>
      </w:r>
      <w:r>
        <w:rPr>
          <w:b/>
          <w:bCs/>
        </w:rPr>
        <w:t xml:space="preserve">$16.8 billion pre-tax gain related to Amazon’s Anthropic investments</w:t>
      </w:r>
      <w:r>
        <w:t xml:space="preserve">. Similar mark-to-market adjustments can make GAAP net income and EPS poor measures of underlying performance.</w:t>
      </w:r>
    </w:p>
    <w:p>
      <w:pPr>
        <w:pStyle w:val="BodyText"/>
      </w:pPr>
      <w:r>
        <w:t xml:space="preserve">For this report, investors should prioritize:</w:t>
      </w:r>
    </w:p>
    <w:p>
      <w:pPr>
        <w:pStyle w:val="Compact"/>
        <w:numPr>
          <w:ilvl w:val="0"/>
          <w:numId w:val="1010"/>
        </w:numPr>
      </w:pPr>
      <w:r>
        <w:t xml:space="preserve">Segment revenue growth</w:t>
      </w:r>
    </w:p>
    <w:p>
      <w:pPr>
        <w:pStyle w:val="Compact"/>
        <w:numPr>
          <w:ilvl w:val="0"/>
          <w:numId w:val="1010"/>
        </w:numPr>
      </w:pPr>
      <w:r>
        <w:t xml:space="preserve">AWS and retail operating margins</w:t>
      </w:r>
    </w:p>
    <w:p>
      <w:pPr>
        <w:pStyle w:val="Compact"/>
        <w:numPr>
          <w:ilvl w:val="0"/>
          <w:numId w:val="1010"/>
        </w:numPr>
      </w:pPr>
      <w:r>
        <w:t xml:space="preserve">Consolidated operating income</w:t>
      </w:r>
    </w:p>
    <w:p>
      <w:pPr>
        <w:pStyle w:val="Compact"/>
        <w:numPr>
          <w:ilvl w:val="0"/>
          <w:numId w:val="1010"/>
        </w:numPr>
      </w:pPr>
      <w:r>
        <w:t xml:space="preserve">Operating cash flow</w:t>
      </w:r>
    </w:p>
    <w:p>
      <w:pPr>
        <w:pStyle w:val="Compact"/>
        <w:numPr>
          <w:ilvl w:val="0"/>
          <w:numId w:val="1010"/>
        </w:numPr>
      </w:pPr>
      <w:r>
        <w:t xml:space="preserve">Capital expenditures</w:t>
      </w:r>
    </w:p>
    <w:p>
      <w:pPr>
        <w:pStyle w:val="Compact"/>
        <w:numPr>
          <w:ilvl w:val="0"/>
          <w:numId w:val="1010"/>
        </w:numPr>
      </w:pPr>
      <w:r>
        <w:t xml:space="preserve">Management’s forward guidance</w:t>
      </w:r>
    </w:p>
    <w:p>
      <w:pPr>
        <w:pStyle w:val="FirstParagraph"/>
      </w:pPr>
      <w:r>
        <w:t xml:space="preserve">A large EPS beat caused by investment gains would not be economically equivalent to an operating-income beat.</w:t>
      </w:r>
    </w:p>
    <w:p>
      <w:r>
        <w:pict>
          <v:rect style="width:0;height:1.5pt" o:hralign="center" o:hrstd="t" o:hr="t"/>
        </w:pict>
      </w:r>
    </w:p>
    <w:bookmarkEnd w:id="22"/>
    <w:bookmarkStart w:id="23" w:name="X7731510e946b40b2b7bd86d4389bd0bc84025cc"/>
    <w:p>
      <w:pPr>
        <w:pStyle w:val="Heading2"/>
      </w:pPr>
      <w:r>
        <w:t xml:space="preserve">6. Amazon Leo is becoming financially relevant</w:t>
      </w:r>
    </w:p>
    <w:p>
      <w:pPr>
        <w:pStyle w:val="FirstParagraph"/>
      </w:pPr>
      <w:r>
        <w:t xml:space="preserve">Amazon Leo is still a pre-revenue or early-commercialization business, but it is no longer immaterial to quarterly expenses. Management expected roughly $1 billion of year-over-year incremental cost in Q2 as Amazon manufactures and launches satellites.</w:t>
      </w:r>
    </w:p>
    <w:p>
      <w:pPr>
        <w:pStyle w:val="BodyText"/>
      </w:pPr>
      <w:r>
        <w:t xml:space="preserve">Commercial service was expected to begin in Q3, with certain production and launch costs becoming eligible for capitalization in Q4 after commercial viability. Investors should listen for:</w:t>
      </w:r>
    </w:p>
    <w:p>
      <w:pPr>
        <w:pStyle w:val="Compact"/>
        <w:numPr>
          <w:ilvl w:val="0"/>
          <w:numId w:val="1011"/>
        </w:numPr>
      </w:pPr>
      <w:r>
        <w:t xml:space="preserve">Confirmation of the commercial launch timetable</w:t>
      </w:r>
    </w:p>
    <w:p>
      <w:pPr>
        <w:pStyle w:val="Compact"/>
        <w:numPr>
          <w:ilvl w:val="0"/>
          <w:numId w:val="1011"/>
        </w:numPr>
      </w:pPr>
      <w:r>
        <w:t xml:space="preserve">Satellite-launch progress</w:t>
      </w:r>
    </w:p>
    <w:p>
      <w:pPr>
        <w:pStyle w:val="Compact"/>
        <w:numPr>
          <w:ilvl w:val="0"/>
          <w:numId w:val="1011"/>
        </w:numPr>
      </w:pPr>
      <w:r>
        <w:t xml:space="preserve">Updated spending expectations</w:t>
      </w:r>
    </w:p>
    <w:p>
      <w:pPr>
        <w:pStyle w:val="Compact"/>
        <w:numPr>
          <w:ilvl w:val="0"/>
          <w:numId w:val="1011"/>
        </w:numPr>
      </w:pPr>
      <w:r>
        <w:t xml:space="preserve">Revenue commitments from airlines, telecom companies and governments</w:t>
      </w:r>
    </w:p>
    <w:p>
      <w:pPr>
        <w:pStyle w:val="Compact"/>
        <w:numPr>
          <w:ilvl w:val="0"/>
          <w:numId w:val="1011"/>
        </w:numPr>
      </w:pPr>
      <w:r>
        <w:t xml:space="preserve">Effects from the planned Globalstar acquisition</w:t>
      </w:r>
    </w:p>
    <w:p>
      <w:pPr>
        <w:pStyle w:val="Compact"/>
        <w:numPr>
          <w:ilvl w:val="0"/>
          <w:numId w:val="1011"/>
        </w:numPr>
      </w:pPr>
      <w:r>
        <w:t xml:space="preserve">The point at which expenses shift from the income statement toward capitalized assets</w:t>
      </w:r>
    </w:p>
    <w:p>
      <w:pPr>
        <w:pStyle w:val="FirstParagraph"/>
      </w:pPr>
      <w:r>
        <w:t xml:space="preserve">A delay could extend the period of elevated operating expense. Conversely, successful commercialization and capitalization could improve reported operating income even before Leo becomes a major revenue contributor.</w:t>
      </w:r>
    </w:p>
    <w:p>
      <w:r>
        <w:pict>
          <v:rect style="width:0;height:1.5pt" o:hralign="center" o:hrstd="t" o:hr="t"/>
        </w:pict>
      </w:r>
    </w:p>
    <w:bookmarkEnd w:id="23"/>
    <w:bookmarkStart w:id="24" w:name="X64cbe01f4e4549ff277fee31aea4c7532e374bb"/>
    <w:p>
      <w:pPr>
        <w:pStyle w:val="Heading2"/>
      </w:pPr>
      <w:r>
        <w:t xml:space="preserve">7. Q3 guidance may be difficult to read</w:t>
      </w:r>
    </w:p>
    <w:p>
      <w:pPr>
        <w:pStyle w:val="FirstParagraph"/>
      </w:pPr>
      <w:r>
        <w:t xml:space="preserve">The Q3 outlook could have more influence on the stock than the reported Q2 results.</w:t>
      </w:r>
    </w:p>
    <w:p>
      <w:pPr>
        <w:pStyle w:val="BodyText"/>
      </w:pPr>
      <w:r>
        <w:t xml:space="preserve">Because Prime Day moved into Q2 in major markets, Q3 will face an unfavorable event-timing comparison against Q3 2025. Investors should not interpret slower consolidated growth automatically as underlying deterioration.</w:t>
      </w:r>
    </w:p>
    <w:p>
      <w:pPr>
        <w:pStyle w:val="BodyText"/>
      </w:pPr>
      <w:r>
        <w:t xml:space="preserve">More important questions include:</w:t>
      </w:r>
    </w:p>
    <w:p>
      <w:pPr>
        <w:pStyle w:val="Compact"/>
        <w:numPr>
          <w:ilvl w:val="0"/>
          <w:numId w:val="1012"/>
        </w:numPr>
      </w:pPr>
      <w:r>
        <w:t xml:space="preserve">Does AWS continue growing around or above 30%?</w:t>
      </w:r>
    </w:p>
    <w:p>
      <w:pPr>
        <w:pStyle w:val="Compact"/>
        <w:numPr>
          <w:ilvl w:val="0"/>
          <w:numId w:val="1012"/>
        </w:numPr>
      </w:pPr>
      <w:r>
        <w:t xml:space="preserve">Are capacity additions converting backlog into revenue?</w:t>
      </w:r>
    </w:p>
    <w:p>
      <w:pPr>
        <w:pStyle w:val="Compact"/>
        <w:numPr>
          <w:ilvl w:val="0"/>
          <w:numId w:val="1012"/>
        </w:numPr>
      </w:pPr>
      <w:r>
        <w:t xml:space="preserve">Does North American profitability remain healthy without the Q2 event boost?</w:t>
      </w:r>
    </w:p>
    <w:p>
      <w:pPr>
        <w:pStyle w:val="Compact"/>
        <w:numPr>
          <w:ilvl w:val="0"/>
          <w:numId w:val="1012"/>
        </w:numPr>
      </w:pPr>
      <w:r>
        <w:t xml:space="preserve">How much Leo expense continues into Q3?</w:t>
      </w:r>
    </w:p>
    <w:p>
      <w:pPr>
        <w:pStyle w:val="Compact"/>
        <w:numPr>
          <w:ilvl w:val="0"/>
          <w:numId w:val="1012"/>
        </w:numPr>
      </w:pPr>
      <w:r>
        <w:t xml:space="preserve">Does management raise full-year capex?</w:t>
      </w:r>
    </w:p>
    <w:p>
      <w:pPr>
        <w:pStyle w:val="Compact"/>
        <w:numPr>
          <w:ilvl w:val="0"/>
          <w:numId w:val="1012"/>
        </w:numPr>
      </w:pPr>
      <w:r>
        <w:t xml:space="preserve">Is free cash flow expected to remain negative or minimal through year-end?</w:t>
      </w:r>
    </w:p>
    <w:p>
      <w:pPr>
        <w:pStyle w:val="FirstParagraph"/>
      </w:pPr>
      <w:r>
        <w:t xml:space="preserve">Management’s explanation of the Prime Day shift will be important in distinguishing calendar noise from changes in consumer demand.</w:t>
      </w:r>
    </w:p>
    <w:p>
      <w:r>
        <w:pict>
          <v:rect style="width:0;height:1.5pt" o:hralign="center" o:hrstd="t" o:hr="t"/>
        </w:pict>
      </w:r>
    </w:p>
    <w:bookmarkEnd w:id="24"/>
    <w:bookmarkStart w:id="25" w:name="potential-stock-reaction-framework"/>
    <w:p>
      <w:pPr>
        <w:pStyle w:val="Heading2"/>
      </w:pPr>
      <w:r>
        <w:t xml:space="preserve">Potential stock-reaction framework</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Scenario</w:t>
            </w:r>
          </w:p>
        </w:tc>
        <w:tc>
          <w:tcPr/>
          <w:p>
            <w:pPr>
              <w:pStyle w:val="Compact"/>
            </w:pPr>
            <w:r>
              <w:t xml:space="preserve">Likely characteristics</w:t>
            </w:r>
          </w:p>
        </w:tc>
        <w:tc>
          <w:tcPr/>
          <w:p>
            <w:pPr>
              <w:pStyle w:val="Compact"/>
            </w:pPr>
            <w:r>
              <w:t xml:space="preserve">Probable interpretation</w:t>
            </w:r>
          </w:p>
        </w:tc>
      </w:tr>
      <w:tr>
        <w:tc>
          <w:tcPr/>
          <w:p>
            <w:pPr>
              <w:pStyle w:val="Compact"/>
            </w:pPr>
            <w:r>
              <w:rPr>
                <w:b/>
                <w:bCs/>
              </w:rPr>
              <w:t xml:space="preserve">Bull case</w:t>
            </w:r>
          </w:p>
        </w:tc>
        <w:tc>
          <w:tcPr/>
          <w:p>
            <w:pPr>
              <w:pStyle w:val="Compact"/>
            </w:pPr>
            <w:r>
              <w:t xml:space="preserve">AWS growth of 33%+, stable mid/high-30% AWS margin, operating income near or above guidance high end, capex increase clearly backed by contracted demand, healthy Q3 cloud outlook</w:t>
            </w:r>
          </w:p>
        </w:tc>
        <w:tc>
          <w:tcPr/>
          <w:p>
            <w:pPr>
              <w:pStyle w:val="Compact"/>
            </w:pPr>
            <w:r>
              <w:t xml:space="preserve">Confirms AI investment is translating into near-term revenue and supports a rerating</w:t>
            </w:r>
          </w:p>
        </w:tc>
      </w:tr>
      <w:tr>
        <w:tc>
          <w:tcPr/>
          <w:p>
            <w:pPr>
              <w:pStyle w:val="Compact"/>
            </w:pPr>
            <w:r>
              <w:rPr>
                <w:b/>
                <w:bCs/>
              </w:rPr>
              <w:t xml:space="preserve">Base case</w:t>
            </w:r>
          </w:p>
        </w:tc>
        <w:tc>
          <w:tcPr/>
          <w:p>
            <w:pPr>
              <w:pStyle w:val="Compact"/>
            </w:pPr>
            <w:r>
              <w:t xml:space="preserve">AWS growth around 31%–32%, operating income in upper half of guidance, 2026 capex around</w:t>
            </w:r>
            <w:r>
              <w:t xml:space="preserve"> </w:t>
            </w:r>
            <m:oMath>
              <m:r>
                <m:t>205</m:t>
              </m:r>
              <m:r>
                <m:t>B</m:t>
              </m:r>
              <m:r>
                <m:rPr>
                  <m:sty m:val="p"/>
                </m:rPr>
                <m:t>–</m:t>
              </m:r>
            </m:oMath>
            <w:r>
              <w:t xml:space="preserve">210B, solid but not exceptional Q3 outlook</w:t>
            </w:r>
          </w:p>
        </w:tc>
        <w:tc>
          <w:tcPr/>
          <w:p>
            <w:pPr>
              <w:pStyle w:val="Compact"/>
            </w:pPr>
            <w:r>
              <w:t xml:space="preserve">Fundamentally constructive, but stock reaction may be muted due to elevated expectations</w:t>
            </w:r>
          </w:p>
        </w:tc>
      </w:tr>
      <w:tr>
        <w:tc>
          <w:tcPr/>
          <w:p>
            <w:pPr>
              <w:pStyle w:val="Compact"/>
            </w:pPr>
            <w:r>
              <w:rPr>
                <w:b/>
                <w:bCs/>
              </w:rPr>
              <w:t xml:space="preserve">Bear case</w:t>
            </w:r>
          </w:p>
        </w:tc>
        <w:tc>
          <w:tcPr/>
          <w:p>
            <w:pPr>
              <w:pStyle w:val="Compact"/>
            </w:pPr>
            <w:r>
              <w:t xml:space="preserve">AWS below 30%, meaningful margin pressure, capex materially above $210B, weak free-cash-flow outlook or cautious Q3 commentary</w:t>
            </w:r>
          </w:p>
        </w:tc>
        <w:tc>
          <w:tcPr/>
          <w:p>
            <w:pPr>
              <w:pStyle w:val="Compact"/>
            </w:pPr>
            <w:r>
              <w:t xml:space="preserve">Reinforces concerns that spending is rising faster than monetization</w:t>
            </w:r>
          </w:p>
        </w:tc>
      </w:tr>
      <w:tr>
        <w:tc>
          <w:tcPr/>
          <w:p>
            <w:pPr>
              <w:pStyle w:val="Compact"/>
            </w:pPr>
            <w:r>
              <w:rPr>
                <w:b/>
                <w:bCs/>
              </w:rPr>
              <w:t xml:space="preserve">Mixed case</w:t>
            </w:r>
          </w:p>
        </w:tc>
        <w:tc>
          <w:tcPr/>
          <w:p>
            <w:pPr>
              <w:pStyle w:val="Compact"/>
            </w:pPr>
            <w:r>
              <w:t xml:space="preserve">Strong AWS growth but sharply higher capex and weaker margins</w:t>
            </w:r>
          </w:p>
        </w:tc>
        <w:tc>
          <w:tcPr/>
          <w:p>
            <w:pPr>
              <w:pStyle w:val="Compact"/>
            </w:pPr>
            <w:r>
              <w:t xml:space="preserve">Initial reaction could be volatile; management’s backlog and return-on-capital explanations become decisive</w:t>
            </w:r>
          </w:p>
        </w:tc>
      </w:tr>
    </w:tbl>
    <w:p>
      <w:r>
        <w:pict>
          <v:rect style="width:0;height:1.5pt" o:hralign="center" o:hrstd="t" o:hr="t"/>
        </w:pict>
      </w:r>
    </w:p>
    <w:bookmarkEnd w:id="25"/>
    <w:bookmarkStart w:id="26" w:name="questions-management-should-answer"/>
    <w:p>
      <w:pPr>
        <w:pStyle w:val="Heading2"/>
      </w:pPr>
      <w:r>
        <w:t xml:space="preserve">Questions management should answer</w:t>
      </w:r>
    </w:p>
    <w:p>
      <w:pPr>
        <w:pStyle w:val="Compact"/>
        <w:numPr>
          <w:ilvl w:val="0"/>
          <w:numId w:val="1013"/>
        </w:numPr>
      </w:pPr>
      <w:r>
        <w:rPr>
          <w:b/>
          <w:bCs/>
        </w:rPr>
        <w:t xml:space="preserve">How much AWS demand remains capacity constrained, and when will new capacity come online?</w:t>
      </w:r>
    </w:p>
    <w:p>
      <w:pPr>
        <w:pStyle w:val="Compact"/>
        <w:numPr>
          <w:ilvl w:val="0"/>
          <w:numId w:val="1013"/>
        </w:numPr>
      </w:pPr>
      <w:r>
        <w:rPr>
          <w:b/>
          <w:bCs/>
        </w:rPr>
        <w:t xml:space="preserve">Is AWS growth broad-based, or increasingly concentrated among a few AI labs?</w:t>
      </w:r>
    </w:p>
    <w:p>
      <w:pPr>
        <w:pStyle w:val="Compact"/>
        <w:numPr>
          <w:ilvl w:val="0"/>
          <w:numId w:val="1013"/>
        </w:numPr>
      </w:pPr>
      <w:r>
        <w:rPr>
          <w:b/>
          <w:bCs/>
        </w:rPr>
        <w:t xml:space="preserve">How much of Trainium’s $225 billion in commitments is included in reported AWS backlog?</w:t>
      </w:r>
    </w:p>
    <w:p>
      <w:pPr>
        <w:pStyle w:val="Compact"/>
        <w:numPr>
          <w:ilvl w:val="0"/>
          <w:numId w:val="1013"/>
        </w:numPr>
      </w:pPr>
      <w:r>
        <w:rPr>
          <w:b/>
          <w:bCs/>
        </w:rPr>
        <w:t xml:space="preserve">How much of any capex increase reflects higher memory and component prices rather than more capacity?</w:t>
      </w:r>
    </w:p>
    <w:p>
      <w:pPr>
        <w:pStyle w:val="Compact"/>
        <w:numPr>
          <w:ilvl w:val="0"/>
          <w:numId w:val="1013"/>
        </w:numPr>
      </w:pPr>
      <w:r>
        <w:rPr>
          <w:b/>
          <w:bCs/>
        </w:rPr>
        <w:t xml:space="preserve">What is the expected depreciation impact from the 2025–2026 infrastructure build?</w:t>
      </w:r>
    </w:p>
    <w:p>
      <w:pPr>
        <w:pStyle w:val="Compact"/>
        <w:numPr>
          <w:ilvl w:val="0"/>
          <w:numId w:val="1013"/>
        </w:numPr>
      </w:pPr>
      <w:r>
        <w:rPr>
          <w:b/>
          <w:bCs/>
        </w:rPr>
        <w:t xml:space="preserve">Can AWS maintain mid-30% margins while deploying capacity at this pace?</w:t>
      </w:r>
    </w:p>
    <w:p>
      <w:pPr>
        <w:pStyle w:val="Compact"/>
        <w:numPr>
          <w:ilvl w:val="0"/>
          <w:numId w:val="1013"/>
        </w:numPr>
      </w:pPr>
      <w:r>
        <w:rPr>
          <w:b/>
          <w:bCs/>
        </w:rPr>
        <w:t xml:space="preserve">When should investors expect free cash flow to recover meaningfully?</w:t>
      </w:r>
    </w:p>
    <w:p>
      <w:pPr>
        <w:pStyle w:val="Compact"/>
        <w:numPr>
          <w:ilvl w:val="0"/>
          <w:numId w:val="1013"/>
        </w:numPr>
      </w:pPr>
      <w:r>
        <w:rPr>
          <w:b/>
          <w:bCs/>
        </w:rPr>
        <w:t xml:space="preserve">How should Q3 growth be normalized for the Prime Day shift?</w:t>
      </w:r>
    </w:p>
    <w:p>
      <w:pPr>
        <w:pStyle w:val="Compact"/>
        <w:numPr>
          <w:ilvl w:val="0"/>
          <w:numId w:val="1013"/>
        </w:numPr>
      </w:pPr>
      <w:r>
        <w:rPr>
          <w:b/>
          <w:bCs/>
        </w:rPr>
        <w:t xml:space="preserve">Is Amazon Leo still on schedule for commercial service, and when will cost capitalization begin?</w:t>
      </w:r>
    </w:p>
    <w:p>
      <w:pPr>
        <w:pStyle w:val="Compact"/>
        <w:numPr>
          <w:ilvl w:val="0"/>
          <w:numId w:val="1013"/>
        </w:numPr>
      </w:pPr>
      <w:r>
        <w:rPr>
          <w:b/>
          <w:bCs/>
        </w:rPr>
        <w:t xml:space="preserve">Are fulfillment and delivery efficiencies continuing to outpace unit growth?</w:t>
      </w:r>
    </w:p>
    <w:p>
      <w:r>
        <w:pict>
          <v:rect style="width:0;height:1.5pt" o:hralign="center" o:hrstd="t" o:hr="t"/>
        </w:pict>
      </w:r>
    </w:p>
    <w:bookmarkEnd w:id="26"/>
    <w:bookmarkStart w:id="27" w:name="bottom-line"/>
    <w:p>
      <w:pPr>
        <w:pStyle w:val="Heading2"/>
      </w:pPr>
      <w:r>
        <w:t xml:space="preserve">Bottom line</w:t>
      </w:r>
    </w:p>
    <w:p>
      <w:pPr>
        <w:pStyle w:val="FirstParagraph"/>
      </w:pPr>
      <w:r>
        <w:t xml:space="preserve">Amazon’s operating businesses appear healthy going into the report. Retail volumes are strong, fulfillment productivity is improving, advertising continues to compound above 20%, and AWS is experiencing its fastest growth in several years.</w:t>
      </w:r>
    </w:p>
    <w:p>
      <w:pPr>
        <w:pStyle w:val="BodyText"/>
      </w:pPr>
      <w:r>
        <w:t xml:space="preserve">The risk is not a lack of demand. It is that</w:t>
      </w:r>
      <w:r>
        <w:t xml:space="preserve"> </w:t>
      </w:r>
      <w:r>
        <w:rPr>
          <w:b/>
          <w:bCs/>
        </w:rPr>
        <w:t xml:space="preserve">the cost of meeting that demand is rising faster than investors are currently willing to tolerate</w:t>
      </w:r>
      <w:r>
        <w:t xml:space="preserve">.</w:t>
      </w:r>
    </w:p>
    <w:p>
      <w:pPr>
        <w:pStyle w:val="BodyText"/>
      </w:pPr>
      <w:r>
        <w:t xml:space="preserve">The cleanest bullish outcome would combine approximately 32% or better AWS growth with stable margins, operating income near the upper end of guidance, and a capex outlook explicitly tied to contracted customer demand. The most negative combination would be an AWS slowdown, margin compression and another large increase in spending.</w:t>
      </w:r>
    </w:p>
    <w:p>
      <w:pPr>
        <w:pStyle w:val="BodyText"/>
      </w:pPr>
      <w:r>
        <w:t xml:space="preserve">Ultimately, this report is a test of whether Amazon can demonstrate that its enormous AI infrastructure build is already moving from</w:t>
      </w:r>
      <w:r>
        <w:t xml:space="preserve"> </w:t>
      </w:r>
      <w:r>
        <w:rPr>
          <w:b/>
          <w:bCs/>
        </w:rPr>
        <w:t xml:space="preserve">investment narrative to observable revenue conversion</w:t>
      </w:r>
      <w:r>
        <w:t xml:space="preserve">.</w:t>
      </w:r>
    </w:p>
    <w:bookmarkEnd w:id="27"/>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2026-07-29T19:27:31Z</dcterms:created>
  <dcterms:modified xsi:type="dcterms:W3CDTF">2026-07-29T19:27:31Z</dcterms:modified>
</cp:coreProperties>
</file>

<file path=docProps/custom.xml><?xml version="1.0" encoding="utf-8"?>
<Properties xmlns="http://schemas.openxmlformats.org/officeDocument/2006/custom-properties" xmlns:vt="http://schemas.openxmlformats.org/officeDocument/2006/docPropsVTypes"/>
</file>