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amazon-amzn-q2-2026-earnings-preview"/>
    <w:p>
      <w:pPr>
        <w:pStyle w:val="Heading1"/>
      </w:pPr>
      <w:r>
        <w:t xml:space="preserve">Amazon (AMZN) Q2 2026 Earnings Preview</w:t>
      </w:r>
    </w:p>
    <w:p>
      <w:pPr>
        <w:pStyle w:val="FirstParagraph"/>
      </w:pPr>
      <w:r>
        <w:rPr>
          <w:b/>
          <w:bCs/>
        </w:rPr>
        <w:t xml:space="preserve">Report timing:</w:t>
      </w:r>
      <w:r>
        <w:t xml:space="preserve"> </w:t>
      </w:r>
      <w:r>
        <w:t xml:space="preserve">Thursday, July 30, 2026, after the U.S. market close</w:t>
      </w:r>
      <w:r>
        <w:br/>
      </w:r>
      <w:r>
        <w:rPr>
          <w:b/>
          <w:bCs/>
        </w:rPr>
        <w:t xml:space="preserve">Event:</w:t>
      </w:r>
      <w:r>
        <w:t xml:space="preserve"> </w:t>
      </w:r>
      <w:r>
        <w:t xml:space="preserve">Q2 2026 earnings call</w:t>
      </w:r>
      <w:r>
        <w:br/>
      </w:r>
      <w:r>
        <w:rPr>
          <w:b/>
          <w:bCs/>
        </w:rPr>
        <w:t xml:space="preserve">Investor focus:</w:t>
      </w:r>
      <w:r>
        <w:t xml:space="preserve"> </w:t>
      </w:r>
      <w:r>
        <w:t xml:space="preserve">AWS growth durability, AI-capex discipline and cash-flow implications, retail/advertising momentum, and the initial Q3 outlook.</w:t>
      </w:r>
    </w:p>
    <w:bookmarkStart w:id="9" w:name="X8a5080791164607749dc9e6de04c72c96a38dcd"/>
    <w:p>
      <w:pPr>
        <w:pStyle w:val="Heading2"/>
      </w:pPr>
      <w:r>
        <w:t xml:space="preserve">The setup: a strong operating story meets a higher bar on investment returns</w:t>
      </w:r>
    </w:p>
    <w:p>
      <w:pPr>
        <w:pStyle w:val="FirstParagraph"/>
      </w:pPr>
      <w:r>
        <w:t xml:space="preserve">Amazon enters the print with its core operating businesses carrying substantial momentum, but with investors increasingly focused on the cost—and eventual payoff—of its AI infrastructure buildout.</w:t>
      </w:r>
    </w:p>
    <w:p>
      <w:pPr>
        <w:pStyle w:val="BodyText"/>
      </w:pPr>
      <w:r>
        <w:t xml:space="preserve">In Q1, Amazon delivered</w:t>
      </w:r>
      <w:r>
        <w:t xml:space="preserve"> </w:t>
      </w:r>
      <w:r>
        <w:rPr>
          <w:b/>
          <w:bCs/>
        </w:rPr>
        <w:t xml:space="preserve">17% revenue growth</w:t>
      </w:r>
      <w:r>
        <w:t xml:space="preserve">,</w:t>
      </w:r>
      <w:r>
        <w:t xml:space="preserve"> </w:t>
      </w:r>
      <w:r>
        <w:rPr>
          <w:b/>
          <w:bCs/>
        </w:rPr>
        <w:t xml:space="preserve">30% operating-income growth</w:t>
      </w:r>
      <w:r>
        <w:t xml:space="preserve">, and a record</w:t>
      </w:r>
      <w:r>
        <w:t xml:space="preserve"> </w:t>
      </w:r>
      <w:r>
        <w:rPr>
          <w:b/>
          <w:bCs/>
        </w:rPr>
        <w:t xml:space="preserve">13.1% operating margin</w:t>
      </w:r>
      <w:r>
        <w:t xml:space="preserve">. AWS revenue accelerated to</w:t>
      </w:r>
      <w:r>
        <w:t xml:space="preserve"> </w:t>
      </w:r>
      <w:r>
        <w:rPr>
          <w:b/>
          <w:bCs/>
        </w:rPr>
        <w:t xml:space="preserve">28% growth</w:t>
      </w:r>
      <w:r>
        <w:t xml:space="preserve">, North America profitability improved materially, paid-unit growth reached</w:t>
      </w:r>
      <w:r>
        <w:t xml:space="preserve"> </w:t>
      </w:r>
      <w:r>
        <w:rPr>
          <w:b/>
          <w:bCs/>
        </w:rPr>
        <w:t xml:space="preserve">15%</w:t>
      </w:r>
      <w:r>
        <w:t xml:space="preserve">, and advertising revenue rose</w:t>
      </w:r>
      <w:r>
        <w:t xml:space="preserve"> </w:t>
      </w:r>
      <w:r>
        <w:rPr>
          <w:b/>
          <w:bCs/>
        </w:rPr>
        <w:t xml:space="preserve">24%</w:t>
      </w:r>
      <w:r>
        <w:t xml:space="preserve">. However, management also made clear that the company is choosing to invest aggressively: Q1 cash capex was</w:t>
      </w:r>
      <w:r>
        <w:t xml:space="preserve"> </w:t>
      </w:r>
      <m:oMath>
        <m:r>
          <m:t>43.2</m:t>
        </m:r>
        <m:r>
          <m:t>b</m:t>
        </m:r>
        <m:r>
          <m:t>i</m:t>
        </m:r>
        <m:r>
          <m:t>l</m:t>
        </m:r>
        <m:r>
          <m:t>l</m:t>
        </m:r>
        <m:r>
          <m:t>i</m:t>
        </m:r>
        <m:r>
          <m:t>o</m:t>
        </m:r>
        <m:r>
          <m:t>n</m:t>
        </m:r>
        <m:r>
          <m:rPr>
            <m:sty m:val="p"/>
          </m:rPr>
          <m:t>*</m:t>
        </m:r>
        <m:r>
          <m:rPr>
            <m:sty m:val="p"/>
          </m:rPr>
          <m:t>*</m:t>
        </m:r>
        <m:r>
          <m:rPr>
            <m:sty m:val="p"/>
          </m:rPr>
          <m:t>,</m:t>
        </m:r>
        <m:r>
          <m:t>t</m:t>
        </m:r>
        <m:r>
          <m:t>r</m:t>
        </m:r>
        <m:r>
          <m:t>a</m:t>
        </m:r>
        <m:r>
          <m:t>i</m:t>
        </m:r>
        <m:r>
          <m:t>l</m:t>
        </m:r>
        <m:r>
          <m:t>i</m:t>
        </m:r>
        <m:r>
          <m:t>n</m:t>
        </m:r>
        <m:r>
          <m:t>g</m:t>
        </m:r>
        <m:r>
          <m:rPr>
            <m:sty m:val="p"/>
          </m:rPr>
          <m:t>−</m:t>
        </m:r>
        <m:r>
          <m:t>t</m:t>
        </m:r>
        <m:r>
          <m:t>w</m:t>
        </m:r>
        <m:r>
          <m:t>e</m:t>
        </m:r>
        <m:r>
          <m:t>l</m:t>
        </m:r>
        <m:r>
          <m:t>v</m:t>
        </m:r>
        <m:r>
          <m:t>e</m:t>
        </m:r>
        <m:r>
          <m:rPr>
            <m:sty m:val="p"/>
          </m:rPr>
          <m:t>−</m:t>
        </m:r>
        <m:r>
          <m:t>m</m:t>
        </m:r>
        <m:r>
          <m:t>o</m:t>
        </m:r>
        <m:r>
          <m:t>n</m:t>
        </m:r>
        <m:r>
          <m:t>t</m:t>
        </m:r>
        <m:r>
          <m:t>h</m:t>
        </m:r>
        <m:r>
          <m:t>f</m:t>
        </m:r>
        <m:r>
          <m:t>r</m:t>
        </m:r>
        <m:r>
          <m:t>e</m:t>
        </m:r>
        <m:r>
          <m:t>e</m:t>
        </m:r>
        <m:r>
          <m:t>c</m:t>
        </m:r>
        <m:r>
          <m:t>a</m:t>
        </m:r>
        <m:r>
          <m:t>s</m:t>
        </m:r>
        <m:r>
          <m:t>h</m:t>
        </m:r>
        <m:r>
          <m:t>f</m:t>
        </m:r>
        <m:r>
          <m:t>l</m:t>
        </m:r>
        <m:r>
          <m:t>o</m:t>
        </m:r>
        <m:r>
          <m:t>w</m:t>
        </m:r>
        <m:r>
          <m:t>w</m:t>
        </m:r>
        <m:r>
          <m:t>a</m:t>
        </m:r>
        <m:r>
          <m:t>s</m:t>
        </m:r>
        <m:r>
          <m:t>o</m:t>
        </m:r>
        <m:r>
          <m:t>n</m:t>
        </m:r>
        <m:r>
          <m:t>l</m:t>
        </m:r>
        <m:r>
          <m:t>y</m:t>
        </m:r>
        <m:r>
          <m:rPr>
            <m:sty m:val="p"/>
          </m:rPr>
          <m:t>*</m:t>
        </m:r>
        <m:r>
          <m:rPr>
            <m:sty m:val="p"/>
          </m:rPr>
          <m:t>*</m:t>
        </m:r>
      </m:oMath>
      <w:r>
        <w:rPr>
          <w:b/>
          <w:bCs/>
        </w:rPr>
        <w:t xml:space="preserve">1.2 billion</w:t>
      </w:r>
      <w:r>
        <w:t xml:space="preserve">, and long-term debt rose to</w:t>
      </w:r>
      <w:r>
        <w:t xml:space="preserve"> </w:t>
      </w:r>
      <w:r>
        <w:rPr>
          <w:b/>
          <w:bCs/>
        </w:rPr>
        <w:t xml:space="preserve">$119.1 billion</w:t>
      </w:r>
      <w:r>
        <w:t xml:space="preserve"> </w:t>
      </w:r>
      <w:r>
        <w:t xml:space="preserve">at March 31.</w:t>
      </w:r>
    </w:p>
    <w:p>
      <w:pPr>
        <w:pStyle w:val="BodyText"/>
      </w:pPr>
      <w:r>
        <w:t xml:space="preserve">The stock reflects this tension. AMZN closed July 29 at</w:t>
      </w:r>
      <w:r>
        <w:t xml:space="preserve"> </w:t>
      </w:r>
      <w:r>
        <w:rPr>
          <w:b/>
          <w:bCs/>
        </w:rPr>
        <w:t xml:space="preserve">$230.30</w:t>
      </w:r>
      <w:r>
        <w:t xml:space="preserve">, down roughly</w:t>
      </w:r>
      <w:r>
        <w:t xml:space="preserve"> </w:t>
      </w:r>
      <w:r>
        <w:rPr>
          <w:b/>
          <w:bCs/>
        </w:rPr>
        <w:t xml:space="preserve">12.4%</w:t>
      </w:r>
      <w:r>
        <w:t xml:space="preserve"> </w:t>
      </w:r>
      <w:r>
        <w:t xml:space="preserve">from its April 29 close following Q1 results, and nearly</w:t>
      </w:r>
      <w:r>
        <w:t xml:space="preserve"> </w:t>
      </w:r>
      <w:r>
        <w:rPr>
          <w:b/>
          <w:bCs/>
        </w:rPr>
        <w:t xml:space="preserve">9.7%</w:t>
      </w:r>
      <w:r>
        <w:t xml:space="preserve"> </w:t>
      </w:r>
      <w:r>
        <w:t xml:space="preserve">below its July 15 level—suggesting the market has become less willing to reward AI spending without clearer evidence of revenue conversion and attractive returns.</w:t>
      </w:r>
    </w:p>
    <w:bookmarkEnd w:id="9"/>
    <w:bookmarkStart w:id="14" w:name="what-amazon-has-to-deliver"/>
    <w:p>
      <w:pPr>
        <w:pStyle w:val="Heading2"/>
      </w:pPr>
      <w:r>
        <w:t xml:space="preserve">What Amazon has to deliver</w:t>
      </w:r>
    </w:p>
    <w:bookmarkStart w:id="10" w:name="Xdfd7cbaf7a9653589ac59dcd252fdfb319605f8"/>
    <w:p>
      <w:pPr>
        <w:pStyle w:val="Heading3"/>
      </w:pPr>
      <w:r>
        <w:t xml:space="preserve">1. Revenue: execution against a favorable guide—and a Prime Day timing benefit</w:t>
      </w:r>
    </w:p>
    <w:p>
      <w:pPr>
        <w:pStyle w:val="FirstParagraph"/>
      </w:pPr>
      <w:r>
        <w:t xml:space="preserve">For Q2, Amazon guided to:</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2026 guide</w:t>
            </w:r>
          </w:p>
        </w:tc>
        <w:tc>
          <w:tcPr/>
          <w:p>
            <w:pPr>
              <w:pStyle w:val="Compact"/>
              <w:jc w:val="right"/>
            </w:pPr>
            <w:r>
              <w:t xml:space="preserve">Low</w:t>
            </w:r>
          </w:p>
        </w:tc>
        <w:tc>
          <w:tcPr/>
          <w:p>
            <w:pPr>
              <w:pStyle w:val="Compact"/>
              <w:jc w:val="right"/>
            </w:pPr>
            <w:r>
              <w:t xml:space="preserve">Midpoint</w:t>
            </w:r>
          </w:p>
        </w:tc>
        <w:tc>
          <w:tcPr/>
          <w:p>
            <w:pPr>
              <w:pStyle w:val="Compact"/>
              <w:jc w:val="right"/>
            </w:pPr>
            <w:r>
              <w:t xml:space="preserve">High</w:t>
            </w:r>
          </w:p>
        </w:tc>
      </w:tr>
      <w:tr>
        <w:tc>
          <w:tcPr/>
          <w:p>
            <w:pPr>
              <w:pStyle w:val="Compact"/>
            </w:pPr>
            <w:r>
              <w:t xml:space="preserve">Net sales</w:t>
            </w:r>
          </w:p>
        </w:tc>
        <w:tc>
          <w:tcPr/>
          <w:p>
            <w:pPr>
              <w:pStyle w:val="Compact"/>
              <w:jc w:val="right"/>
            </w:pPr>
            <w:r>
              <w:t xml:space="preserve">$194.0B</w:t>
            </w:r>
          </w:p>
        </w:tc>
        <w:tc>
          <w:tcPr/>
          <w:p>
            <w:pPr>
              <w:pStyle w:val="Compact"/>
              <w:jc w:val="right"/>
            </w:pPr>
            <w:r>
              <w:rPr>
                <w:b/>
                <w:bCs/>
              </w:rPr>
              <w:t xml:space="preserve">$196.5B</w:t>
            </w:r>
          </w:p>
        </w:tc>
        <w:tc>
          <w:tcPr/>
          <w:p>
            <w:pPr>
              <w:pStyle w:val="Compact"/>
              <w:jc w:val="right"/>
            </w:pPr>
            <w:r>
              <w:t xml:space="preserve">$199.0B</w:t>
            </w:r>
          </w:p>
        </w:tc>
      </w:tr>
      <w:tr>
        <w:tc>
          <w:tcPr/>
          <w:p>
            <w:pPr>
              <w:pStyle w:val="Compact"/>
            </w:pPr>
            <w:r>
              <w:t xml:space="preserve">YoY growth</w:t>
            </w:r>
          </w:p>
        </w:tc>
        <w:tc>
          <w:tcPr/>
          <w:p>
            <w:pPr>
              <w:pStyle w:val="Compact"/>
              <w:jc w:val="right"/>
            </w:pPr>
            <w:r>
              <w:t xml:space="preserve">16%</w:t>
            </w:r>
          </w:p>
        </w:tc>
        <w:tc>
          <w:tcPr/>
          <w:p>
            <w:pPr>
              <w:pStyle w:val="Compact"/>
              <w:jc w:val="right"/>
            </w:pPr>
            <w:r>
              <w:rPr>
                <w:b/>
                <w:bCs/>
              </w:rPr>
              <w:t xml:space="preserve">17.5%</w:t>
            </w:r>
          </w:p>
        </w:tc>
        <w:tc>
          <w:tcPr/>
          <w:p>
            <w:pPr>
              <w:pStyle w:val="Compact"/>
              <w:jc w:val="right"/>
            </w:pPr>
            <w:r>
              <w:t xml:space="preserve">19%</w:t>
            </w:r>
          </w:p>
        </w:tc>
      </w:tr>
      <w:tr>
        <w:tc>
          <w:tcPr/>
          <w:p>
            <w:pPr>
              <w:pStyle w:val="Compact"/>
            </w:pPr>
            <w:r>
              <w:t xml:space="preserve">Operating income</w:t>
            </w:r>
          </w:p>
        </w:tc>
        <w:tc>
          <w:tcPr/>
          <w:p>
            <w:pPr>
              <w:pStyle w:val="Compact"/>
              <w:jc w:val="right"/>
            </w:pPr>
            <w:r>
              <w:t xml:space="preserve">$20.0B</w:t>
            </w:r>
          </w:p>
        </w:tc>
        <w:tc>
          <w:tcPr/>
          <w:p>
            <w:pPr>
              <w:pStyle w:val="Compact"/>
              <w:jc w:val="right"/>
            </w:pPr>
            <w:r>
              <w:rPr>
                <w:b/>
                <w:bCs/>
              </w:rPr>
              <w:t xml:space="preserve">$22.0B</w:t>
            </w:r>
          </w:p>
        </w:tc>
        <w:tc>
          <w:tcPr/>
          <w:p>
            <w:pPr>
              <w:pStyle w:val="Compact"/>
              <w:jc w:val="right"/>
            </w:pPr>
            <w:r>
              <w:t xml:space="preserve">$24.0B</w:t>
            </w:r>
          </w:p>
        </w:tc>
      </w:tr>
    </w:tbl>
    <w:p>
      <w:pPr>
        <w:pStyle w:val="BodyText"/>
      </w:pPr>
      <w:r>
        <w:t xml:space="preserve">The revenue guide implies a meaningful acceleration from</w:t>
      </w:r>
      <w:r>
        <w:t xml:space="preserve"> </w:t>
      </w:r>
      <w:r>
        <w:rPr>
          <w:b/>
          <w:bCs/>
        </w:rPr>
        <w:t xml:space="preserve">12% reported growth in Q2 2025</w:t>
      </w:r>
      <w:r>
        <w:t xml:space="preserve">. The major timing factor is Prime Day: it occurred in Q3 across countries last year, while Amazon expected it in Q2 in most major geographies this year. That should be a clear year-over-year tailwind for retail revenue, third-party seller services, subscriptions, advertising demand, and unit volume.</w:t>
      </w:r>
    </w:p>
    <w:p>
      <w:pPr>
        <w:pStyle w:val="BodyText"/>
      </w:pPr>
      <w:r>
        <w:rPr>
          <w:b/>
          <w:bCs/>
        </w:rPr>
        <w:t xml:space="preserve">The key question is quality of the beat.</w:t>
      </w:r>
      <w:r>
        <w:t xml:space="preserve"> </w:t>
      </w:r>
      <w:r>
        <w:t xml:space="preserve">A result above the high end of guidance driven largely by Prime Day timing is constructive but may not be enough on its own. Investors will want evidence that underlying retail demand, third-party services, advertising, and faster-delivery initiatives remain strong even excluding the event shift.</w:t>
      </w:r>
    </w:p>
    <w:bookmarkEnd w:id="10"/>
    <w:bookmarkStart w:id="11" w:name="X68b2163e34892997920f3fc08fb236e4cc4a974"/>
    <w:p>
      <w:pPr>
        <w:pStyle w:val="Heading3"/>
      </w:pPr>
      <w:r>
        <w:t xml:space="preserve">2. AWS: the central fundamental and valuation debate</w:t>
      </w:r>
    </w:p>
    <w:p>
      <w:pPr>
        <w:pStyle w:val="FirstParagraph"/>
      </w:pPr>
      <w:r>
        <w:t xml:space="preserve">AWS is the most consequential line item. Q1 AWS revenue grew</w:t>
      </w:r>
      <w:r>
        <w:t xml:space="preserve"> </w:t>
      </w:r>
      <w:r>
        <w:rPr>
          <w:b/>
          <w:bCs/>
        </w:rPr>
        <w:t xml:space="preserve">28% year over year to $37.6 billion</w:t>
      </w:r>
      <w:r>
        <w:t xml:space="preserve">, its fastest pace in 15 quarters, while AWS operating income rose</w:t>
      </w:r>
      <w:r>
        <w:t xml:space="preserve"> </w:t>
      </w:r>
      <w:r>
        <w:rPr>
          <w:b/>
          <w:bCs/>
        </w:rPr>
        <w:t xml:space="preserve">23% to $14.2 billion</w:t>
      </w:r>
      <w:r>
        <w:t xml:space="preserve">. Management characterized AI revenue as growing at a triple-digit rate and said both AI and core cloud consumption were contributing to growth.</w:t>
      </w:r>
    </w:p>
    <w:p>
      <w:pPr>
        <w:pStyle w:val="BodyText"/>
      </w:pPr>
      <w:r>
        <w:t xml:space="preserve">The Q2 report needs to answer three questions:</w:t>
      </w:r>
    </w:p>
    <w:p>
      <w:pPr>
        <w:numPr>
          <w:ilvl w:val="0"/>
          <w:numId w:val="1001"/>
        </w:numPr>
      </w:pPr>
      <w:r>
        <w:rPr>
          <w:b/>
          <w:bCs/>
        </w:rPr>
        <w:t xml:space="preserve">Can AWS sustain—or further accelerate from—28% growth?</w:t>
      </w:r>
      <w:r>
        <w:br/>
      </w:r>
      <w:r>
        <w:t xml:space="preserve">This is likely the most important near-term share-price driver. A deceleration would raise questions about capacity constraints, competitive pressure, or whether AI demand is concentrating among a limited set of customers.</w:t>
      </w:r>
    </w:p>
    <w:p>
      <w:pPr>
        <w:numPr>
          <w:ilvl w:val="0"/>
          <w:numId w:val="1001"/>
        </w:numPr>
      </w:pPr>
      <w:r>
        <w:rPr>
          <w:b/>
          <w:bCs/>
        </w:rPr>
        <w:t xml:space="preserve">Is demand broadening beyond frontier-model developers?</w:t>
      </w:r>
      <w:r>
        <w:br/>
      </w:r>
      <w:r>
        <w:t xml:space="preserve">Amazon reported a</w:t>
      </w:r>
      <w:r>
        <w:t xml:space="preserve"> </w:t>
      </w:r>
      <w:r>
        <w:rPr>
          <w:b/>
          <w:bCs/>
        </w:rPr>
        <w:t xml:space="preserve">$364 billion AWS backlog</w:t>
      </w:r>
      <w:r>
        <w:t xml:space="preserve"> </w:t>
      </w:r>
      <w:r>
        <w:t xml:space="preserve">at Q1, excluding its subsequently announced Anthropic commitment. Management emphasized that the backlog was broader than just one or two large customers. Investors should look for an update on the pace and mix of backlog conversion, enterprise migrations, Bedrock adoption, and whether core AWS services are benefiting alongside AI workloads.</w:t>
      </w:r>
    </w:p>
    <w:p>
      <w:pPr>
        <w:numPr>
          <w:ilvl w:val="0"/>
          <w:numId w:val="1001"/>
        </w:numPr>
      </w:pPr>
      <w:r>
        <w:rPr>
          <w:b/>
          <w:bCs/>
        </w:rPr>
        <w:t xml:space="preserve">Can custom silicon become a differentiated earnings lever?</w:t>
      </w:r>
      <w:r>
        <w:br/>
      </w:r>
      <w:r>
        <w:t xml:space="preserve">Management said its chips business had exceeded a</w:t>
      </w:r>
      <w:r>
        <w:t xml:space="preserve"> </w:t>
      </w:r>
      <m:oMath>
        <m:r>
          <m:t>20</m:t>
        </m:r>
        <m:r>
          <m:t>b</m:t>
        </m:r>
        <m:r>
          <m:t>i</m:t>
        </m:r>
        <m:r>
          <m:t>l</m:t>
        </m:r>
        <m:r>
          <m:t>l</m:t>
        </m:r>
        <m:r>
          <m:t>i</m:t>
        </m:r>
        <m:r>
          <m:t>o</m:t>
        </m:r>
        <m:r>
          <m:t>n</m:t>
        </m:r>
        <m:r>
          <m:t>a</m:t>
        </m:r>
        <m:r>
          <m:t>n</m:t>
        </m:r>
        <m:r>
          <m:t>n</m:t>
        </m:r>
        <m:r>
          <m:t>u</m:t>
        </m:r>
        <m:r>
          <m:t>a</m:t>
        </m:r>
        <m:r>
          <m:t>l</m:t>
        </m:r>
        <m:r>
          <m:t>i</m:t>
        </m:r>
        <m:r>
          <m:t>z</m:t>
        </m:r>
        <m:r>
          <m:t>e</m:t>
        </m:r>
        <m:r>
          <m:t>d</m:t>
        </m:r>
        <m:r>
          <m:t>r</m:t>
        </m:r>
        <m:r>
          <m:t>e</m:t>
        </m:r>
        <m:r>
          <m:t>v</m:t>
        </m:r>
        <m:r>
          <m:t>e</m:t>
        </m:r>
        <m:r>
          <m:t>n</m:t>
        </m:r>
        <m:r>
          <m:t>u</m:t>
        </m:r>
        <m:r>
          <m:t>e</m:t>
        </m:r>
        <m:r>
          <m:t>r</m:t>
        </m:r>
        <m:r>
          <m:t>u</m:t>
        </m:r>
        <m:r>
          <m:t>n</m:t>
        </m:r>
        <m:r>
          <m:t>r</m:t>
        </m:r>
        <m:r>
          <m:t>a</m:t>
        </m:r>
        <m:r>
          <m:t>t</m:t>
        </m:r>
        <m:r>
          <m:t>e</m:t>
        </m:r>
        <m:r>
          <m:rPr>
            <m:sty m:val="p"/>
          </m:rPr>
          <m:t>*</m:t>
        </m:r>
        <m:r>
          <m:rPr>
            <m:sty m:val="p"/>
          </m:rPr>
          <m:t>*</m:t>
        </m:r>
        <m:r>
          <m:rPr>
            <m:sty m:val="p"/>
          </m:rPr>
          <m:t>,</m:t>
        </m:r>
        <m:r>
          <m:t>w</m:t>
        </m:r>
        <m:r>
          <m:t>h</m:t>
        </m:r>
        <m:r>
          <m:t>i</m:t>
        </m:r>
        <m:r>
          <m:t>l</m:t>
        </m:r>
        <m:r>
          <m:t>e</m:t>
        </m:r>
        <m:r>
          <m:t>T</m:t>
        </m:r>
        <m:r>
          <m:t>r</m:t>
        </m:r>
        <m:r>
          <m:t>a</m:t>
        </m:r>
        <m:r>
          <m:t>i</m:t>
        </m:r>
        <m:r>
          <m:t>n</m:t>
        </m:r>
        <m:r>
          <m:t>i</m:t>
        </m:r>
        <m:r>
          <m:t>u</m:t>
        </m:r>
        <m:r>
          <m:t>m</m:t>
        </m:r>
        <m:r>
          <m:t>c</m:t>
        </m:r>
        <m:r>
          <m:t>o</m:t>
        </m:r>
        <m:r>
          <m:t>m</m:t>
        </m:r>
        <m:r>
          <m:t>m</m:t>
        </m:r>
        <m:r>
          <m:t>i</m:t>
        </m:r>
        <m:r>
          <m:t>t</m:t>
        </m:r>
        <m:r>
          <m:t>m</m:t>
        </m:r>
        <m:r>
          <m:t>e</m:t>
        </m:r>
        <m:r>
          <m:t>n</m:t>
        </m:r>
        <m:r>
          <m:t>t</m:t>
        </m:r>
        <m:r>
          <m:t>s</m:t>
        </m:r>
        <m:r>
          <m:t>e</m:t>
        </m:r>
        <m:r>
          <m:t>x</m:t>
        </m:r>
        <m:r>
          <m:t>c</m:t>
        </m:r>
        <m:r>
          <m:t>e</m:t>
        </m:r>
        <m:r>
          <m:t>e</m:t>
        </m:r>
        <m:r>
          <m:t>d</m:t>
        </m:r>
        <m:r>
          <m:t>e</m:t>
        </m:r>
        <m:r>
          <m:t>d</m:t>
        </m:r>
        <m:r>
          <m:rPr>
            <m:sty m:val="p"/>
          </m:rPr>
          <m:t>*</m:t>
        </m:r>
        <m:r>
          <m:rPr>
            <m:sty m:val="p"/>
          </m:rPr>
          <m:t>*</m:t>
        </m:r>
      </m:oMath>
      <w:r>
        <w:rPr>
          <w:b/>
          <w:bCs/>
        </w:rPr>
        <w:t xml:space="preserve">225 billion</w:t>
      </w:r>
      <w:r>
        <w:t xml:space="preserve">. The strategic appeal is clear: Trainium can improve customer price-performance while potentially lowering Amazon’s own infrastructure costs. The issue for investors is timing—when commitments turn into recognized revenue, and how much incremental spending is required before that occurs.</w:t>
      </w:r>
    </w:p>
    <w:p>
      <w:pPr>
        <w:pStyle w:val="FirstParagraph"/>
      </w:pPr>
      <w:r>
        <w:t xml:space="preserve">Recent announcements around additional AI-compute commitments reinforce demand visibility, but also increase the need for management to demonstrate that capacity is being deployed against credible, economically attractive customer demand rather than simply matching industry spending levels.</w:t>
      </w:r>
    </w:p>
    <w:bookmarkEnd w:id="11"/>
    <w:bookmarkStart w:id="12" w:name="Xe4cbb8ad1b8a11bde0b0ea98f64452f3223baa1"/>
    <w:p>
      <w:pPr>
        <w:pStyle w:val="Heading3"/>
      </w:pPr>
      <w:r>
        <w:t xml:space="preserve">3. Operating income: guide midpoint implies margin compression from Q1</w:t>
      </w:r>
    </w:p>
    <w:p>
      <w:pPr>
        <w:pStyle w:val="FirstParagraph"/>
      </w:pPr>
      <w:r>
        <w:t xml:space="preserve">The Q2 operating-income midpoint of</w:t>
      </w:r>
      <w:r>
        <w:t xml:space="preserve"> </w:t>
      </w:r>
      <m:oMath>
        <m:r>
          <m:t>22.0</m:t>
        </m:r>
        <m:r>
          <m:t>b</m:t>
        </m:r>
        <m:r>
          <m:t>i</m:t>
        </m:r>
        <m:r>
          <m:t>l</m:t>
        </m:r>
        <m:r>
          <m:t>l</m:t>
        </m:r>
        <m:r>
          <m:t>i</m:t>
        </m:r>
        <m:r>
          <m:t>o</m:t>
        </m:r>
        <m:r>
          <m:t>n</m:t>
        </m:r>
        <m:r>
          <m:rPr>
            <m:sty m:val="p"/>
          </m:rPr>
          <m:t>*</m:t>
        </m:r>
        <m:r>
          <m:rPr>
            <m:sty m:val="p"/>
          </m:rPr>
          <m:t>*</m:t>
        </m:r>
        <m:r>
          <m:t>r</m:t>
        </m:r>
        <m:r>
          <m:t>e</m:t>
        </m:r>
        <m:r>
          <m:t>p</m:t>
        </m:r>
        <m:r>
          <m:t>r</m:t>
        </m:r>
        <m:r>
          <m:t>e</m:t>
        </m:r>
        <m:r>
          <m:t>s</m:t>
        </m:r>
        <m:r>
          <m:t>e</m:t>
        </m:r>
        <m:r>
          <m:t>n</m:t>
        </m:r>
        <m:r>
          <m:t>t</m:t>
        </m:r>
        <m:r>
          <m:t>s</m:t>
        </m:r>
        <m:r>
          <m:t>h</m:t>
        </m:r>
        <m:r>
          <m:t>e</m:t>
        </m:r>
        <m:r>
          <m:t>a</m:t>
        </m:r>
        <m:r>
          <m:t>l</m:t>
        </m:r>
        <m:r>
          <m:t>t</m:t>
        </m:r>
        <m:r>
          <m:t>h</m:t>
        </m:r>
        <m:r>
          <m:t>y</m:t>
        </m:r>
        <m:r>
          <m:t>g</m:t>
        </m:r>
        <m:r>
          <m:t>r</m:t>
        </m:r>
        <m:r>
          <m:t>o</m:t>
        </m:r>
        <m:r>
          <m:t>w</m:t>
        </m:r>
        <m:r>
          <m:t>t</m:t>
        </m:r>
        <m:r>
          <m:t>h</m:t>
        </m:r>
        <m:r>
          <m:t>v</m:t>
        </m:r>
        <m:r>
          <m:t>e</m:t>
        </m:r>
        <m:r>
          <m:t>r</m:t>
        </m:r>
        <m:r>
          <m:t>s</m:t>
        </m:r>
        <m:r>
          <m:t>u</m:t>
        </m:r>
        <m:r>
          <m:t>s</m:t>
        </m:r>
        <m:r>
          <m:rPr>
            <m:sty m:val="p"/>
          </m:rPr>
          <m:t>*</m:t>
        </m:r>
        <m:r>
          <m:rPr>
            <m:sty m:val="p"/>
          </m:rPr>
          <m:t>*</m:t>
        </m:r>
      </m:oMath>
      <w:r>
        <w:rPr>
          <w:b/>
          <w:bCs/>
        </w:rPr>
        <w:t xml:space="preserve">19.2 billion</w:t>
      </w:r>
      <w:r>
        <w:t xml:space="preserve"> </w:t>
      </w:r>
      <w:r>
        <w:t xml:space="preserve">in Q2 2025, but is below Q1’s</w:t>
      </w:r>
      <w:r>
        <w:t xml:space="preserve"> </w:t>
      </w:r>
      <w:r>
        <w:rPr>
          <w:b/>
          <w:bCs/>
        </w:rPr>
        <w:t xml:space="preserve">$23.9 billion</w:t>
      </w:r>
      <w:r>
        <w:t xml:space="preserve"> </w:t>
      </w:r>
      <w:r>
        <w:t xml:space="preserve">despite higher revenue. That is unsurprising given Amazon’s disclosed cost pressures:</w:t>
      </w:r>
    </w:p>
    <w:p>
      <w:pPr>
        <w:pStyle w:val="Compact"/>
        <w:numPr>
          <w:ilvl w:val="0"/>
          <w:numId w:val="1002"/>
        </w:numPr>
      </w:pPr>
      <w:r>
        <w:t xml:space="preserve">Seasonal step-up in stock-based compensation expense;</w:t>
      </w:r>
    </w:p>
    <w:p>
      <w:pPr>
        <w:pStyle w:val="Compact"/>
        <w:numPr>
          <w:ilvl w:val="0"/>
          <w:numId w:val="1002"/>
        </w:numPr>
      </w:pPr>
      <w:r>
        <w:t xml:space="preserve">Approximately</w:t>
      </w:r>
      <w:r>
        <w:t xml:space="preserve"> </w:t>
      </w:r>
      <w:r>
        <w:rPr>
          <w:b/>
          <w:bCs/>
        </w:rPr>
        <w:t xml:space="preserve">$1 billion</w:t>
      </w:r>
      <w:r>
        <w:t xml:space="preserve"> </w:t>
      </w:r>
      <w:r>
        <w:t xml:space="preserve">of year-over-year Amazon Leo costs in North America;</w:t>
      </w:r>
    </w:p>
    <w:p>
      <w:pPr>
        <w:pStyle w:val="Compact"/>
        <w:numPr>
          <w:ilvl w:val="0"/>
          <w:numId w:val="1002"/>
        </w:numPr>
      </w:pPr>
      <w:r>
        <w:t xml:space="preserve">Higher transportation and fuel costs;</w:t>
      </w:r>
    </w:p>
    <w:p>
      <w:pPr>
        <w:pStyle w:val="Compact"/>
        <w:numPr>
          <w:ilvl w:val="0"/>
          <w:numId w:val="1002"/>
        </w:numPr>
      </w:pPr>
      <w:r>
        <w:t xml:space="preserve">Continued AI and data-center investment.</w:t>
      </w:r>
    </w:p>
    <w:p>
      <w:pPr>
        <w:pStyle w:val="FirstParagraph"/>
      </w:pPr>
      <w:r>
        <w:t xml:space="preserve">The debate is not whether quarterly margins decline sequentially—they likely will—but whether the decline is contained and whether the components are viewed as productive investments.</w:t>
      </w:r>
    </w:p>
    <w:p>
      <w:pPr>
        <w:pStyle w:val="BodyText"/>
      </w:pPr>
      <w:r>
        <w:rPr>
          <w:b/>
          <w:bCs/>
        </w:rPr>
        <w:t xml:space="preserve">North America retail margin</w:t>
      </w:r>
      <w:r>
        <w:t xml:space="preserve"> </w:t>
      </w:r>
      <w:r>
        <w:t xml:space="preserve">deserves special attention. Q1 North America operating margin reached</w:t>
      </w:r>
      <w:r>
        <w:t xml:space="preserve"> </w:t>
      </w:r>
      <w:r>
        <w:rPr>
          <w:b/>
          <w:bCs/>
        </w:rPr>
        <w:t xml:space="preserve">7.9%</w:t>
      </w:r>
      <w:r>
        <w:t xml:space="preserve">, aided by fulfillment-network efficiency, robotics, inventory placement, and strong unit growth. Maintaining a solid retail-margin trajectory while absorbing Prime Day costs, Leo investment, and transportation inflation would support the thesis that Amazon’s retail economics are structurally improving.</w:t>
      </w:r>
    </w:p>
    <w:bookmarkEnd w:id="12"/>
    <w:bookmarkStart w:id="13" w:name="X4b39e90e02b2eb4a8a90e89b469038d4b8f3d2c"/>
    <w:p>
      <w:pPr>
        <w:pStyle w:val="Heading3"/>
      </w:pPr>
      <w:r>
        <w:t xml:space="preserve">4. Advertising: a high-margin offset to retail investment</w:t>
      </w:r>
    </w:p>
    <w:p>
      <w:pPr>
        <w:pStyle w:val="FirstParagraph"/>
      </w:pPr>
      <w:r>
        <w:t xml:space="preserve">Advertising grew</w:t>
      </w:r>
      <w:r>
        <w:t xml:space="preserve"> </w:t>
      </w:r>
      <w:r>
        <w:rPr>
          <w:b/>
          <w:bCs/>
        </w:rPr>
        <w:t xml:space="preserve">24% in Q1 to</w:t>
      </w:r>
      <w:r>
        <w:rPr>
          <w:b/>
          <w:bCs/>
        </w:rPr>
        <w:t xml:space="preserve"> </w:t>
      </w:r>
      <m:oMath>
        <m:r>
          <m:t>17.2</m:t>
        </m:r>
        <m:r>
          <m:t>b</m:t>
        </m:r>
        <m:r>
          <m:t>i</m:t>
        </m:r>
        <m:r>
          <m:t>l</m:t>
        </m:r>
        <m:r>
          <m:t>l</m:t>
        </m:r>
        <m:r>
          <m:t>i</m:t>
        </m:r>
        <m:r>
          <m:t>o</m:t>
        </m:r>
        <m:r>
          <m:t>n</m:t>
        </m:r>
        <m:r>
          <m:rPr>
            <m:sty m:val="p"/>
          </m:rPr>
          <m:t>*</m:t>
        </m:r>
        <m:r>
          <m:rPr>
            <m:sty m:val="p"/>
          </m:rPr>
          <m:t>*</m:t>
        </m:r>
        <m:r>
          <m:rPr>
            <m:sty m:val="p"/>
          </m:rPr>
          <m:t>,</m:t>
        </m:r>
        <m:r>
          <m:t>o</m:t>
        </m:r>
        <m:r>
          <m:t>u</m:t>
        </m:r>
        <m:r>
          <m:t>t</m:t>
        </m:r>
        <m:r>
          <m:t>p</m:t>
        </m:r>
        <m:r>
          <m:t>e</m:t>
        </m:r>
        <m:r>
          <m:t>r</m:t>
        </m:r>
        <m:r>
          <m:t>f</m:t>
        </m:r>
        <m:r>
          <m:t>o</m:t>
        </m:r>
        <m:r>
          <m:t>r</m:t>
        </m:r>
        <m:r>
          <m:t>m</m:t>
        </m:r>
        <m:r>
          <m:t>i</m:t>
        </m:r>
        <m:r>
          <m:t>n</m:t>
        </m:r>
        <m:r>
          <m:t>g</m:t>
        </m:r>
        <m:r>
          <m:t>t</m:t>
        </m:r>
        <m:r>
          <m:t>h</m:t>
        </m:r>
        <m:r>
          <m:t>e</m:t>
        </m:r>
        <m:r>
          <m:t>b</m:t>
        </m:r>
        <m:r>
          <m:t>r</m:t>
        </m:r>
        <m:r>
          <m:t>o</m:t>
        </m:r>
        <m:r>
          <m:t>a</m:t>
        </m:r>
        <m:r>
          <m:t>d</m:t>
        </m:r>
        <m:r>
          <m:t>e</m:t>
        </m:r>
        <m:r>
          <m:t>r</m:t>
        </m:r>
        <m:r>
          <m:t>r</m:t>
        </m:r>
        <m:r>
          <m:t>e</m:t>
        </m:r>
        <m:r>
          <m:t>t</m:t>
        </m:r>
        <m:r>
          <m:t>a</m:t>
        </m:r>
        <m:r>
          <m:t>i</m:t>
        </m:r>
        <m:r>
          <m:t>l</m:t>
        </m:r>
        <m:r>
          <m:t>b</m:t>
        </m:r>
        <m:r>
          <m:t>u</m:t>
        </m:r>
        <m:r>
          <m:t>s</m:t>
        </m:r>
        <m:r>
          <m:t>i</m:t>
        </m:r>
        <m:r>
          <m:t>n</m:t>
        </m:r>
        <m:r>
          <m:t>e</m:t>
        </m:r>
        <m:r>
          <m:t>s</m:t>
        </m:r>
        <m:r>
          <m:t>s</m:t>
        </m:r>
        <m:r>
          <m:t>a</m:t>
        </m:r>
        <m:r>
          <m:t>n</m:t>
        </m:r>
        <m:r>
          <m:t>d</m:t>
        </m:r>
        <m:r>
          <m:t>r</m:t>
        </m:r>
        <m:r>
          <m:t>e</m:t>
        </m:r>
        <m:r>
          <m:t>a</m:t>
        </m:r>
        <m:r>
          <m:t>c</m:t>
        </m:r>
        <m:r>
          <m:t>h</m:t>
        </m:r>
        <m:r>
          <m:t>i</m:t>
        </m:r>
        <m:r>
          <m:t>n</m:t>
        </m:r>
        <m:r>
          <m:t>g</m:t>
        </m:r>
        <m:r>
          <m:t>m</m:t>
        </m:r>
        <m:r>
          <m:t>o</m:t>
        </m:r>
        <m:r>
          <m:t>r</m:t>
        </m:r>
        <m:r>
          <m:t>e</m:t>
        </m:r>
        <m:r>
          <m:t>t</m:t>
        </m:r>
        <m:r>
          <m:t>h</m:t>
        </m:r>
        <m:r>
          <m:t>a</m:t>
        </m:r>
        <m:r>
          <m:t>n</m:t>
        </m:r>
        <m:r>
          <m:rPr>
            <m:sty m:val="p"/>
          </m:rPr>
          <m:t>*</m:t>
        </m:r>
        <m:r>
          <m:rPr>
            <m:sty m:val="p"/>
          </m:rPr>
          <m:t>*</m:t>
        </m:r>
      </m:oMath>
      <w:r>
        <w:rPr>
          <w:b/>
          <w:bCs/>
        </w:rPr>
        <w:t xml:space="preserve">70 billion</w:t>
      </w:r>
      <w:r>
        <w:t xml:space="preserve"> </w:t>
      </w:r>
      <w:r>
        <w:t xml:space="preserve">on a trailing-twelve-month basis. It remains one of Amazon’s most valuable earnings contributors because of its growth, margin profile, and link to its increasingly broad commerce and media ecosystem.</w:t>
      </w:r>
    </w:p>
    <w:p>
      <w:pPr>
        <w:pStyle w:val="BodyText"/>
      </w:pPr>
      <w:r>
        <w:t xml:space="preserve">Items to watch:</w:t>
      </w:r>
    </w:p>
    <w:p>
      <w:pPr>
        <w:pStyle w:val="Compact"/>
        <w:numPr>
          <w:ilvl w:val="0"/>
          <w:numId w:val="1003"/>
        </w:numPr>
      </w:pPr>
      <w:r>
        <w:t xml:space="preserve">Sustained low-20s percentage growth;</w:t>
      </w:r>
    </w:p>
    <w:p>
      <w:pPr>
        <w:pStyle w:val="Compact"/>
        <w:numPr>
          <w:ilvl w:val="0"/>
          <w:numId w:val="1003"/>
        </w:numPr>
      </w:pPr>
      <w:r>
        <w:t xml:space="preserve">Incremental contribution from Prime Video, streaming-TV inventory, and Amazon Audiences;</w:t>
      </w:r>
    </w:p>
    <w:p>
      <w:pPr>
        <w:pStyle w:val="Compact"/>
        <w:numPr>
          <w:ilvl w:val="0"/>
          <w:numId w:val="1003"/>
        </w:numPr>
      </w:pPr>
      <w:r>
        <w:t xml:space="preserve">Early monetization and engagement trends for advertising within Rufus and other AI shopping experiences;</w:t>
      </w:r>
    </w:p>
    <w:p>
      <w:pPr>
        <w:pStyle w:val="Compact"/>
        <w:numPr>
          <w:ilvl w:val="0"/>
          <w:numId w:val="1003"/>
        </w:numPr>
      </w:pPr>
      <w:r>
        <w:t xml:space="preserve">Whether macro uncertainty is causing brand advertisers to become more cautious.</w:t>
      </w:r>
    </w:p>
    <w:p>
      <w:pPr>
        <w:pStyle w:val="FirstParagraph"/>
      </w:pPr>
      <w:r>
        <w:t xml:space="preserve">A resilient ad print would help offset skepticism that agentic commerce could eventually reduce traditional sponsored-product economics. Management’s view is the opposite: more conversational shopping should create more relevant, multi-turn opportunities for sponsored recommendations and prompts.</w:t>
      </w:r>
    </w:p>
    <w:bookmarkEnd w:id="13"/>
    <w:bookmarkEnd w:id="14"/>
    <w:bookmarkStart w:id="15" w:name="X6ff63b81bb7fc35f3f1fdf2d9d8bdd10bb39756"/>
    <w:p>
      <w:pPr>
        <w:pStyle w:val="Heading2"/>
      </w:pPr>
      <w:r>
        <w:t xml:space="preserve">Capex and free cash flow: the issue that may matter more than the quarter</w:t>
      </w:r>
    </w:p>
    <w:p>
      <w:pPr>
        <w:pStyle w:val="FirstParagraph"/>
      </w:pPr>
      <w:r>
        <w:t xml:space="preserve">Amazon’s AI opportunity is real, but the market’s tolerance for open-ended infrastructure spend has declined. The company spent</w:t>
      </w:r>
      <w:r>
        <w:t xml:space="preserve"> </w:t>
      </w:r>
      <m:oMath>
        <m:r>
          <m:t>43.2</m:t>
        </m:r>
        <m:r>
          <m:t>b</m:t>
        </m:r>
        <m:r>
          <m:t>i</m:t>
        </m:r>
        <m:r>
          <m:t>l</m:t>
        </m:r>
        <m:r>
          <m:t>l</m:t>
        </m:r>
        <m:r>
          <m:t>i</m:t>
        </m:r>
        <m:r>
          <m:t>o</m:t>
        </m:r>
        <m:r>
          <m:t>n</m:t>
        </m:r>
        <m:r>
          <m:rPr>
            <m:sty m:val="p"/>
          </m:rPr>
          <m:t>*</m:t>
        </m:r>
        <m:r>
          <m:rPr>
            <m:sty m:val="p"/>
          </m:rPr>
          <m:t>*</m:t>
        </m:r>
        <m:r>
          <m:t>o</m:t>
        </m:r>
        <m:r>
          <m:t>f</m:t>
        </m:r>
        <m:r>
          <m:t>c</m:t>
        </m:r>
        <m:r>
          <m:t>a</m:t>
        </m:r>
        <m:r>
          <m:t>s</m:t>
        </m:r>
        <m:r>
          <m:t>h</m:t>
        </m:r>
        <m:r>
          <m:t>c</m:t>
        </m:r>
        <m:r>
          <m:t>a</m:t>
        </m:r>
        <m:r>
          <m:t>p</m:t>
        </m:r>
        <m:r>
          <m:t>e</m:t>
        </m:r>
        <m:r>
          <m:t>x</m:t>
        </m:r>
        <m:r>
          <m:t>i</m:t>
        </m:r>
        <m:r>
          <m:t>n</m:t>
        </m:r>
        <m:r>
          <m:t>Q</m:t>
        </m:r>
        <m:r>
          <m:t>1</m:t>
        </m:r>
        <m:r>
          <m:rPr>
            <m:sty m:val="p"/>
          </m:rPr>
          <m:t>,</m:t>
        </m:r>
        <m:r>
          <m:t>p</m:t>
        </m:r>
        <m:r>
          <m:t>r</m:t>
        </m:r>
        <m:r>
          <m:t>i</m:t>
        </m:r>
        <m:r>
          <m:t>m</m:t>
        </m:r>
        <m:r>
          <m:t>a</m:t>
        </m:r>
        <m:r>
          <m:t>r</m:t>
        </m:r>
        <m:r>
          <m:t>i</m:t>
        </m:r>
        <m:r>
          <m:t>l</m:t>
        </m:r>
        <m:r>
          <m:t>y</m:t>
        </m:r>
        <m:r>
          <m:t>f</m:t>
        </m:r>
        <m:r>
          <m:t>o</m:t>
        </m:r>
        <m:r>
          <m:t>r</m:t>
        </m:r>
        <m:r>
          <m:t>A</m:t>
        </m:r>
        <m:r>
          <m:t>W</m:t>
        </m:r>
        <m:r>
          <m:t>S</m:t>
        </m:r>
        <m:r>
          <m:t>a</m:t>
        </m:r>
        <m:r>
          <m:t>n</m:t>
        </m:r>
        <m:r>
          <m:t>d</m:t>
        </m:r>
        <m:r>
          <m:t>g</m:t>
        </m:r>
        <m:r>
          <m:t>e</m:t>
        </m:r>
        <m:r>
          <m:t>n</m:t>
        </m:r>
        <m:r>
          <m:t>e</m:t>
        </m:r>
        <m:r>
          <m:t>r</m:t>
        </m:r>
        <m:r>
          <m:t>a</m:t>
        </m:r>
        <m:r>
          <m:t>t</m:t>
        </m:r>
        <m:r>
          <m:t>i</m:t>
        </m:r>
        <m:r>
          <m:t>v</m:t>
        </m:r>
        <m:r>
          <m:t>e</m:t>
        </m:r>
        <m:r>
          <m:t>A</m:t>
        </m:r>
        <m:r>
          <m:t>I</m:t>
        </m:r>
        <m:r>
          <m:rPr>
            <m:sty m:val="p"/>
          </m:rPr>
          <m:t>.</m:t>
        </m:r>
        <m:r>
          <m:t>T</m:t>
        </m:r>
        <m:r>
          <m:t>r</m:t>
        </m:r>
        <m:r>
          <m:t>a</m:t>
        </m:r>
        <m:r>
          <m:t>i</m:t>
        </m:r>
        <m:r>
          <m:t>l</m:t>
        </m:r>
        <m:r>
          <m:t>i</m:t>
        </m:r>
        <m:r>
          <m:t>n</m:t>
        </m:r>
        <m:r>
          <m:t>g</m:t>
        </m:r>
        <m:r>
          <m:rPr>
            <m:sty m:val="p"/>
          </m:rPr>
          <m:t>−</m:t>
        </m:r>
        <m:r>
          <m:t>t</m:t>
        </m:r>
        <m:r>
          <m:t>w</m:t>
        </m:r>
        <m:r>
          <m:t>e</m:t>
        </m:r>
        <m:r>
          <m:t>l</m:t>
        </m:r>
        <m:r>
          <m:t>v</m:t>
        </m:r>
        <m:r>
          <m:t>e</m:t>
        </m:r>
        <m:r>
          <m:rPr>
            <m:sty m:val="p"/>
          </m:rPr>
          <m:t>−</m:t>
        </m:r>
        <m:r>
          <m:t>m</m:t>
        </m:r>
        <m:r>
          <m:t>o</m:t>
        </m:r>
        <m:r>
          <m:t>n</m:t>
        </m:r>
        <m:r>
          <m:t>t</m:t>
        </m:r>
        <m:r>
          <m:t>h</m:t>
        </m:r>
        <m:r>
          <m:t>p</m:t>
        </m:r>
        <m:r>
          <m:t>u</m:t>
        </m:r>
        <m:r>
          <m:t>r</m:t>
        </m:r>
        <m:r>
          <m:t>c</m:t>
        </m:r>
        <m:r>
          <m:t>h</m:t>
        </m:r>
        <m:r>
          <m:t>a</m:t>
        </m:r>
        <m:r>
          <m:t>s</m:t>
        </m:r>
        <m:r>
          <m:t>e</m:t>
        </m:r>
        <m:r>
          <m:t>s</m:t>
        </m:r>
        <m:r>
          <m:t>o</m:t>
        </m:r>
        <m:r>
          <m:t>f</m:t>
        </m:r>
        <m:r>
          <m:t>p</m:t>
        </m:r>
        <m:r>
          <m:t>r</m:t>
        </m:r>
        <m:r>
          <m:t>o</m:t>
        </m:r>
        <m:r>
          <m:t>p</m:t>
        </m:r>
        <m:r>
          <m:t>e</m:t>
        </m:r>
        <m:r>
          <m:t>r</m:t>
        </m:r>
        <m:r>
          <m:t>t</m:t>
        </m:r>
        <m:r>
          <m:t>y</m:t>
        </m:r>
        <m:r>
          <m:t>a</m:t>
        </m:r>
        <m:r>
          <m:t>n</m:t>
        </m:r>
        <m:r>
          <m:t>d</m:t>
        </m:r>
        <m:r>
          <m:t>e</m:t>
        </m:r>
        <m:r>
          <m:t>q</m:t>
        </m:r>
        <m:r>
          <m:t>u</m:t>
        </m:r>
        <m:r>
          <m:t>i</m:t>
        </m:r>
        <m:r>
          <m:t>p</m:t>
        </m:r>
        <m:r>
          <m:t>m</m:t>
        </m:r>
        <m:r>
          <m:t>e</m:t>
        </m:r>
        <m:r>
          <m:t>n</m:t>
        </m:r>
        <m:r>
          <m:t>t</m:t>
        </m:r>
        <m:r>
          <m:t>w</m:t>
        </m:r>
        <m:r>
          <m:t>e</m:t>
        </m:r>
        <m:r>
          <m:t>r</m:t>
        </m:r>
        <m:r>
          <m:t>e</m:t>
        </m:r>
        <m:r>
          <m:rPr>
            <m:sty m:val="p"/>
          </m:rPr>
          <m:t>*</m:t>
        </m:r>
        <m:r>
          <m:rPr>
            <m:sty m:val="p"/>
          </m:rPr>
          <m:t>*</m:t>
        </m:r>
      </m:oMath>
      <w:r>
        <w:rPr>
          <w:b/>
          <w:bCs/>
        </w:rPr>
        <w:t xml:space="preserve">147.3 billion</w:t>
      </w:r>
      <w:r>
        <w:t xml:space="preserve">, up</w:t>
      </w:r>
      <w:r>
        <w:t xml:space="preserve"> </w:t>
      </w:r>
      <w:r>
        <w:rPr>
          <w:b/>
          <w:bCs/>
        </w:rPr>
        <w:t xml:space="preserve">67%</w:t>
      </w:r>
      <w:r>
        <w:t xml:space="preserve"> </w:t>
      </w:r>
      <w:r>
        <w:t xml:space="preserve">year over year, which pushed trailing free cash flow down to</w:t>
      </w:r>
      <w:r>
        <w:t xml:space="preserve"> </w:t>
      </w:r>
      <w:r>
        <w:rPr>
          <w:b/>
          <w:bCs/>
        </w:rPr>
        <w:t xml:space="preserve">$1.2 billion</w:t>
      </w:r>
      <w:r>
        <w:t xml:space="preserve">.</w:t>
      </w:r>
    </w:p>
    <w:p>
      <w:pPr>
        <w:pStyle w:val="BodyText"/>
      </w:pPr>
      <w:r>
        <w:t xml:space="preserve">The Q2 print should be judged less on a near-term free-cash-flow number—which is likely to remain pressured—and more on management’s answers to these questions:</w:t>
      </w:r>
    </w:p>
    <w:p>
      <w:pPr>
        <w:pStyle w:val="Compact"/>
        <w:numPr>
          <w:ilvl w:val="0"/>
          <w:numId w:val="1004"/>
        </w:numPr>
      </w:pPr>
      <w:r>
        <w:rPr>
          <w:b/>
          <w:bCs/>
        </w:rPr>
        <w:t xml:space="preserve">Does Amazon reaffirm, raise, or otherwise frame its 2026 capex outlook?</w:t>
      </w:r>
    </w:p>
    <w:p>
      <w:pPr>
        <w:pStyle w:val="Compact"/>
        <w:numPr>
          <w:ilvl w:val="0"/>
          <w:numId w:val="1004"/>
        </w:numPr>
      </w:pPr>
      <w:r>
        <w:rPr>
          <w:b/>
          <w:bCs/>
        </w:rPr>
        <w:t xml:space="preserve">What portion of data-center capacity is already supported by contractual commitments?</w:t>
      </w:r>
    </w:p>
    <w:p>
      <w:pPr>
        <w:pStyle w:val="Compact"/>
        <w:numPr>
          <w:ilvl w:val="0"/>
          <w:numId w:val="1004"/>
        </w:numPr>
      </w:pPr>
      <w:r>
        <w:rPr>
          <w:b/>
          <w:bCs/>
        </w:rPr>
        <w:t xml:space="preserve">How quickly do new AI assets move from construction and installation to billable utilization?</w:t>
      </w:r>
    </w:p>
    <w:p>
      <w:pPr>
        <w:pStyle w:val="Compact"/>
        <w:numPr>
          <w:ilvl w:val="0"/>
          <w:numId w:val="1004"/>
        </w:numPr>
      </w:pPr>
      <w:r>
        <w:rPr>
          <w:b/>
          <w:bCs/>
        </w:rPr>
        <w:t xml:space="preserve">Are higher component costs—especially memory and storage—creating further cost pressure?</w:t>
      </w:r>
    </w:p>
    <w:p>
      <w:pPr>
        <w:pStyle w:val="Compact"/>
        <w:numPr>
          <w:ilvl w:val="0"/>
          <w:numId w:val="1004"/>
        </w:numPr>
      </w:pPr>
      <w:r>
        <w:rPr>
          <w:b/>
          <w:bCs/>
        </w:rPr>
        <w:t xml:space="preserve">What is the expected path from high capex to revenue, operating profit, and eventually free cash flow?</w:t>
      </w:r>
    </w:p>
    <w:p>
      <w:pPr>
        <w:pStyle w:val="FirstParagraph"/>
      </w:pPr>
      <w:r>
        <w:t xml:space="preserve">Management has emphasized that AWS infrastructure typically requires spending</w:t>
      </w:r>
      <w:r>
        <w:t xml:space="preserve"> </w:t>
      </w:r>
      <w:r>
        <w:rPr>
          <w:b/>
          <w:bCs/>
        </w:rPr>
        <w:t xml:space="preserve">6–24 months</w:t>
      </w:r>
      <w:r>
        <w:t xml:space="preserve"> </w:t>
      </w:r>
      <w:r>
        <w:t xml:space="preserve">before assets begin generating revenue, while data centers and servers have multi-year useful lives. That logic is plausible, but investors now want evidence of utilization, monetization, and return on incremental capital—not simply an assertion of long-term opportunity.</w:t>
      </w:r>
    </w:p>
    <w:bookmarkEnd w:id="15"/>
    <w:bookmarkStart w:id="16" w:name="X06f857e53dad2e99e2c1e0893609fb5c00227c2"/>
    <w:p>
      <w:pPr>
        <w:pStyle w:val="Heading2"/>
      </w:pPr>
      <w:r>
        <w:t xml:space="preserve">Q3 guidance may be more important than Q2 results</w:t>
      </w:r>
    </w:p>
    <w:p>
      <w:pPr>
        <w:pStyle w:val="FirstParagraph"/>
      </w:pPr>
      <w:r>
        <w:t xml:space="preserve">The Q3 outlook will be the key test of whether Q2 strength was event timing or durable momentum.</w:t>
      </w:r>
    </w:p>
    <w:p>
      <w:pPr>
        <w:pStyle w:val="BodyText"/>
      </w:pPr>
      <w:r>
        <w:t xml:space="preserve">A favorable setup would include:</w:t>
      </w:r>
    </w:p>
    <w:p>
      <w:pPr>
        <w:pStyle w:val="Compact"/>
        <w:numPr>
          <w:ilvl w:val="0"/>
          <w:numId w:val="1005"/>
        </w:numPr>
      </w:pPr>
      <w:r>
        <w:t xml:space="preserve">AWS growth holding near Q2 levels or accelerating;</w:t>
      </w:r>
    </w:p>
    <w:p>
      <w:pPr>
        <w:pStyle w:val="Compact"/>
        <w:numPr>
          <w:ilvl w:val="0"/>
          <w:numId w:val="1005"/>
        </w:numPr>
      </w:pPr>
      <w:r>
        <w:t xml:space="preserve">Continued healthy retail-unit and third-party seller growth;</w:t>
      </w:r>
    </w:p>
    <w:p>
      <w:pPr>
        <w:pStyle w:val="Compact"/>
        <w:numPr>
          <w:ilvl w:val="0"/>
          <w:numId w:val="1005"/>
        </w:numPr>
      </w:pPr>
      <w:r>
        <w:t xml:space="preserve">Advertising remaining above 20% growth;</w:t>
      </w:r>
    </w:p>
    <w:p>
      <w:pPr>
        <w:pStyle w:val="Compact"/>
        <w:numPr>
          <w:ilvl w:val="0"/>
          <w:numId w:val="1005"/>
        </w:numPr>
      </w:pPr>
      <w:r>
        <w:t xml:space="preserve">North America margins holding up despite investment;</w:t>
      </w:r>
    </w:p>
    <w:p>
      <w:pPr>
        <w:pStyle w:val="Compact"/>
        <w:numPr>
          <w:ilvl w:val="0"/>
          <w:numId w:val="1005"/>
        </w:numPr>
      </w:pPr>
      <w:r>
        <w:t xml:space="preserve">A capex framework that signals spending is tied to committed demand and future revenue.</w:t>
      </w:r>
    </w:p>
    <w:p>
      <w:pPr>
        <w:pStyle w:val="FirstParagraph"/>
      </w:pPr>
      <w:r>
        <w:t xml:space="preserve">A weaker setup would be:</w:t>
      </w:r>
    </w:p>
    <w:p>
      <w:pPr>
        <w:pStyle w:val="Compact"/>
        <w:numPr>
          <w:ilvl w:val="0"/>
          <w:numId w:val="1006"/>
        </w:numPr>
      </w:pPr>
      <w:r>
        <w:t xml:space="preserve">AWS growth slowing materially;</w:t>
      </w:r>
    </w:p>
    <w:p>
      <w:pPr>
        <w:pStyle w:val="Compact"/>
        <w:numPr>
          <w:ilvl w:val="0"/>
          <w:numId w:val="1006"/>
        </w:numPr>
      </w:pPr>
      <w:r>
        <w:t xml:space="preserve">Q3 revenue guidance implying a post-Prime-Day deceleration;</w:t>
      </w:r>
    </w:p>
    <w:p>
      <w:pPr>
        <w:pStyle w:val="Compact"/>
        <w:numPr>
          <w:ilvl w:val="0"/>
          <w:numId w:val="1006"/>
        </w:numPr>
      </w:pPr>
      <w:r>
        <w:t xml:space="preserve">Operating-income guidance pressured by rising infrastructure, Leo, and logistics costs;</w:t>
      </w:r>
    </w:p>
    <w:p>
      <w:pPr>
        <w:pStyle w:val="Compact"/>
        <w:numPr>
          <w:ilvl w:val="0"/>
          <w:numId w:val="1006"/>
        </w:numPr>
      </w:pPr>
      <w:r>
        <w:t xml:space="preserve">A larger-than-expected capex requirement without more detail on backlog conversion, utilization, or returns.</w:t>
      </w:r>
    </w:p>
    <w:bookmarkEnd w:id="16"/>
    <w:bookmarkStart w:id="20" w:name="bull-base-and-bear-framing"/>
    <w:p>
      <w:pPr>
        <w:pStyle w:val="Heading2"/>
      </w:pPr>
      <w:r>
        <w:t xml:space="preserve">Bull, base, and bear framing</w:t>
      </w:r>
    </w:p>
    <w:bookmarkStart w:id="17" w:name="bull-case"/>
    <w:p>
      <w:pPr>
        <w:pStyle w:val="Heading3"/>
      </w:pPr>
      <w:r>
        <w:t xml:space="preserve">Bull case</w:t>
      </w:r>
    </w:p>
    <w:p>
      <w:pPr>
        <w:pStyle w:val="FirstParagraph"/>
      </w:pPr>
      <w:r>
        <w:t xml:space="preserve">AWS remains near or above 28% growth, AI demand broadens into enterprise workloads, retail and advertising execute strongly around Prime Day, and operating income lands near the high end of guidance. Management gives confidence that elevated capex is substantially committed, capacity-constrained, and capable of producing attractive returns. In that scenario, investors could view the recent stock weakness as an opportunity to own one of the strongest large-scale AI monetization stories.</w:t>
      </w:r>
    </w:p>
    <w:bookmarkEnd w:id="17"/>
    <w:bookmarkStart w:id="18" w:name="base-case"/>
    <w:p>
      <w:pPr>
        <w:pStyle w:val="Heading3"/>
      </w:pPr>
      <w:r>
        <w:t xml:space="preserve">Base case</w:t>
      </w:r>
    </w:p>
    <w:p>
      <w:pPr>
        <w:pStyle w:val="FirstParagraph"/>
      </w:pPr>
      <w:r>
        <w:t xml:space="preserve">Amazon meets or modestly exceeds revenue guidance, AWS remains strong but does not materially accelerate, and operating income lands around the midpoint. Capex and free cash flow remain the central debate. This outcome likely preserves the long-term thesis but may not be enough to trigger a major rerating without a strong Q3 outlook.</w:t>
      </w:r>
    </w:p>
    <w:bookmarkEnd w:id="18"/>
    <w:bookmarkStart w:id="19" w:name="bear-case"/>
    <w:p>
      <w:pPr>
        <w:pStyle w:val="Heading3"/>
      </w:pPr>
      <w:r>
        <w:t xml:space="preserve">Bear case</w:t>
      </w:r>
    </w:p>
    <w:p>
      <w:pPr>
        <w:pStyle w:val="FirstParagraph"/>
      </w:pPr>
      <w:r>
        <w:t xml:space="preserve">AWS growth decelerates, retail growth proves Prime-Day-dependent, and operating income is pressured by logistics, Leo, compensation, and infrastructure costs. A capex increase—or a more cautious discussion of free cash flow and returns—would amplify concerns that Amazon is spending ahead of monetization.</w:t>
      </w:r>
    </w:p>
    <w:bookmarkEnd w:id="19"/>
    <w:bookmarkEnd w:id="20"/>
    <w:bookmarkStart w:id="21" w:name="bottom-line"/>
    <w:p>
      <w:pPr>
        <w:pStyle w:val="Heading2"/>
      </w:pPr>
      <w:r>
        <w:t xml:space="preserve">Bottom line</w:t>
      </w:r>
    </w:p>
    <w:p>
      <w:pPr>
        <w:pStyle w:val="FirstParagraph"/>
      </w:pPr>
      <w:r>
        <w:t xml:space="preserve">Amazon is not entering Q2 with a demand problem. It is entering with an</w:t>
      </w:r>
      <w:r>
        <w:t xml:space="preserve"> </w:t>
      </w:r>
      <w:r>
        <w:rPr>
          <w:b/>
          <w:bCs/>
        </w:rPr>
        <w:t xml:space="preserve">expectations and capital-allocation problem</w:t>
      </w:r>
      <w:r>
        <w:t xml:space="preserve">: investors broadly accept that AWS, advertising, and AI infrastructure are growing, but want proof that the company can convert unprecedented investment into durable revenue growth, margins, and eventual free cash flow.</w:t>
      </w:r>
    </w:p>
    <w:p>
      <w:pPr>
        <w:pStyle w:val="BodyText"/>
      </w:pPr>
      <w:r>
        <w:t xml:space="preserve">For this report,</w:t>
      </w:r>
      <w:r>
        <w:t xml:space="preserve"> </w:t>
      </w:r>
      <w:r>
        <w:rPr>
          <w:b/>
          <w:bCs/>
        </w:rPr>
        <w:t xml:space="preserve">AWS growth and Q3 guidance are the upside levers; capex, free-cash-flow pressure, and the credibility of Amazon’s return-on-investment narrative are the risks.</w:t>
      </w:r>
      <w:r>
        <w:t xml:space="preserve"> </w:t>
      </w:r>
      <w:r>
        <w:t xml:space="preserve">A clean beat with durable AWS momentum and a disciplined capex message would be the most constructive outcome.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2026-07-29T19:26:00Z</dcterms:created>
  <dcterms:modified xsi:type="dcterms:W3CDTF">2026-07-29T19:26:00Z</dcterms:modified>
</cp:coreProperties>
</file>

<file path=docProps/custom.xml><?xml version="1.0" encoding="utf-8"?>
<Properties xmlns="http://schemas.openxmlformats.org/officeDocument/2006/custom-properties" xmlns:vt="http://schemas.openxmlformats.org/officeDocument/2006/docPropsVTypes"/>
</file>