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Amazon.com, Inc. (AMZN)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Amazon.com, Inc.</w:t>
            </w:r>
          </w:p>
        </w:tc>
      </w:tr>
      <w:tr>
        <w:tc>
          <w:tcPr>
            <w:tcW w:type="dxa" w:w="4320"/>
          </w:tcPr>
          <w:p>
            <w:r>
              <w:rPr>
                <w:rFonts w:ascii="Calibri" w:hAnsi="Calibri"/>
                <w:b/>
                <w:sz w:val="22"/>
              </w:rPr>
              <w:t>Ticker</w:t>
            </w:r>
          </w:p>
        </w:tc>
        <w:tc>
          <w:tcPr>
            <w:tcW w:type="dxa" w:w="4320"/>
          </w:tcPr>
          <w:p>
            <w:r>
              <w:rPr>
                <w:rFonts w:ascii="Calibri" w:hAnsi="Calibri"/>
                <w:sz w:val="22"/>
              </w:rPr>
              <w:t>AMZN (NASDAQ)</w:t>
            </w:r>
          </w:p>
        </w:tc>
      </w:tr>
      <w:tr>
        <w:tc>
          <w:tcPr>
            <w:tcW w:type="dxa" w:w="4320"/>
          </w:tcPr>
          <w:p>
            <w:r>
              <w:rPr>
                <w:rFonts w:ascii="Calibri" w:hAnsi="Calibri"/>
                <w:b/>
                <w:sz w:val="22"/>
              </w:rPr>
              <w:t>Upcoming Earnings Date</w:t>
            </w:r>
          </w:p>
        </w:tc>
        <w:tc>
          <w:tcPr>
            <w:tcW w:type="dxa" w:w="4320"/>
          </w:tcPr>
          <w:p>
            <w:r>
              <w:rPr>
                <w:rFonts w:ascii="Calibri" w:hAnsi="Calibri"/>
                <w:sz w:val="22"/>
              </w:rPr>
              <w:t>July 31,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(April – June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but not easy — </w:t>
      </w:r>
      <w:r>
        <w:rPr>
          <w:rFonts w:ascii="Calibri" w:hAnsi="Calibri"/>
          <w:b/>
          <w:color w:val="525866"/>
          <w:sz w:val="22"/>
        </w:rPr>
        <w:t>AWS acceleration is the single biggest swing factor</w:t>
      </w:r>
      <w:r>
        <w:rPr>
          <w:rFonts w:ascii="Calibri" w:hAnsi="Calibri"/>
          <w:color w:val="525866"/>
          <w:sz w:val="22"/>
        </w:rPr>
        <w:t>, and consensus at ~31% growth is already a high bar after Q1’s 28% print; a beat here drives the stock, a miss does not get forgiven at current multiples.</w:t>
      </w:r>
    </w:p>
    <w:p>
      <w:r>
        <w:rPr>
          <w:rFonts w:ascii="Calibri" w:hAnsi="Calibri"/>
          <w:color w:val="525866"/>
          <w:sz w:val="22"/>
        </w:rPr>
        <w:t xml:space="preserve">Heading into Q2 2026, Amazon faces a consensus bar that is demanding on AWS (31% growth expected, up from 28% in Q1) but more forgiving on the retail side, where North America online revenue of ~$113.8B and advertising of ~$19.4B are well-anchored. Management’s tone on the Q1 call was unambiguously bullish — record operating margins, AWS backlog at $364B, Trainium chips nearly fully subscribed — and guidance of $194–$199B in revenue and $20–$24B in operating income was above Street on the top line but below on operating income, reflecting ~$1B in Amazon Leo launch costs, fuel inflation, and a seasonal SBC step-up. Estimates have been largely stable since the Q1 print (revenue consensus barely moved; operating EPS revised up from $2.35 to $2.73 post-earnings), suggesting the Street has absorbed the guidance range without panic. </w:t>
      </w:r>
      <w:r>
        <w:rPr>
          <w:rFonts w:ascii="Calibri" w:hAnsi="Calibri"/>
          <w:b/>
          <w:color w:val="525866"/>
          <w:sz w:val="22"/>
        </w:rPr>
        <w:t>The stock has given back roughly 14% since the April 29 earnings close</w:t>
      </w:r>
      <w:r>
        <w:rPr>
          <w:rFonts w:ascii="Calibri" w:hAnsi="Calibri"/>
          <w:color w:val="525866"/>
          <w:sz w:val="22"/>
        </w:rPr>
        <w:t xml:space="preserve"> (from ~$263 to ~$227), underperforming both XLY and the S&amp;P 500, as capex concerns and a softer macro backdrop weighed on sentiment — meaning the stock is no longer pricing in a beat, which is a better setup than three months ago. The key wildcard is </w:t>
      </w:r>
      <w:r>
        <w:rPr>
          <w:rFonts w:ascii="Calibri" w:hAnsi="Calibri"/>
          <w:b/>
          <w:color w:val="525866"/>
          <w:sz w:val="22"/>
        </w:rPr>
        <w:t>AWS margin</w:t>
      </w:r>
      <w:r>
        <w:rPr>
          <w:rFonts w:ascii="Calibri" w:hAnsi="Calibri"/>
          <w:color w:val="525866"/>
          <w:sz w:val="22"/>
        </w:rPr>
        <w:t>: consensus sits at 33.8%, down from 37.7% expected last October, and any upside surprise there — driven by Trainium efficiency gains or better-than-feared memory costs — could be the catalyst that re-rates the stock toward the $313 consensus price target.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high bar on AWS (31% growth)</w:t>
      </w:r>
      <w:r>
        <w:rPr>
          <w:rFonts w:ascii="Calibri" w:hAnsi="Calibri"/>
          <w:color w:val="525866"/>
          <w:sz w:val="22"/>
        </w:rPr>
        <w:t xml:space="preserve"> and a moderate bar on operating income ($23.7B midpoint vs. $20–$24B guidance range); </w:t>
      </w:r>
      <w:r>
        <w:rPr>
          <w:rFonts w:ascii="Calibri" w:hAnsi="Calibri"/>
          <w:b/>
          <w:color w:val="525866"/>
          <w:sz w:val="22"/>
        </w:rPr>
        <w:t>advertising growth (~23% YoY) is the secondary swing factor</w:t>
      </w:r>
      <w:r>
        <w:rPr>
          <w:rFonts w:ascii="Calibri" w:hAnsi="Calibri"/>
          <w:color w:val="525866"/>
          <w:sz w:val="22"/>
        </w:rPr>
        <w:t xml:space="preserve"> given its near-90% gross margin contribution to profitability.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(Q1 2026)</w:t>
            </w:r>
          </w:p>
        </w:tc>
        <w:tc>
          <w:tcPr>
            <w:tcW w:type="dxa" w:w="1234"/>
            <w:shd w:val="clear" w:color="auto" w:fill="3B4259"/>
          </w:tcPr>
          <w:p>
            <w:r>
              <w:rPr>
                <w:rFonts w:ascii="Calibri" w:hAnsi="Calibri"/>
                <w:b/>
                <w:color w:val="FFFFFF"/>
                <w:sz w:val="22"/>
              </w:rPr>
              <w:t>Prior Year (Q2 2025)</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Net Sales ($B)</w:t>
            </w:r>
          </w:p>
        </w:tc>
        <w:tc>
          <w:tcPr>
            <w:tcW w:type="dxa" w:w="1234"/>
          </w:tcPr>
          <w:p>
            <w:r>
              <w:rPr>
                <w:rFonts w:ascii="Calibri" w:hAnsi="Calibri"/>
                <w:sz w:val="22"/>
              </w:rPr>
              <w:t>$181.5B</w:t>
            </w:r>
          </w:p>
        </w:tc>
        <w:tc>
          <w:tcPr>
            <w:tcW w:type="dxa" w:w="1234"/>
          </w:tcPr>
          <w:p>
            <w:r>
              <w:rPr>
                <w:rFonts w:ascii="Calibri" w:hAnsi="Calibri"/>
                <w:sz w:val="22"/>
              </w:rPr>
              <w:t>$167.7B</w:t>
            </w:r>
          </w:p>
        </w:tc>
        <w:tc>
          <w:tcPr>
            <w:tcW w:type="dxa" w:w="1234"/>
          </w:tcPr>
          <w:p>
            <w:r>
              <w:rPr>
                <w:rFonts w:ascii="Calibri" w:hAnsi="Calibri"/>
                <w:sz w:val="22"/>
              </w:rPr>
              <w:t>$196.7B</w:t>
            </w:r>
          </w:p>
        </w:tc>
        <w:tc>
          <w:tcPr>
            <w:tcW w:type="dxa" w:w="1234"/>
          </w:tcPr>
          <w:p>
            <w:r>
              <w:rPr>
                <w:rFonts w:ascii="Calibri" w:hAnsi="Calibri"/>
                <w:sz w:val="22"/>
              </w:rPr>
              <w:t>+17.3%</w:t>
            </w:r>
          </w:p>
        </w:tc>
        <w:tc>
          <w:tcPr>
            <w:tcW w:type="dxa" w:w="1234"/>
          </w:tcPr>
          <w:p>
            <w:r>
              <w:rPr>
                <w:rFonts w:ascii="Calibri" w:hAnsi="Calibri"/>
                <w:sz w:val="22"/>
              </w:rPr>
              <w:t>$194–$199B</w:t>
            </w:r>
          </w:p>
        </w:tc>
        <w:tc>
          <w:tcPr>
            <w:tcW w:type="dxa" w:w="1234"/>
          </w:tcPr>
          <w:p>
            <w:r>
              <w:rPr>
                <w:rFonts w:ascii="Calibri" w:hAnsi="Calibri"/>
                <w:sz w:val="22"/>
              </w:rPr>
              <w:t>+0.4% vs. midpoint</w:t>
            </w:r>
          </w:p>
        </w:tc>
      </w:tr>
      <w:tr>
        <w:tc>
          <w:tcPr>
            <w:tcW w:type="dxa" w:w="1234"/>
          </w:tcPr>
          <w:p>
            <w:r>
              <w:rPr>
                <w:rFonts w:ascii="Calibri" w:hAnsi="Calibri"/>
                <w:sz w:val="22"/>
              </w:rPr>
              <w:t>AWS Revenue ($B)</w:t>
            </w:r>
          </w:p>
        </w:tc>
        <w:tc>
          <w:tcPr>
            <w:tcW w:type="dxa" w:w="1234"/>
          </w:tcPr>
          <w:p>
            <w:r>
              <w:rPr>
                <w:rFonts w:ascii="Calibri" w:hAnsi="Calibri"/>
                <w:sz w:val="22"/>
              </w:rPr>
              <w:t>$37.6B</w:t>
            </w:r>
          </w:p>
        </w:tc>
        <w:tc>
          <w:tcPr>
            <w:tcW w:type="dxa" w:w="1234"/>
          </w:tcPr>
          <w:p>
            <w:r>
              <w:rPr>
                <w:rFonts w:ascii="Calibri" w:hAnsi="Calibri"/>
                <w:sz w:val="22"/>
              </w:rPr>
              <w:t>$30.9B</w:t>
            </w:r>
          </w:p>
        </w:tc>
        <w:tc>
          <w:tcPr>
            <w:tcW w:type="dxa" w:w="1234"/>
          </w:tcPr>
          <w:p>
            <w:r>
              <w:rPr>
                <w:rFonts w:ascii="Calibri" w:hAnsi="Calibri"/>
                <w:sz w:val="22"/>
              </w:rPr>
              <w:t>$40.5B</w:t>
            </w:r>
          </w:p>
        </w:tc>
        <w:tc>
          <w:tcPr>
            <w:tcW w:type="dxa" w:w="1234"/>
          </w:tcPr>
          <w:p>
            <w:r>
              <w:rPr>
                <w:rFonts w:ascii="Calibri" w:hAnsi="Calibri"/>
                <w:sz w:val="22"/>
              </w:rPr>
              <w:t>+31.1%</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Advertising Revenue ($B)</w:t>
            </w:r>
          </w:p>
        </w:tc>
        <w:tc>
          <w:tcPr>
            <w:tcW w:type="dxa" w:w="1234"/>
          </w:tcPr>
          <w:p>
            <w:r>
              <w:rPr>
                <w:rFonts w:ascii="Calibri" w:hAnsi="Calibri"/>
                <w:sz w:val="22"/>
              </w:rPr>
              <w:t>$17.2B</w:t>
            </w:r>
          </w:p>
        </w:tc>
        <w:tc>
          <w:tcPr>
            <w:tcW w:type="dxa" w:w="1234"/>
          </w:tcPr>
          <w:p>
            <w:r>
              <w:rPr>
                <w:rFonts w:ascii="Calibri" w:hAnsi="Calibri"/>
                <w:sz w:val="22"/>
              </w:rPr>
              <w:t>$15.7B</w:t>
            </w:r>
          </w:p>
        </w:tc>
        <w:tc>
          <w:tcPr>
            <w:tcW w:type="dxa" w:w="1234"/>
          </w:tcPr>
          <w:p>
            <w:r>
              <w:rPr>
                <w:rFonts w:ascii="Calibri" w:hAnsi="Calibri"/>
                <w:sz w:val="22"/>
              </w:rPr>
              <w:t>$19.4B</w:t>
            </w:r>
          </w:p>
        </w:tc>
        <w:tc>
          <w:tcPr>
            <w:tcW w:type="dxa" w:w="1234"/>
          </w:tcPr>
          <w:p>
            <w:r>
              <w:rPr>
                <w:rFonts w:ascii="Calibri" w:hAnsi="Calibri"/>
                <w:sz w:val="22"/>
              </w:rPr>
              <w:t>+23.5%</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Total Operating Income ($B)</w:t>
            </w:r>
          </w:p>
        </w:tc>
        <w:tc>
          <w:tcPr>
            <w:tcW w:type="dxa" w:w="1234"/>
          </w:tcPr>
          <w:p>
            <w:r>
              <w:rPr>
                <w:rFonts w:ascii="Calibri" w:hAnsi="Calibri"/>
                <w:sz w:val="22"/>
              </w:rPr>
              <w:t>$23.9B</w:t>
            </w:r>
          </w:p>
        </w:tc>
        <w:tc>
          <w:tcPr>
            <w:tcW w:type="dxa" w:w="1234"/>
          </w:tcPr>
          <w:p>
            <w:r>
              <w:rPr>
                <w:rFonts w:ascii="Calibri" w:hAnsi="Calibri"/>
                <w:sz w:val="22"/>
              </w:rPr>
              <w:t>$19.2B</w:t>
            </w:r>
          </w:p>
        </w:tc>
        <w:tc>
          <w:tcPr>
            <w:tcW w:type="dxa" w:w="1234"/>
          </w:tcPr>
          <w:p>
            <w:r>
              <w:rPr>
                <w:rFonts w:ascii="Calibri" w:hAnsi="Calibri"/>
                <w:sz w:val="22"/>
              </w:rPr>
              <w:t>$23.7B</w:t>
            </w:r>
          </w:p>
        </w:tc>
        <w:tc>
          <w:tcPr>
            <w:tcW w:type="dxa" w:w="1234"/>
          </w:tcPr>
          <w:p>
            <w:r>
              <w:rPr>
                <w:rFonts w:ascii="Calibri" w:hAnsi="Calibri"/>
                <w:sz w:val="22"/>
              </w:rPr>
              <w:t>+23.7%</w:t>
            </w:r>
          </w:p>
        </w:tc>
        <w:tc>
          <w:tcPr>
            <w:tcW w:type="dxa" w:w="1234"/>
          </w:tcPr>
          <w:p>
            <w:r>
              <w:rPr>
                <w:rFonts w:ascii="Calibri" w:hAnsi="Calibri"/>
                <w:sz w:val="22"/>
              </w:rPr>
              <w:t>$20–$24B</w:t>
            </w:r>
          </w:p>
        </w:tc>
        <w:tc>
          <w:tcPr>
            <w:tcW w:type="dxa" w:w="1234"/>
          </w:tcPr>
          <w:p>
            <w:r>
              <w:rPr>
                <w:rFonts w:ascii="Calibri" w:hAnsi="Calibri"/>
                <w:sz w:val="22"/>
              </w:rPr>
              <w:t>-1.1% vs. midpoint</w:t>
            </w:r>
          </w:p>
        </w:tc>
      </w:tr>
      <w:tr>
        <w:tc>
          <w:tcPr>
            <w:tcW w:type="dxa" w:w="1234"/>
          </w:tcPr>
          <w:p>
            <w:r>
              <w:rPr>
                <w:rFonts w:ascii="Calibri" w:hAnsi="Calibri"/>
                <w:sz w:val="22"/>
              </w:rPr>
              <w:t>AWS Operating Income ($B)</w:t>
            </w:r>
          </w:p>
        </w:tc>
        <w:tc>
          <w:tcPr>
            <w:tcW w:type="dxa" w:w="1234"/>
          </w:tcPr>
          <w:p>
            <w:r>
              <w:rPr>
                <w:rFonts w:ascii="Calibri" w:hAnsi="Calibri"/>
                <w:sz w:val="22"/>
              </w:rPr>
              <w:t>$14.2B</w:t>
            </w:r>
          </w:p>
        </w:tc>
        <w:tc>
          <w:tcPr>
            <w:tcW w:type="dxa" w:w="1234"/>
          </w:tcPr>
          <w:p>
            <w:r>
              <w:rPr>
                <w:rFonts w:ascii="Calibri" w:hAnsi="Calibri"/>
                <w:sz w:val="22"/>
              </w:rPr>
              <w:t>$10.2B</w:t>
            </w:r>
          </w:p>
        </w:tc>
        <w:tc>
          <w:tcPr>
            <w:tcW w:type="dxa" w:w="1234"/>
          </w:tcPr>
          <w:p>
            <w:r>
              <w:rPr>
                <w:rFonts w:ascii="Calibri" w:hAnsi="Calibri"/>
                <w:sz w:val="22"/>
              </w:rPr>
              <w:t>$13.7B</w:t>
            </w:r>
          </w:p>
        </w:tc>
        <w:tc>
          <w:tcPr>
            <w:tcW w:type="dxa" w:w="1234"/>
          </w:tcPr>
          <w:p>
            <w:r>
              <w:rPr>
                <w:rFonts w:ascii="Calibri" w:hAnsi="Calibri"/>
                <w:sz w:val="22"/>
              </w:rPr>
              <w:t>+34.1%</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N. America Operating Income ($B)</w:t>
            </w:r>
          </w:p>
        </w:tc>
        <w:tc>
          <w:tcPr>
            <w:tcW w:type="dxa" w:w="1234"/>
          </w:tcPr>
          <w:p>
            <w:r>
              <w:rPr>
                <w:rFonts w:ascii="Calibri" w:hAnsi="Calibri"/>
                <w:sz w:val="22"/>
              </w:rPr>
              <w:t>$8.3B</w:t>
            </w:r>
          </w:p>
        </w:tc>
        <w:tc>
          <w:tcPr>
            <w:tcW w:type="dxa" w:w="1234"/>
          </w:tcPr>
          <w:p>
            <w:r>
              <w:rPr>
                <w:rFonts w:ascii="Calibri" w:hAnsi="Calibri"/>
                <w:sz w:val="22"/>
              </w:rPr>
              <w:t>$7.5B</w:t>
            </w:r>
          </w:p>
        </w:tc>
        <w:tc>
          <w:tcPr>
            <w:tcW w:type="dxa" w:w="1234"/>
          </w:tcPr>
          <w:p>
            <w:r>
              <w:rPr>
                <w:rFonts w:ascii="Calibri" w:hAnsi="Calibri"/>
                <w:sz w:val="22"/>
              </w:rPr>
              <w:t>$8.6B</w:t>
            </w:r>
          </w:p>
        </w:tc>
        <w:tc>
          <w:tcPr>
            <w:tcW w:type="dxa" w:w="1234"/>
          </w:tcPr>
          <w:p>
            <w:r>
              <w:rPr>
                <w:rFonts w:ascii="Calibri" w:hAnsi="Calibri"/>
                <w:sz w:val="22"/>
              </w:rPr>
              <w:t>+14.2%</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International Operating Income ($B)</w:t>
            </w:r>
          </w:p>
        </w:tc>
        <w:tc>
          <w:tcPr>
            <w:tcW w:type="dxa" w:w="1234"/>
          </w:tcPr>
          <w:p>
            <w:r>
              <w:rPr>
                <w:rFonts w:ascii="Calibri" w:hAnsi="Calibri"/>
                <w:sz w:val="22"/>
              </w:rPr>
              <w:t>$1.4B</w:t>
            </w:r>
          </w:p>
        </w:tc>
        <w:tc>
          <w:tcPr>
            <w:tcW w:type="dxa" w:w="1234"/>
          </w:tcPr>
          <w:p>
            <w:r>
              <w:rPr>
                <w:rFonts w:ascii="Calibri" w:hAnsi="Calibri"/>
                <w:sz w:val="22"/>
              </w:rPr>
              <w:t>$1.5B</w:t>
            </w:r>
          </w:p>
        </w:tc>
        <w:tc>
          <w:tcPr>
            <w:tcW w:type="dxa" w:w="1234"/>
          </w:tcPr>
          <w:p>
            <w:r>
              <w:rPr>
                <w:rFonts w:ascii="Calibri" w:hAnsi="Calibri"/>
                <w:sz w:val="22"/>
              </w:rPr>
              <w:t>$1.8B</w:t>
            </w:r>
          </w:p>
        </w:tc>
        <w:tc>
          <w:tcPr>
            <w:tcW w:type="dxa" w:w="1234"/>
          </w:tcPr>
          <w:p>
            <w:r>
              <w:rPr>
                <w:rFonts w:ascii="Calibri" w:hAnsi="Calibri"/>
                <w:sz w:val="22"/>
              </w:rPr>
              <w:t>+21.5%</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$3.10</w:t>
            </w:r>
          </w:p>
        </w:tc>
        <w:tc>
          <w:tcPr>
            <w:tcW w:type="dxa" w:w="1234"/>
          </w:tcPr>
          <w:p>
            <w:r>
              <w:rPr>
                <w:rFonts w:ascii="Calibri" w:hAnsi="Calibri"/>
                <w:sz w:val="22"/>
              </w:rPr>
              <w:t>$2.30</w:t>
            </w:r>
          </w:p>
        </w:tc>
        <w:tc>
          <w:tcPr>
            <w:tcW w:type="dxa" w:w="1234"/>
          </w:tcPr>
          <w:p>
            <w:r>
              <w:rPr>
                <w:rFonts w:ascii="Calibri" w:hAnsi="Calibri"/>
                <w:sz w:val="22"/>
              </w:rPr>
              <w:t>$2.73</w:t>
            </w:r>
          </w:p>
        </w:tc>
        <w:tc>
          <w:tcPr>
            <w:tcW w:type="dxa" w:w="1234"/>
          </w:tcPr>
          <w:p>
            <w:r>
              <w:rPr>
                <w:rFonts w:ascii="Calibri" w:hAnsi="Calibri"/>
                <w:sz w:val="22"/>
              </w:rPr>
              <w:t>+18.7%</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-$17.2B</w:t>
            </w:r>
          </w:p>
        </w:tc>
        <w:tc>
          <w:tcPr>
            <w:tcW w:type="dxa" w:w="1234"/>
          </w:tcPr>
          <w:p>
            <w:r>
              <w:rPr>
                <w:rFonts w:ascii="Calibri" w:hAnsi="Calibri"/>
                <w:sz w:val="22"/>
              </w:rPr>
              <w:t>$1.1B</w:t>
            </w:r>
          </w:p>
        </w:tc>
        <w:tc>
          <w:tcPr>
            <w:tcW w:type="dxa" w:w="1234"/>
          </w:tcPr>
          <w:p>
            <w:r>
              <w:rPr>
                <w:rFonts w:ascii="Calibri" w:hAnsi="Calibri"/>
                <w:sz w:val="22"/>
              </w:rPr>
              <w:t>$2.8B</w:t>
            </w:r>
          </w:p>
        </w:tc>
        <w:tc>
          <w:tcPr>
            <w:tcW w:type="dxa" w:w="1234"/>
          </w:tcPr>
          <w:p>
            <w:r>
              <w:rPr>
                <w:rFonts w:ascii="Calibri" w:hAnsi="Calibri"/>
                <w:sz w:val="22"/>
              </w:rPr>
              <w:t>N/M (FCF recovery)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AWS Revenue Growth (%)</w:t>
            </w:r>
          </w:p>
        </w:tc>
        <w:tc>
          <w:tcPr>
            <w:tcW w:type="dxa" w:w="1234"/>
          </w:tcPr>
          <w:p>
            <w:r>
              <w:rPr>
                <w:rFonts w:ascii="Calibri" w:hAnsi="Calibri"/>
                <w:sz w:val="22"/>
              </w:rPr>
              <w:t>28.4%</w:t>
            </w:r>
          </w:p>
        </w:tc>
        <w:tc>
          <w:tcPr>
            <w:tcW w:type="dxa" w:w="1234"/>
          </w:tcPr>
          <w:p>
            <w:r>
              <w:rPr>
                <w:rFonts w:ascii="Calibri" w:hAnsi="Calibri"/>
                <w:sz w:val="22"/>
              </w:rPr>
              <w:t>17.5%</w:t>
            </w:r>
          </w:p>
        </w:tc>
        <w:tc>
          <w:tcPr>
            <w:tcW w:type="dxa" w:w="1234"/>
          </w:tcPr>
          <w:p>
            <w:r>
              <w:rPr>
                <w:rFonts w:ascii="Calibri" w:hAnsi="Calibri"/>
                <w:sz w:val="22"/>
              </w:rPr>
              <w:t>31.1%</w:t>
            </w:r>
          </w:p>
        </w:tc>
        <w:tc>
          <w:tcPr>
            <w:tcW w:type="dxa" w:w="1234"/>
          </w:tcPr>
          <w:p>
            <w:r>
              <w:rPr>
                <w:rFonts w:ascii="Calibri" w:hAnsi="Calibri"/>
                <w:sz w:val="22"/>
              </w:rPr>
              <w:t>+360 bps YoY</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color w:val="525866"/>
          <w:sz w:val="22"/>
        </w:rPr>
        <w:t>Source: Visible Alpha Consensus and Actuals Data. All figures in USD. EPS is Diluted Operating EPS (excludes equity investment gains/losses). FCF Q2 2025 actual reflects record capex cycle pressure.</w:t>
      </w:r>
    </w:p>
    <w:p>
      <w:pPr>
        <w:pStyle w:val="Heading3"/>
      </w:pPr>
      <w:r>
        <w:rPr>
          <w:rFonts w:ascii="Calibri" w:hAnsi="Calibri"/>
          <w:b/>
          <w:color w:val="3B4259"/>
          <w:sz w:val="24"/>
        </w:rPr>
        <w:t>Table 2 — Beat/Miss History: Top 2 KPIs (Last 8 Quarters)</w:t>
      </w:r>
    </w:p>
    <w:p>
      <w:pPr>
        <w:pStyle w:val="Heading4"/>
      </w:pPr>
      <w:r>
        <w:rPr>
          <w:rFonts w:ascii="Calibri" w:hAnsi="Calibri"/>
          <w:b/>
          <w:color w:val="3B4259"/>
          <w:sz w:val="22"/>
        </w:rPr>
        <w:t>AWS Revenue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$26.3B</w:t>
            </w:r>
          </w:p>
        </w:tc>
        <w:tc>
          <w:tcPr>
            <w:tcW w:type="dxa" w:w="1728"/>
          </w:tcPr>
          <w:p>
            <w:r>
              <w:rPr>
                <w:rFonts w:ascii="Calibri" w:hAnsi="Calibri"/>
                <w:sz w:val="22"/>
              </w:rPr>
              <w:t>$26.0B</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$27.5B</w:t>
            </w:r>
          </w:p>
        </w:tc>
        <w:tc>
          <w:tcPr>
            <w:tcW w:type="dxa" w:w="1728"/>
          </w:tcPr>
          <w:p>
            <w:r>
              <w:rPr>
                <w:rFonts w:ascii="Calibri" w:hAnsi="Calibri"/>
                <w:sz w:val="22"/>
              </w:rPr>
              <w:t>$27.5B</w:t>
            </w:r>
          </w:p>
        </w:tc>
        <w:tc>
          <w:tcPr>
            <w:tcW w:type="dxa" w:w="1728"/>
          </w:tcPr>
          <w:p>
            <w:r>
              <w:rPr>
                <w:rFonts w:ascii="Calibri" w:hAnsi="Calibri"/>
                <w:sz w:val="22"/>
              </w:rPr>
              <w:t>-0.1%</w:t>
            </w:r>
          </w:p>
        </w:tc>
        <w:tc>
          <w:tcPr>
            <w:tcW w:type="dxa" w:w="1728"/>
          </w:tcPr>
          <w:p>
            <w:r>
              <w:rPr>
                <w:rFonts w:ascii="Calibri" w:hAnsi="Calibri"/>
                <w:b/>
                <w:color w:val="002FA7"/>
                <w:sz w:val="22"/>
              </w:rPr>
              <w:t>In-Line</w:t>
            </w:r>
          </w:p>
        </w:tc>
      </w:tr>
      <w:tr>
        <w:tc>
          <w:tcPr>
            <w:tcW w:type="dxa" w:w="1728"/>
          </w:tcPr>
          <w:p>
            <w:r>
              <w:rPr>
                <w:rFonts w:ascii="Calibri" w:hAnsi="Calibri"/>
                <w:sz w:val="22"/>
              </w:rPr>
              <w:t>Q4 2024</w:t>
            </w:r>
          </w:p>
        </w:tc>
        <w:tc>
          <w:tcPr>
            <w:tcW w:type="dxa" w:w="1728"/>
          </w:tcPr>
          <w:p>
            <w:r>
              <w:rPr>
                <w:rFonts w:ascii="Calibri" w:hAnsi="Calibri"/>
                <w:sz w:val="22"/>
              </w:rPr>
              <w:t>$28.8B</w:t>
            </w:r>
          </w:p>
        </w:tc>
        <w:tc>
          <w:tcPr>
            <w:tcW w:type="dxa" w:w="1728"/>
          </w:tcPr>
          <w:p>
            <w:r>
              <w:rPr>
                <w:rFonts w:ascii="Calibri" w:hAnsi="Calibri"/>
                <w:sz w:val="22"/>
              </w:rPr>
              <w:t>$28.8B</w:t>
            </w:r>
          </w:p>
        </w:tc>
        <w:tc>
          <w:tcPr>
            <w:tcW w:type="dxa" w:w="1728"/>
          </w:tcPr>
          <w:p>
            <w:r>
              <w:rPr>
                <w:rFonts w:ascii="Calibri" w:hAnsi="Calibri"/>
                <w:sz w:val="22"/>
              </w:rPr>
              <w:t>-0.2%</w:t>
            </w:r>
          </w:p>
        </w:tc>
        <w:tc>
          <w:tcPr>
            <w:tcW w:type="dxa" w:w="1728"/>
          </w:tcPr>
          <w:p>
            <w:r>
              <w:rPr>
                <w:rFonts w:ascii="Calibri" w:hAnsi="Calibri"/>
                <w:b/>
                <w:color w:val="002FA7"/>
                <w:sz w:val="22"/>
              </w:rPr>
              <w:t>In-Line</w:t>
            </w:r>
          </w:p>
        </w:tc>
      </w:tr>
      <w:tr>
        <w:tc>
          <w:tcPr>
            <w:tcW w:type="dxa" w:w="1728"/>
          </w:tcPr>
          <w:p>
            <w:r>
              <w:rPr>
                <w:rFonts w:ascii="Calibri" w:hAnsi="Calibri"/>
                <w:sz w:val="22"/>
              </w:rPr>
              <w:t>Q1 2025</w:t>
            </w:r>
          </w:p>
        </w:tc>
        <w:tc>
          <w:tcPr>
            <w:tcW w:type="dxa" w:w="1728"/>
          </w:tcPr>
          <w:p>
            <w:r>
              <w:rPr>
                <w:rFonts w:ascii="Calibri" w:hAnsi="Calibri"/>
                <w:sz w:val="22"/>
              </w:rPr>
              <w:t>$29.3B</w:t>
            </w:r>
          </w:p>
        </w:tc>
        <w:tc>
          <w:tcPr>
            <w:tcW w:type="dxa" w:w="1728"/>
          </w:tcPr>
          <w:p>
            <w:r>
              <w:rPr>
                <w:rFonts w:ascii="Calibri" w:hAnsi="Calibri"/>
                <w:sz w:val="22"/>
              </w:rPr>
              <w:t>$29.4B</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$30.9B</w:t>
            </w:r>
          </w:p>
        </w:tc>
        <w:tc>
          <w:tcPr>
            <w:tcW w:type="dxa" w:w="1728"/>
          </w:tcPr>
          <w:p>
            <w:r>
              <w:rPr>
                <w:rFonts w:ascii="Calibri" w:hAnsi="Calibri"/>
                <w:sz w:val="22"/>
              </w:rPr>
              <w:t>$30.8B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$33.0B</w:t>
            </w:r>
          </w:p>
        </w:tc>
        <w:tc>
          <w:tcPr>
            <w:tcW w:type="dxa" w:w="1728"/>
          </w:tcPr>
          <w:p>
            <w:r>
              <w:rPr>
                <w:rFonts w:ascii="Calibri" w:hAnsi="Calibri"/>
                <w:sz w:val="22"/>
              </w:rPr>
              <w:t>$32.4B</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$35.6B</w:t>
            </w:r>
          </w:p>
        </w:tc>
        <w:tc>
          <w:tcPr>
            <w:tcW w:type="dxa" w:w="1728"/>
          </w:tcPr>
          <w:p>
            <w:r>
              <w:rPr>
                <w:rFonts w:ascii="Calibri" w:hAnsi="Calibri"/>
                <w:sz w:val="22"/>
              </w:rPr>
              <w:t>$34.8B</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$37.6B</w:t>
            </w:r>
          </w:p>
        </w:tc>
        <w:tc>
          <w:tcPr>
            <w:tcW w:type="dxa" w:w="1728"/>
          </w:tcPr>
          <w:p>
            <w:r>
              <w:rPr>
                <w:rFonts w:ascii="Calibri" w:hAnsi="Calibri"/>
                <w:sz w:val="22"/>
              </w:rPr>
              <w:t>$36.8B</w:t>
            </w:r>
          </w:p>
        </w:tc>
        <w:tc>
          <w:tcPr>
            <w:tcW w:type="dxa" w:w="1728"/>
          </w:tcPr>
          <w:p>
            <w:r>
              <w:rPr>
                <w:rFonts w:ascii="Calibri" w:hAnsi="Calibri"/>
                <w:sz w:val="22"/>
              </w:rPr>
              <w:t>+2.2%</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Total Operating Income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$14.7B</w:t>
            </w:r>
          </w:p>
        </w:tc>
        <w:tc>
          <w:tcPr>
            <w:tcW w:type="dxa" w:w="1728"/>
          </w:tcPr>
          <w:p>
            <w:r>
              <w:rPr>
                <w:rFonts w:ascii="Calibri" w:hAnsi="Calibri"/>
                <w:sz w:val="22"/>
              </w:rPr>
              <w:t>$13.8B</w:t>
            </w:r>
          </w:p>
        </w:tc>
        <w:tc>
          <w:tcPr>
            <w:tcW w:type="dxa" w:w="1728"/>
          </w:tcPr>
          <w:p>
            <w:r>
              <w:rPr>
                <w:rFonts w:ascii="Calibri" w:hAnsi="Calibri"/>
                <w:sz w:val="22"/>
              </w:rPr>
              <w:t>+6.4%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$17.4B</w:t>
            </w:r>
          </w:p>
        </w:tc>
        <w:tc>
          <w:tcPr>
            <w:tcW w:type="dxa" w:w="1728"/>
          </w:tcPr>
          <w:p>
            <w:r>
              <w:rPr>
                <w:rFonts w:ascii="Calibri" w:hAnsi="Calibri"/>
                <w:sz w:val="22"/>
              </w:rPr>
              <w:t>$14.7B</w:t>
            </w:r>
          </w:p>
        </w:tc>
        <w:tc>
          <w:tcPr>
            <w:tcW w:type="dxa" w:w="1728"/>
          </w:tcPr>
          <w:p>
            <w:r>
              <w:rPr>
                <w:rFonts w:ascii="Calibri" w:hAnsi="Calibri"/>
                <w:sz w:val="22"/>
              </w:rPr>
              <w:t>+18.1%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$21.2B</w:t>
            </w:r>
          </w:p>
        </w:tc>
        <w:tc>
          <w:tcPr>
            <w:tcW w:type="dxa" w:w="1728"/>
          </w:tcPr>
          <w:p>
            <w:r>
              <w:rPr>
                <w:rFonts w:ascii="Calibri" w:hAnsi="Calibri"/>
                <w:sz w:val="22"/>
              </w:rPr>
              <w:t>$19.0B</w:t>
            </w:r>
          </w:p>
        </w:tc>
        <w:tc>
          <w:tcPr>
            <w:tcW w:type="dxa" w:w="1728"/>
          </w:tcPr>
          <w:p>
            <w:r>
              <w:rPr>
                <w:rFonts w:ascii="Calibri" w:hAnsi="Calibri"/>
                <w:sz w:val="22"/>
              </w:rPr>
              <w:t>+11.5%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$18.4B</w:t>
            </w:r>
          </w:p>
        </w:tc>
        <w:tc>
          <w:tcPr>
            <w:tcW w:type="dxa" w:w="1728"/>
          </w:tcPr>
          <w:p>
            <w:r>
              <w:rPr>
                <w:rFonts w:ascii="Calibri" w:hAnsi="Calibri"/>
                <w:sz w:val="22"/>
              </w:rPr>
              <w:t>$17.5B</w:t>
            </w:r>
          </w:p>
        </w:tc>
        <w:tc>
          <w:tcPr>
            <w:tcW w:type="dxa" w:w="1728"/>
          </w:tcPr>
          <w:p>
            <w:r>
              <w:rPr>
                <w:rFonts w:ascii="Calibri" w:hAnsi="Calibri"/>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$19.2B</w:t>
            </w:r>
          </w:p>
        </w:tc>
        <w:tc>
          <w:tcPr>
            <w:tcW w:type="dxa" w:w="1728"/>
          </w:tcPr>
          <w:p>
            <w:r>
              <w:rPr>
                <w:rFonts w:ascii="Calibri" w:hAnsi="Calibri"/>
                <w:sz w:val="22"/>
              </w:rPr>
              <w:t>$17.0B</w:t>
            </w:r>
          </w:p>
        </w:tc>
        <w:tc>
          <w:tcPr>
            <w:tcW w:type="dxa" w:w="1728"/>
          </w:tcPr>
          <w:p>
            <w:r>
              <w:rPr>
                <w:rFonts w:ascii="Calibri" w:hAnsi="Calibri"/>
                <w:sz w:val="22"/>
              </w:rPr>
              <w:t>+12.8%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$17.4B</w:t>
            </w:r>
          </w:p>
        </w:tc>
        <w:tc>
          <w:tcPr>
            <w:tcW w:type="dxa" w:w="1728"/>
          </w:tcPr>
          <w:p>
            <w:r>
              <w:rPr>
                <w:rFonts w:ascii="Calibri" w:hAnsi="Calibri"/>
                <w:sz w:val="22"/>
              </w:rPr>
              <w:t>$19.9B</w:t>
            </w:r>
          </w:p>
        </w:tc>
        <w:tc>
          <w:tcPr>
            <w:tcW w:type="dxa" w:w="1728"/>
          </w:tcPr>
          <w:p>
            <w:r>
              <w:rPr>
                <w:rFonts w:ascii="Calibri" w:hAnsi="Calibri"/>
                <w:sz w:val="22"/>
              </w:rPr>
              <w:t>-12.6%</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$25.0B</w:t>
            </w:r>
          </w:p>
        </w:tc>
        <w:tc>
          <w:tcPr>
            <w:tcW w:type="dxa" w:w="1728"/>
          </w:tcPr>
          <w:p>
            <w:r>
              <w:rPr>
                <w:rFonts w:ascii="Calibri" w:hAnsi="Calibri"/>
                <w:sz w:val="22"/>
              </w:rPr>
              <w:t>$25.1B</w:t>
            </w:r>
          </w:p>
        </w:tc>
        <w:tc>
          <w:tcPr>
            <w:tcW w:type="dxa" w:w="1728"/>
          </w:tcPr>
          <w:p>
            <w:r>
              <w:rPr>
                <w:rFonts w:ascii="Calibri" w:hAnsi="Calibri"/>
                <w:sz w:val="22"/>
              </w:rPr>
              <w:t>-0.4%</w:t>
            </w:r>
          </w:p>
        </w:tc>
        <w:tc>
          <w:tcPr>
            <w:tcW w:type="dxa" w:w="1728"/>
          </w:tcPr>
          <w:p>
            <w:r>
              <w:rPr>
                <w:rFonts w:ascii="Calibri" w:hAnsi="Calibri"/>
                <w:b/>
                <w:color w:val="002FA7"/>
                <w:sz w:val="22"/>
              </w:rPr>
              <w:t>In-Line</w:t>
            </w:r>
          </w:p>
        </w:tc>
      </w:tr>
      <w:tr>
        <w:tc>
          <w:tcPr>
            <w:tcW w:type="dxa" w:w="1728"/>
          </w:tcPr>
          <w:p>
            <w:r>
              <w:rPr>
                <w:rFonts w:ascii="Calibri" w:hAnsi="Calibri"/>
                <w:sz w:val="22"/>
              </w:rPr>
              <w:t>Q1 2026</w:t>
            </w:r>
          </w:p>
        </w:tc>
        <w:tc>
          <w:tcPr>
            <w:tcW w:type="dxa" w:w="1728"/>
          </w:tcPr>
          <w:p>
            <w:r>
              <w:rPr>
                <w:rFonts w:ascii="Calibri" w:hAnsi="Calibri"/>
                <w:sz w:val="22"/>
              </w:rPr>
              <w:t>$23.9B</w:t>
            </w:r>
          </w:p>
        </w:tc>
        <w:tc>
          <w:tcPr>
            <w:tcW w:type="dxa" w:w="1728"/>
          </w:tcPr>
          <w:p>
            <w:r>
              <w:rPr>
                <w:rFonts w:ascii="Calibri" w:hAnsi="Calibri"/>
                <w:sz w:val="22"/>
              </w:rPr>
              <w:t>$20.9B</w:t>
            </w:r>
          </w:p>
        </w:tc>
        <w:tc>
          <w:tcPr>
            <w:tcW w:type="dxa" w:w="1728"/>
          </w:tcPr>
          <w:p>
            <w:r>
              <w:rPr>
                <w:rFonts w:ascii="Calibri" w:hAnsi="Calibri"/>
                <w:sz w:val="22"/>
              </w:rPr>
              <w:t>+14.0%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AWS has beaten or matched consensus in 7 of the last 8 quarters, with beats accelerating in magnitude over the past three quarters (+1.9%, +2.2%, +2.2%); operating income has beaten in 6 of 8 quarters with large upside surprises, though Q3 2025 was a notable miss driven by one-time charges.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posture has shifted to </w:t>
      </w:r>
      <w:r>
        <w:rPr>
          <w:rFonts w:ascii="Calibri" w:hAnsi="Calibri"/>
          <w:b/>
          <w:color w:val="525866"/>
          <w:sz w:val="22"/>
        </w:rPr>
        <w:t>unambiguously confident</w:t>
      </w:r>
      <w:r>
        <w:rPr>
          <w:rFonts w:ascii="Calibri" w:hAnsi="Calibri"/>
          <w:color w:val="525866"/>
          <w:sz w:val="22"/>
        </w:rPr>
        <w:t xml:space="preserve"> since the Q1 2026 print — no formal guidance revisions have been issued post-earnings, but the Q2 operating income guidance range ($20–$24B) is wide and reflects known headwinds (Leo costs, fuel, SBC step-up) rather than macro uncertainty.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$194–$199B</w:t>
            </w:r>
          </w:p>
        </w:tc>
        <w:tc>
          <w:tcPr>
            <w:tcW w:type="dxa" w:w="1728"/>
          </w:tcPr>
          <w:p>
            <w:r>
              <w:rPr>
                <w:rFonts w:ascii="Calibri" w:hAnsi="Calibri"/>
                <w:sz w:val="22"/>
              </w:rPr>
              <w:t>—</w:t>
            </w:r>
          </w:p>
        </w:tc>
        <w:tc>
          <w:tcPr>
            <w:tcW w:type="dxa" w:w="1728"/>
          </w:tcPr>
          <w:p>
            <w:r>
              <w:rPr>
                <w:rFonts w:ascii="Calibri" w:hAnsi="Calibri"/>
                <w:sz w:val="22"/>
              </w:rPr>
              <w:t>$196.7B</w:t>
            </w:r>
          </w:p>
        </w:tc>
        <w:tc>
          <w:tcPr>
            <w:tcW w:type="dxa" w:w="1728"/>
          </w:tcPr>
          <w:p>
            <w:r>
              <w:rPr>
                <w:rFonts w:ascii="Calibri" w:hAnsi="Calibri"/>
                <w:sz w:val="22"/>
              </w:rPr>
              <w:t>Consensus sits at midpoint; no post-earnings revision. Guidance incorporates Prime Day in Q2 for most geographies.</w:t>
            </w:r>
          </w:p>
        </w:tc>
      </w:tr>
      <w:tr>
        <w:tc>
          <w:tcPr>
            <w:tcW w:type="dxa" w:w="1728"/>
          </w:tcPr>
          <w:p>
            <w:r>
              <w:rPr>
                <w:rFonts w:ascii="Calibri" w:hAnsi="Calibri"/>
                <w:sz w:val="22"/>
              </w:rPr>
              <w:t>Q2 2026 Operating Income</w:t>
            </w:r>
          </w:p>
        </w:tc>
        <w:tc>
          <w:tcPr>
            <w:tcW w:type="dxa" w:w="1728"/>
          </w:tcPr>
          <w:p>
            <w:r>
              <w:rPr>
                <w:rFonts w:ascii="Calibri" w:hAnsi="Calibri"/>
                <w:sz w:val="22"/>
              </w:rPr>
              <w:t>$20–$24B</w:t>
            </w:r>
          </w:p>
        </w:tc>
        <w:tc>
          <w:tcPr>
            <w:tcW w:type="dxa" w:w="1728"/>
          </w:tcPr>
          <w:p>
            <w:r>
              <w:rPr>
                <w:rFonts w:ascii="Calibri" w:hAnsi="Calibri"/>
                <w:sz w:val="22"/>
              </w:rPr>
              <w:t>—</w:t>
            </w:r>
          </w:p>
        </w:tc>
        <w:tc>
          <w:tcPr>
            <w:tcW w:type="dxa" w:w="1728"/>
          </w:tcPr>
          <w:p>
            <w:r>
              <w:rPr>
                <w:rFonts w:ascii="Calibri" w:hAnsi="Calibri"/>
                <w:sz w:val="22"/>
              </w:rPr>
              <w:t>$23.7B</w:t>
            </w:r>
          </w:p>
        </w:tc>
        <w:tc>
          <w:tcPr>
            <w:tcW w:type="dxa" w:w="1728"/>
          </w:tcPr>
          <w:p>
            <w:r>
              <w:rPr>
                <w:rFonts w:ascii="Calibri" w:hAnsi="Calibri"/>
                <w:sz w:val="22"/>
              </w:rPr>
              <w:t>Wide range reflects ~$1B Amazon Leo launch costs, fuel inflation, and seasonal SBC step-up. Consensus near top of range.</w:t>
            </w:r>
          </w:p>
        </w:tc>
      </w:tr>
      <w:tr>
        <w:tc>
          <w:tcPr>
            <w:tcW w:type="dxa" w:w="1728"/>
          </w:tcPr>
          <w:p>
            <w:r>
              <w:rPr>
                <w:rFonts w:ascii="Calibri" w:hAnsi="Calibri"/>
                <w:sz w:val="22"/>
              </w:rPr>
              <w:t>Amazon Leo Launch</w:t>
            </w:r>
          </w:p>
        </w:tc>
        <w:tc>
          <w:tcPr>
            <w:tcW w:type="dxa" w:w="1728"/>
          </w:tcPr>
          <w:p>
            <w:r>
              <w:rPr>
                <w:rFonts w:ascii="Calibri" w:hAnsi="Calibri"/>
                <w:sz w:val="22"/>
              </w:rPr>
              <w:t>Commercial launch on track for Q3 2026; ~$1B YoY cost headwind in Q2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Cost capitalization begins Q4 2026. Globalstar acquisition and Apple partnership announced post-Q1.</w:t>
            </w:r>
          </w:p>
        </w:tc>
      </w:tr>
      <w:tr>
        <w:tc>
          <w:tcPr>
            <w:tcW w:type="dxa" w:w="1728"/>
          </w:tcPr>
          <w:p>
            <w:r>
              <w:rPr>
                <w:rFonts w:ascii="Calibri" w:hAnsi="Calibri"/>
                <w:sz w:val="22"/>
              </w:rPr>
              <w:t>FX Impact (Q2)</w:t>
            </w:r>
          </w:p>
        </w:tc>
        <w:tc>
          <w:tcPr>
            <w:tcW w:type="dxa" w:w="1728"/>
          </w:tcPr>
          <w:p>
            <w:r>
              <w:rPr>
                <w:rFonts w:ascii="Calibri" w:hAnsi="Calibri"/>
                <w:sz w:val="22"/>
              </w:rPr>
              <w:t>~10 bps headwind YoY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Minimal FX impact; incorporated in guidance.</w:t>
            </w:r>
          </w:p>
        </w:tc>
      </w:tr>
      <w:tr>
        <w:tc>
          <w:tcPr>
            <w:tcW w:type="dxa" w:w="1728"/>
          </w:tcPr>
          <w:p>
            <w:r>
              <w:rPr>
                <w:rFonts w:ascii="Calibri" w:hAnsi="Calibri"/>
                <w:sz w:val="22"/>
              </w:rPr>
              <w:t>2026 CapEx</w:t>
            </w:r>
          </w:p>
        </w:tc>
        <w:tc>
          <w:tcPr>
            <w:tcW w:type="dxa" w:w="1728"/>
          </w:tcPr>
          <w:p>
            <w:r>
              <w:rPr>
                <w:rFonts w:ascii="Calibri" w:hAnsi="Calibri"/>
                <w:sz w:val="22"/>
              </w:rPr>
              <w:t>~$200B (full year)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to capex posture; management remains aggressive on AI infrastructure investment.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 since the Q1 print</w:t>
      </w:r>
      <w:r>
        <w:rPr>
          <w:rFonts w:ascii="Calibri" w:hAnsi="Calibri"/>
          <w:color w:val="525866"/>
          <w:sz w:val="22"/>
        </w:rPr>
        <w:t xml:space="preserve"> — revenue and AWS consensus barely moved, while operating EPS was revised up sharply (+16%) as the Street absorbed the record Q1 margin beat; </w:t>
      </w:r>
      <w:r>
        <w:rPr>
          <w:rFonts w:ascii="Calibri" w:hAnsi="Calibri"/>
          <w:b/>
          <w:color w:val="525866"/>
          <w:sz w:val="22"/>
        </w:rPr>
        <w:t>the gap between consensus and the low end of operating income guidance is the key risk</w:t>
      </w:r>
      <w:r>
        <w:rPr>
          <w:rFonts w:ascii="Calibri" w:hAnsi="Calibri"/>
          <w:color w:val="525866"/>
          <w:sz w:val="22"/>
        </w:rPr>
        <w:t xml:space="preserve"> if Leo costs or fuel inflation surprise to the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4, 2026 — 5 Days Post Q1 Print)</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Net Sales — Q2 2026</w:t>
            </w:r>
          </w:p>
        </w:tc>
        <w:tc>
          <w:tcPr>
            <w:tcW w:type="dxa" w:w="1080"/>
          </w:tcPr>
          <w:p>
            <w:r>
              <w:rPr>
                <w:rFonts w:ascii="Calibri" w:hAnsi="Calibri"/>
                <w:sz w:val="22"/>
              </w:rPr>
              <w:t>$196.7B</w:t>
            </w:r>
          </w:p>
        </w:tc>
        <w:tc>
          <w:tcPr>
            <w:tcW w:type="dxa" w:w="1080"/>
          </w:tcPr>
          <w:p>
            <w:r>
              <w:rPr>
                <w:rFonts w:ascii="Calibri" w:hAnsi="Calibri"/>
                <w:sz w:val="22"/>
              </w:rPr>
              <w:t>$196.7B</w:t>
            </w:r>
          </w:p>
        </w:tc>
        <w:tc>
          <w:tcPr>
            <w:tcW w:type="dxa" w:w="1080"/>
          </w:tcPr>
          <w:p>
            <w:r>
              <w:rPr>
                <w:rFonts w:ascii="Calibri" w:hAnsi="Calibri"/>
                <w:sz w:val="22"/>
              </w:rPr>
              <w:t>+0.0%</w:t>
            </w:r>
          </w:p>
        </w:tc>
        <w:tc>
          <w:tcPr>
            <w:tcW w:type="dxa" w:w="1080"/>
          </w:tcPr>
          <w:p>
            <w:r>
              <w:rPr>
                <w:rFonts w:ascii="Calibri" w:hAnsi="Calibri"/>
                <w:sz w:val="22"/>
              </w:rPr>
              <w:t>$194–$199B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midpoint</w:t>
            </w:r>
          </w:p>
        </w:tc>
      </w:tr>
      <w:tr>
        <w:tc>
          <w:tcPr>
            <w:tcW w:type="dxa" w:w="1080"/>
          </w:tcPr>
          <w:p>
            <w:r>
              <w:rPr>
                <w:rFonts w:ascii="Calibri" w:hAnsi="Calibri"/>
                <w:sz w:val="22"/>
              </w:rPr>
              <w:t>Total Net Sales — FY 2026</w:t>
            </w:r>
          </w:p>
        </w:tc>
        <w:tc>
          <w:tcPr>
            <w:tcW w:type="dxa" w:w="1080"/>
          </w:tcPr>
          <w:p>
            <w:r>
              <w:rPr>
                <w:rFonts w:ascii="Calibri" w:hAnsi="Calibri"/>
                <w:sz w:val="22"/>
              </w:rPr>
              <w:t>$825.3B</w:t>
            </w:r>
          </w:p>
        </w:tc>
        <w:tc>
          <w:tcPr>
            <w:tcW w:type="dxa" w:w="1080"/>
          </w:tcPr>
          <w:p>
            <w:r>
              <w:rPr>
                <w:rFonts w:ascii="Calibri" w:hAnsi="Calibri"/>
                <w:sz w:val="22"/>
              </w:rPr>
              <w:t>$824.8B</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AWS Revenue — Q2 2026</w:t>
            </w:r>
          </w:p>
        </w:tc>
        <w:tc>
          <w:tcPr>
            <w:tcW w:type="dxa" w:w="1080"/>
          </w:tcPr>
          <w:p>
            <w:r>
              <w:rPr>
                <w:rFonts w:ascii="Calibri" w:hAnsi="Calibri"/>
                <w:sz w:val="22"/>
              </w:rPr>
              <w:t>$40.5B</w:t>
            </w:r>
          </w:p>
        </w:tc>
        <w:tc>
          <w:tcPr>
            <w:tcW w:type="dxa" w:w="1080"/>
          </w:tcPr>
          <w:p>
            <w:r>
              <w:rPr>
                <w:rFonts w:ascii="Calibri" w:hAnsi="Calibri"/>
                <w:sz w:val="22"/>
              </w:rPr>
              <w:t>$40.5B</w:t>
            </w:r>
          </w:p>
        </w:tc>
        <w:tc>
          <w:tcPr>
            <w:tcW w:type="dxa" w:w="1080"/>
          </w:tcPr>
          <w:p>
            <w:r>
              <w:rPr>
                <w:rFonts w:ascii="Calibri" w:hAnsi="Calibri"/>
                <w:sz w:val="22"/>
              </w:rPr>
              <w:t>+0.1%</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AWS Revenue — FY 2026</w:t>
            </w:r>
          </w:p>
        </w:tc>
        <w:tc>
          <w:tcPr>
            <w:tcW w:type="dxa" w:w="1080"/>
          </w:tcPr>
          <w:p>
            <w:r>
              <w:rPr>
                <w:rFonts w:ascii="Calibri" w:hAnsi="Calibri"/>
                <w:sz w:val="22"/>
              </w:rPr>
              <w:t>$168.0B</w:t>
            </w:r>
          </w:p>
        </w:tc>
        <w:tc>
          <w:tcPr>
            <w:tcW w:type="dxa" w:w="1080"/>
          </w:tcPr>
          <w:p>
            <w:r>
              <w:rPr>
                <w:rFonts w:ascii="Calibri" w:hAnsi="Calibri"/>
                <w:sz w:val="22"/>
              </w:rPr>
              <w:t>$168.2B</w:t>
            </w:r>
          </w:p>
        </w:tc>
        <w:tc>
          <w:tcPr>
            <w:tcW w:type="dxa" w:w="1080"/>
          </w:tcPr>
          <w:p>
            <w:r>
              <w:rPr>
                <w:rFonts w:ascii="Calibri" w:hAnsi="Calibri"/>
                <w:sz w:val="22"/>
              </w:rPr>
              <w:t>+0.1%</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Income — Q2 2026</w:t>
            </w:r>
          </w:p>
        </w:tc>
        <w:tc>
          <w:tcPr>
            <w:tcW w:type="dxa" w:w="1080"/>
          </w:tcPr>
          <w:p>
            <w:r>
              <w:rPr>
                <w:rFonts w:ascii="Calibri" w:hAnsi="Calibri"/>
                <w:sz w:val="22"/>
              </w:rPr>
              <w:t>$23.7B</w:t>
            </w:r>
          </w:p>
        </w:tc>
        <w:tc>
          <w:tcPr>
            <w:tcW w:type="dxa" w:w="1080"/>
          </w:tcPr>
          <w:p>
            <w:r>
              <w:rPr>
                <w:rFonts w:ascii="Calibri" w:hAnsi="Calibri"/>
                <w:sz w:val="22"/>
              </w:rPr>
              <w:t>$23.7B</w:t>
            </w:r>
          </w:p>
        </w:tc>
        <w:tc>
          <w:tcPr>
            <w:tcW w:type="dxa" w:w="1080"/>
          </w:tcPr>
          <w:p>
            <w:r>
              <w:rPr>
                <w:rFonts w:ascii="Calibri" w:hAnsi="Calibri"/>
                <w:sz w:val="22"/>
              </w:rPr>
              <w:t>+0.3%</w:t>
            </w:r>
          </w:p>
        </w:tc>
        <w:tc>
          <w:tcPr>
            <w:tcW w:type="dxa" w:w="1080"/>
          </w:tcPr>
          <w:p>
            <w:r>
              <w:rPr>
                <w:rFonts w:ascii="Calibri" w:hAnsi="Calibri"/>
                <w:sz w:val="22"/>
              </w:rPr>
              <w:t>$20–$24B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vs. midpoint</w:t>
            </w:r>
          </w:p>
        </w:tc>
      </w:tr>
      <w:tr>
        <w:tc>
          <w:tcPr>
            <w:tcW w:type="dxa" w:w="1080"/>
          </w:tcPr>
          <w:p>
            <w:r>
              <w:rPr>
                <w:rFonts w:ascii="Calibri" w:hAnsi="Calibri"/>
                <w:sz w:val="22"/>
              </w:rPr>
              <w:t>Operating Income — FY 2026</w:t>
            </w:r>
          </w:p>
        </w:tc>
        <w:tc>
          <w:tcPr>
            <w:tcW w:type="dxa" w:w="1080"/>
          </w:tcPr>
          <w:p>
            <w:r>
              <w:rPr>
                <w:rFonts w:ascii="Calibri" w:hAnsi="Calibri"/>
                <w:sz w:val="22"/>
              </w:rPr>
              <w:t>$104.6B</w:t>
            </w:r>
          </w:p>
        </w:tc>
        <w:tc>
          <w:tcPr>
            <w:tcW w:type="dxa" w:w="1080"/>
          </w:tcPr>
          <w:p>
            <w:r>
              <w:rPr>
                <w:rFonts w:ascii="Calibri" w:hAnsi="Calibri"/>
                <w:sz w:val="22"/>
              </w:rPr>
              <w:t>$104.9B</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Q2 2026</w:t>
            </w:r>
          </w:p>
        </w:tc>
        <w:tc>
          <w:tcPr>
            <w:tcW w:type="dxa" w:w="1080"/>
          </w:tcPr>
          <w:p>
            <w:r>
              <w:rPr>
                <w:rFonts w:ascii="Calibri" w:hAnsi="Calibri"/>
                <w:sz w:val="22"/>
              </w:rPr>
              <w:t>$2.35</w:t>
            </w:r>
          </w:p>
        </w:tc>
        <w:tc>
          <w:tcPr>
            <w:tcW w:type="dxa" w:w="1080"/>
          </w:tcPr>
          <w:p>
            <w:r>
              <w:rPr>
                <w:rFonts w:ascii="Calibri" w:hAnsi="Calibri"/>
                <w:sz w:val="22"/>
              </w:rPr>
              <w:t>$2.73</w:t>
            </w:r>
          </w:p>
        </w:tc>
        <w:tc>
          <w:tcPr>
            <w:tcW w:type="dxa" w:w="1080"/>
          </w:tcPr>
          <w:p>
            <w:r>
              <w:rPr>
                <w:rFonts w:ascii="Calibri" w:hAnsi="Calibri"/>
                <w:sz w:val="22"/>
              </w:rPr>
              <w:t>+16.1%</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 2026</w:t>
            </w:r>
          </w:p>
        </w:tc>
        <w:tc>
          <w:tcPr>
            <w:tcW w:type="dxa" w:w="1080"/>
          </w:tcPr>
          <w:p>
            <w:r>
              <w:rPr>
                <w:rFonts w:ascii="Calibri" w:hAnsi="Calibri"/>
                <w:sz w:val="22"/>
              </w:rPr>
              <w:t>$10.62</w:t>
            </w:r>
          </w:p>
        </w:tc>
        <w:tc>
          <w:tcPr>
            <w:tcW w:type="dxa" w:w="1080"/>
          </w:tcPr>
          <w:p>
            <w:r>
              <w:rPr>
                <w:rFonts w:ascii="Calibri" w:hAnsi="Calibri"/>
                <w:sz w:val="22"/>
              </w:rPr>
              <w:t>$10.93</w:t>
            </w:r>
          </w:p>
        </w:tc>
        <w:tc>
          <w:tcPr>
            <w:tcW w:type="dxa" w:w="1080"/>
          </w:tcPr>
          <w:p>
            <w:r>
              <w:rPr>
                <w:rFonts w:ascii="Calibri" w:hAnsi="Calibri"/>
                <w:sz w:val="22"/>
              </w:rPr>
              <w:t>+2.9%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Baseline date (May 4, 2026) is 5 trading days after the Q1 2026 earnings release (April 29, 2026). The large EPS revision (+16%) reflects the Street re-rating operating earnings power after the record Q1 margin beat, while revenue and AWS estimates barely moved, confirming the bar was already well-set on the top 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AMZN has </w:t>
      </w:r>
      <w:r>
        <w:rPr>
          <w:rFonts w:ascii="Calibri" w:hAnsi="Calibri"/>
          <w:b/>
          <w:color w:val="525866"/>
          <w:sz w:val="22"/>
        </w:rPr>
        <w:t>underperformed both XLY and the S&amp;P 500 by a wide margin since Q1 earnings</w:t>
      </w:r>
      <w:r>
        <w:rPr>
          <w:rFonts w:ascii="Calibri" w:hAnsi="Calibri"/>
          <w:color w:val="525866"/>
          <w:sz w:val="22"/>
        </w:rPr>
        <w:t xml:space="preserve"> (-14% vs. XLY -4% and SPY +2.5%), driven by multiple compression on capex concerns rather than estimate cuts — a setup that is now more favorable heading into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AMZN vs. XLY (Consumer Discretionary ETF) vs. S&amp;P 500 (SPY) — Indexed to 100 at Q1 2026 Earnings Date (April 29, 2026). Red dotted lines mark material debt issuance events. Source: Stock Price Data.</w:t>
      </w:r>
    </w:p>
    <w:p>
      <w:r>
        <w:rPr>
          <w:rFonts w:ascii="Calibri" w:hAnsi="Calibri"/>
          <w:color w:val="525866"/>
          <w:sz w:val="22"/>
        </w:rPr>
        <w:t xml:space="preserve">AMZN peaked at ~$272 in early May (roughly +3.4% from the earnings close) before reversing sharply, falling to ~$227 by July 29 — a decline of approximately 14% from the earnings date. The S&amp;P 500 gained ~2.5% over the same period while XLY declined ~4%, meaning AMZN underperformed the market by ~16.5 percentage points. The underperformance is almost entirely multiple-driven: operating EPS estimates for Q2 were revised </w:t>
      </w:r>
      <w:r>
        <w:rPr>
          <w:rFonts w:ascii="Calibri" w:hAnsi="Calibri"/>
          <w:b/>
          <w:color w:val="525866"/>
          <w:sz w:val="22"/>
        </w:rPr>
        <w:t>up</w:t>
      </w:r>
      <w:r>
        <w:rPr>
          <w:rFonts w:ascii="Calibri" w:hAnsi="Calibri"/>
          <w:color w:val="525866"/>
          <w:sz w:val="22"/>
        </w:rPr>
        <w:t xml:space="preserve"> 16% post-Q1, yet the stock fell, implying the market de-rated the stock on capex concerns, rising memory costs, and broader tech sector rotation. The sector ETF used is XLY (Consumer Discretionary Select Sector SPDR), which is appropriate given Amazon’s dominant weighting in consumer discretionary. Two debt issuances (C$14B in June and $24.9B USD in July) are marked as events; these are consistent with funding the ~$200B capex program and did not materially move the stock on their own.</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calls (Alphabet, Meta, Walmart, Oracle) is </w:t>
      </w:r>
      <w:r>
        <w:rPr>
          <w:rFonts w:ascii="Calibri" w:hAnsi="Calibri"/>
          <w:b/>
          <w:color w:val="525866"/>
          <w:sz w:val="22"/>
        </w:rPr>
        <w:t>broadly positive for AMZN’s AWS and advertising segments</w:t>
      </w:r>
      <w:r>
        <w:rPr>
          <w:rFonts w:ascii="Calibri" w:hAnsi="Calibri"/>
          <w:color w:val="525866"/>
          <w:sz w:val="22"/>
        </w:rPr>
        <w:t xml:space="preserve"> — cloud demand remains supply-constrained, AI capex is accelerating industry-wide, and digital advertising is growing 27–37% across platforms; the main read-through risk is </w:t>
      </w:r>
      <w:r>
        <w:rPr>
          <w:rFonts w:ascii="Calibri" w:hAnsi="Calibri"/>
          <w:b/>
          <w:color w:val="525866"/>
          <w:sz w:val="22"/>
        </w:rPr>
        <w:t>AWS margin pressure</w:t>
      </w:r>
      <w:r>
        <w:rPr>
          <w:rFonts w:ascii="Calibri" w:hAnsi="Calibri"/>
          <w:color w:val="525866"/>
          <w:sz w:val="22"/>
        </w:rPr>
        <w:t xml:space="preserve"> as Google Cloud flagged near-term margin headwinds from third-party capacity use.</w:t>
      </w:r>
    </w:p>
    <w:p>
      <w:r>
        <w:rPr>
          <w:rFonts w:ascii="Calibri" w:hAnsi="Calibri"/>
          <w:b/>
          <w:color w:val="525866"/>
          <w:sz w:val="22"/>
        </w:rPr>
        <w:t xml:space="preserve">Note: </w:t>
      </w:r>
      <w:r>
        <w:rPr>
          <w:rFonts w:ascii="Calibri" w:hAnsi="Calibri"/>
          <w:color w:val="525866"/>
          <w:sz w:val="22"/>
        </w:rPr>
        <w:t>All peer commentary below is sourced from earnings calls and investor events occurring after Amazon’s Q1 2026 earnings (April 29, 2026) and is relevant to the current reporting quarter (Q2 2026) or forward-looking conditions. Prior-quarter result commentary has been excluded.</w:t>
      </w:r>
    </w:p>
    <w:p>
      <w:pPr>
        <w:pStyle w:val="Heading3"/>
      </w:pPr>
      <w:r>
        <w:rPr>
          <w:rFonts w:ascii="Calibri" w:hAnsi="Calibri"/>
          <w:b/>
          <w:color w:val="3B4259"/>
          <w:sz w:val="24"/>
        </w:rPr>
        <w:t>Alphabet (GOOGL) — Q2 2026 Earnings Call (July 22, 2026)</w:t>
      </w:r>
    </w:p>
    <w:p>
      <w:pPr>
        <w:pStyle w:val="ListBullet"/>
        <w:ind w:left="360" w:hanging="360"/>
      </w:pPr>
      <w:r>
        <w:rPr>
          <w:rFonts w:ascii="Calibri" w:hAnsi="Calibri"/>
          <w:b/>
          <w:color w:val="525866"/>
          <w:sz w:val="22"/>
        </w:rPr>
        <w:t xml:space="preserve">Cloud demand remains supply-constrained, validating AWS pricing power: </w:t>
      </w:r>
      <w:r>
        <w:rPr>
          <w:rFonts w:ascii="Calibri" w:hAnsi="Calibri"/>
          <w:color w:val="525866"/>
          <w:sz w:val="22"/>
        </w:rPr>
        <w:t xml:space="preserve">Google Cloud revenue grew 82% YoY in Q2 2026 to $24.8B, “powered by strong demand for AI infrastructure and AI solutions.” Alphabet explicitly stated it is “still in a supply constrained environment” with “very strong demand, both from external cloud customers as well as across the business.” Cloud backlog surged to $514B (up $50B+ sequentially), with over 50% expected to be recognized in the next 24 months. </w:t>
      </w:r>
    </w:p>
    <w:p>
      <w:pPr>
        <w:pStyle w:val="ListBullet"/>
        <w:ind w:left="360" w:hanging="360"/>
      </w:pPr>
      <w:r>
        <w:rPr>
          <w:rFonts w:ascii="Calibri" w:hAnsi="Calibri"/>
          <w:b/>
          <w:color w:val="525866"/>
          <w:sz w:val="22"/>
        </w:rPr>
        <w:t xml:space="preserve">Read-through for AMZN: </w:t>
      </w:r>
      <w:r>
        <w:rPr>
          <w:rFonts w:ascii="Calibri" w:hAnsi="Calibri"/>
          <w:color w:val="525866"/>
          <w:sz w:val="22"/>
        </w:rPr>
        <w:t>A supply-constrained cloud market with accelerating enterprise AI adoption is the ideal backdrop for AWS. Google’s backlog growth and customer commitment expansion (customers exceeding commitments by 50%+) corroborates Amazon’s own $364B AWS backlog and suggests the demand environment for Q2 was at least as strong as Q1.</w:t>
      </w:r>
    </w:p>
    <w:p>
      <w:pPr>
        <w:pStyle w:val="ListBullet"/>
        <w:ind w:left="360" w:hanging="360"/>
      </w:pPr>
      <w:r>
        <w:rPr>
          <w:rFonts w:ascii="Calibri" w:hAnsi="Calibri"/>
          <w:b/>
          <w:color w:val="525866"/>
          <w:sz w:val="22"/>
        </w:rPr>
        <w:t xml:space="preserve">Third-party cloud capacity use signals near-term margin pressure: </w:t>
      </w:r>
      <w:r>
        <w:rPr>
          <w:rFonts w:ascii="Calibri" w:hAnsi="Calibri"/>
          <w:color w:val="525866"/>
          <w:sz w:val="22"/>
        </w:rPr>
        <w:t>Alphabet disclosed it plans to “expand the use of third party capacity in Q3 as a bridging strategy” due to supply constraints, which “will create modest margin pressure in the near term.” This is a read-through risk for AWS margins — if Google is buying third-party capacity, it may be buying from AWS, but it also signals that even hyperscalers face capacity bottlenecks that could pressure their own margins.</w:t>
      </w:r>
    </w:p>
    <w:p>
      <w:pPr>
        <w:pStyle w:val="ListBullet"/>
        <w:ind w:left="360" w:hanging="360"/>
      </w:pPr>
      <w:r>
        <w:rPr>
          <w:rFonts w:ascii="Calibri" w:hAnsi="Calibri"/>
          <w:b/>
          <w:color w:val="525866"/>
          <w:sz w:val="22"/>
        </w:rPr>
        <w:t xml:space="preserve">AI capex accelerating: </w:t>
      </w:r>
      <w:r>
        <w:rPr>
          <w:rFonts w:ascii="Calibri" w:hAnsi="Calibri"/>
          <w:color w:val="525866"/>
          <w:sz w:val="22"/>
        </w:rPr>
        <w:t>Alphabet raised its full-year 2026 CapEx guidance to $195–$205B (from $180–$190B), “primarily due to an acceleration in the delivery of capacity to meet growing demand,” and expects CapEx to “increase significantly in 2027.” This validates Amazon’s ~$200B capex commitment and suggests the industry is not pulling back.</w:t>
      </w:r>
    </w:p>
    <w:p>
      <w:pPr>
        <w:pStyle w:val="ListBullet"/>
        <w:ind w:left="360" w:hanging="360"/>
      </w:pPr>
      <w:r>
        <w:rPr>
          <w:rFonts w:ascii="Calibri" w:hAnsi="Calibri"/>
          <w:b/>
          <w:color w:val="525866"/>
          <w:sz w:val="22"/>
        </w:rPr>
        <w:t xml:space="preserve">Digital advertising healthy with retail as top contributor: </w:t>
      </w:r>
      <w:r>
        <w:rPr>
          <w:rFonts w:ascii="Calibri" w:hAnsi="Calibri"/>
          <w:color w:val="525866"/>
          <w:sz w:val="22"/>
        </w:rPr>
        <w:t>Google Search revenue grew 17% YoY with “retail and finance driving the largest contributions.” Total advertising revenues up 14%. AI-powered ad tools driving “20% improvement in showing highly relevant ads” for shopping. Positive read-through for Amazon Advertising, which benefits from the same retail-intent advertising tailwinds.</w:t>
      </w:r>
    </w:p>
    <w:p>
      <w:pPr>
        <w:pStyle w:val="Heading3"/>
      </w:pPr>
      <w:r>
        <w:rPr>
          <w:rFonts w:ascii="Calibri" w:hAnsi="Calibri"/>
          <w:b/>
          <w:color w:val="3B4259"/>
          <w:sz w:val="24"/>
        </w:rPr>
        <w:t>Meta Platforms (META) — Q2 2026 Earnings Call (July 29, 2026)</w:t>
      </w:r>
    </w:p>
    <w:p>
      <w:pPr>
        <w:pStyle w:val="ListBullet"/>
        <w:ind w:left="360" w:hanging="360"/>
      </w:pPr>
      <w:r>
        <w:rPr>
          <w:rFonts w:ascii="Calibri" w:hAnsi="Calibri"/>
          <w:b/>
          <w:color w:val="525866"/>
          <w:sz w:val="22"/>
        </w:rPr>
        <w:t xml:space="preserve">Digital advertising market is robust and accelerating: </w:t>
      </w:r>
      <w:r>
        <w:rPr>
          <w:rFonts w:ascii="Calibri" w:hAnsi="Calibri"/>
          <w:color w:val="525866"/>
          <w:sz w:val="22"/>
        </w:rPr>
        <w:t>Meta’s Family of Apps ad revenue grew 27% YoY to $59.4B in Q2 2026, with ad impressions up 14% and average price per ad up 12%. Meta’s CFO cited “improvements in macro conditions relative to Q2 of last year” as a driver. This is a strong positive read-through for Amazon Advertising, which is growing at a similar rate (~23% expected) and benefits from the same macro tailwind.</w:t>
      </w:r>
    </w:p>
    <w:p>
      <w:pPr>
        <w:pStyle w:val="ListBullet"/>
        <w:ind w:left="360" w:hanging="360"/>
      </w:pPr>
      <w:r>
        <w:rPr>
          <w:rFonts w:ascii="Calibri" w:hAnsi="Calibri"/>
          <w:b/>
          <w:color w:val="525866"/>
          <w:sz w:val="22"/>
        </w:rPr>
        <w:t xml:space="preserve">Industry has “underbuilt” for AI demand — capacity remains extremely valuable: </w:t>
      </w:r>
      <w:r>
        <w:rPr>
          <w:rFonts w:ascii="Calibri" w:hAnsi="Calibri"/>
          <w:color w:val="525866"/>
          <w:sz w:val="22"/>
        </w:rPr>
        <w:t>Meta stated “the industry has underbuilt historically for the wave of AI adoption, making existing capacity, including our own, extremely valuable” and that “overall industry capacity is going to remain tight for the foreseeable future.” Meta is receiving “a lot of offers for compute at a significant premium over what we paid for it.” This is a direct positive read-through for AWS pricing power and utilization.</w:t>
      </w:r>
    </w:p>
    <w:p>
      <w:pPr>
        <w:pStyle w:val="ListBullet"/>
        <w:ind w:left="360" w:hanging="360"/>
      </w:pPr>
      <w:r>
        <w:rPr>
          <w:rFonts w:ascii="Calibri" w:hAnsi="Calibri"/>
          <w:b/>
          <w:color w:val="525866"/>
          <w:sz w:val="22"/>
        </w:rPr>
        <w:t xml:space="preserve">Third-party cloud spend growing: </w:t>
      </w:r>
      <w:r>
        <w:rPr>
          <w:rFonts w:ascii="Calibri" w:hAnsi="Calibri"/>
          <w:color w:val="525866"/>
          <w:sz w:val="22"/>
        </w:rPr>
        <w:t>Meta’s infrastructure cost growth was driven by “higher depreciation, data center operating costs and third party cloud spend.” Even the largest tech companies are increasing their use of external cloud, supporting AWS demand.</w:t>
      </w:r>
    </w:p>
    <w:p>
      <w:pPr>
        <w:pStyle w:val="ListBullet"/>
        <w:ind w:left="360" w:hanging="360"/>
      </w:pPr>
      <w:r>
        <w:rPr>
          <w:rFonts w:ascii="Calibri" w:hAnsi="Calibri"/>
          <w:b/>
          <w:color w:val="525866"/>
          <w:sz w:val="22"/>
        </w:rPr>
        <w:t xml:space="preserve">AI capex at $130–$145B for 2026, “geared towards maximizing 2026 and 2027 capacity”: </w:t>
      </w:r>
      <w:r>
        <w:rPr>
          <w:rFonts w:ascii="Calibri" w:hAnsi="Calibri"/>
          <w:color w:val="525866"/>
          <w:sz w:val="22"/>
        </w:rPr>
        <w:t>Meta’s aggressive capex posture mirrors Amazon’s and validates the industry-wide investment cycle. Meta is also exploring “monetizing compute directly given outsized market demand,” which could eventually compete with AWS but is not yet a near-term threat.</w:t>
      </w:r>
    </w:p>
    <w:p>
      <w:pPr>
        <w:pStyle w:val="Heading3"/>
      </w:pPr>
      <w:r>
        <w:rPr>
          <w:rFonts w:ascii="Calibri" w:hAnsi="Calibri"/>
          <w:b/>
          <w:color w:val="3B4259"/>
          <w:sz w:val="24"/>
        </w:rPr>
        <w:t>Walmart (WMT) — Q1 FY2027 Earnings Call (May 21, 2026)</w:t>
      </w:r>
    </w:p>
    <w:p>
      <w:pPr>
        <w:pStyle w:val="ListBullet"/>
        <w:ind w:left="360" w:hanging="360"/>
      </w:pPr>
      <w:r>
        <w:rPr>
          <w:rFonts w:ascii="Calibri" w:hAnsi="Calibri"/>
          <w:b/>
          <w:color w:val="525866"/>
          <w:sz w:val="22"/>
        </w:rPr>
        <w:t xml:space="preserve">E-commerce momentum strong but consumer under pressure: </w:t>
      </w:r>
      <w:r>
        <w:rPr>
          <w:rFonts w:ascii="Calibri" w:hAnsi="Calibri"/>
          <w:color w:val="525866"/>
          <w:sz w:val="22"/>
        </w:rPr>
        <w:t>Walmart reported enterprise e-commerce sales growth of 26% and U.S. marketplace GMV growth of nearly 50% in Q1 FY2027. However, management noted “the consumer, especially here in the U.S., they’re telling us they’re feeling some pressure” with higher fuel prices “putting pressure on household budgets” and a divergence between high-income (spending confidently) and lower-income (budget-conscious) consumers. Mixed read-through for Amazon retail — strong e-commerce trends are positive, but lower-income consumer stress could weigh on discretionary spending.</w:t>
      </w:r>
    </w:p>
    <w:p>
      <w:pPr>
        <w:pStyle w:val="ListBullet"/>
        <w:ind w:left="360" w:hanging="360"/>
      </w:pPr>
      <w:r>
        <w:rPr>
          <w:rFonts w:ascii="Calibri" w:hAnsi="Calibri"/>
          <w:b/>
          <w:color w:val="525866"/>
          <w:sz w:val="22"/>
        </w:rPr>
        <w:t xml:space="preserve">Retail advertising growing 36–37% — strong positive read-through for Amazon Ads: </w:t>
      </w:r>
      <w:r>
        <w:rPr>
          <w:rFonts w:ascii="Calibri" w:hAnsi="Calibri"/>
          <w:color w:val="525866"/>
          <w:sz w:val="22"/>
        </w:rPr>
        <w:t>Walmart’s advertising business grew 36% for Walmart U.S. and 37% globally, with third-party marketplace advertising revenues up 50% YoY. This confirms that retail media advertising is one of the fastest-growing segments in digital advertising, directly benefiting Amazon’s advertising business.</w:t>
      </w:r>
    </w:p>
    <w:p>
      <w:pPr>
        <w:pStyle w:val="ListBullet"/>
        <w:ind w:left="360" w:hanging="360"/>
      </w:pPr>
      <w:r>
        <w:rPr>
          <w:rFonts w:ascii="Calibri" w:hAnsi="Calibri"/>
          <w:b/>
          <w:color w:val="525866"/>
          <w:sz w:val="22"/>
        </w:rPr>
        <w:t xml:space="preserve">Fast delivery competition intensifying: </w:t>
      </w:r>
      <w:r>
        <w:rPr>
          <w:rFonts w:ascii="Calibri" w:hAnsi="Calibri"/>
          <w:color w:val="525866"/>
          <w:sz w:val="22"/>
        </w:rPr>
        <w:t>Walmart can now reach “approximately 60% of the U.S. population in 30 minutes or less,” with 36%+ of deliveries in under 3 hours. Walmart Fulfillment Services units shipped same-day or next-day grew nearly 150% in Q1. This is a competitive read-through — Walmart is closing the delivery speed gap with Amazon, which could pressure Amazon’s retail market share in value-oriented categories.</w:t>
      </w:r>
    </w:p>
    <w:p>
      <w:pPr>
        <w:pStyle w:val="ListBullet"/>
        <w:ind w:left="360" w:hanging="360"/>
      </w:pPr>
      <w:r>
        <w:rPr>
          <w:rFonts w:ascii="Calibri" w:hAnsi="Calibri"/>
          <w:b/>
          <w:color w:val="525866"/>
          <w:sz w:val="22"/>
        </w:rPr>
        <w:t xml:space="preserve">AI shopping agent (Sparky) driving higher order values: </w:t>
      </w:r>
      <w:r>
        <w:rPr>
          <w:rFonts w:ascii="Calibri" w:hAnsi="Calibri"/>
          <w:color w:val="525866"/>
          <w:sz w:val="22"/>
        </w:rPr>
        <w:t>Walmart’s AI shopping agent Sparky saw weekly active users up 100%+ in the last quarter, with Sparky customers showing average order values 35% higher than non-Sparky customers. This validates Amazon’s own Rufus AI shopping assistant thesis (MAUs up 115%, engagement up 400% YoY per Q1 call) and suggests agentic commerce is a real demand driver.</w:t>
      </w:r>
    </w:p>
    <w:p>
      <w:pPr>
        <w:pStyle w:val="Heading3"/>
      </w:pPr>
      <w:r>
        <w:rPr>
          <w:rFonts w:ascii="Calibri" w:hAnsi="Calibri"/>
          <w:b/>
          <w:color w:val="3B4259"/>
          <w:sz w:val="24"/>
        </w:rPr>
        <w:t>Oracle (ORCL) — Q4 FY2026 Earnings Call (June 10, 2026)</w:t>
      </w:r>
    </w:p>
    <w:p>
      <w:pPr>
        <w:pStyle w:val="ListBullet"/>
        <w:ind w:left="360" w:hanging="360"/>
      </w:pPr>
      <w:r>
        <w:rPr>
          <w:rFonts w:ascii="Calibri" w:hAnsi="Calibri"/>
          <w:b/>
          <w:color w:val="525866"/>
          <w:sz w:val="22"/>
        </w:rPr>
        <w:t xml:space="preserve">AI infrastructure demand is “trillions of dollars per year” — validates AWS’s investment thesis: </w:t>
      </w:r>
      <w:r>
        <w:rPr>
          <w:rFonts w:ascii="Calibri" w:hAnsi="Calibri"/>
          <w:color w:val="525866"/>
          <w:sz w:val="22"/>
        </w:rPr>
        <w:t>Oracle’s Cloud Infrastructure (OCI) revenue grew 93% in Q4, with RPO reaching $638B (up 363%). Oracle’s management stated “AI infrastructure makes the existing cloud infrastructure market look small” with market size estimated at “trillions of dollars per year.” GPU utilization at 97.5%. This is a strong positive read-through for AWS’s AI infrastructure business.</w:t>
      </w:r>
    </w:p>
    <w:p>
      <w:pPr>
        <w:pStyle w:val="ListBullet"/>
        <w:ind w:left="360" w:hanging="360"/>
      </w:pPr>
      <w:r>
        <w:rPr>
          <w:rFonts w:ascii="Calibri" w:hAnsi="Calibri"/>
          <w:b/>
          <w:color w:val="525866"/>
          <w:sz w:val="22"/>
        </w:rPr>
        <w:t xml:space="preserve">Demand far exceeds supply — “massively higher demand than supply”: </w:t>
      </w:r>
      <w:r>
        <w:rPr>
          <w:rFonts w:ascii="Calibri" w:hAnsi="Calibri"/>
          <w:color w:val="525866"/>
          <w:sz w:val="22"/>
        </w:rPr>
        <w:t>Oracle’s IR acknowledged “there’s still a massively higher demand than there is supply” in the cloud/AI infrastructure market. Oracle signed $67B in AI infrastructure contracts in Q4 alone. This supply-demand imbalance is a direct positive for AWS pricing and utilization.</w:t>
      </w:r>
    </w:p>
    <w:p>
      <w:pPr>
        <w:pStyle w:val="ListBullet"/>
        <w:ind w:left="360" w:hanging="360"/>
      </w:pPr>
      <w:r>
        <w:rPr>
          <w:rFonts w:ascii="Calibri" w:hAnsi="Calibri"/>
          <w:b/>
          <w:color w:val="525866"/>
          <w:sz w:val="22"/>
        </w:rPr>
        <w:t xml:space="preserve">Memory and component cost inflation is a real headwind: </w:t>
      </w:r>
      <w:r>
        <w:rPr>
          <w:rFonts w:ascii="Calibri" w:hAnsi="Calibri"/>
          <w:color w:val="525866"/>
          <w:sz w:val="22"/>
        </w:rPr>
        <w:t>Oracle noted that “memory prices have definitely gone up, SSD prices, hard drive prices, etc.” and uses floating-cost mechanisms for future contracts to manage uncertainty. This is a direct read-through risk for AWS margins — Amazon flagged memory cost pressure on the Q1 call, and Oracle’s commentary confirms the trend has not abated.</w:t>
      </w:r>
    </w:p>
    <w:p>
      <w:pPr>
        <w:pStyle w:val="ListBullet"/>
        <w:ind w:left="360" w:hanging="360"/>
      </w:pPr>
      <w:r>
        <w:rPr>
          <w:rFonts w:ascii="Calibri" w:hAnsi="Calibri"/>
          <w:b/>
          <w:color w:val="525866"/>
          <w:sz w:val="22"/>
        </w:rPr>
        <w:t xml:space="preserve">Multi-cloud database growing 404% YoY — AWS partnership beneficiary: </w:t>
      </w:r>
      <w:r>
        <w:rPr>
          <w:rFonts w:ascii="Calibri" w:hAnsi="Calibri"/>
          <w:color w:val="525866"/>
          <w:sz w:val="22"/>
        </w:rPr>
        <w:t>Oracle’s multi-cloud database revenue grew 404% YoY with bookings up 325%, driven partly by partnerships with “competitor clouds.” This suggests AWS is benefiting from Oracle’s multi-cloud strategy as enterprises run Oracle databases on AWS infrastructure.</w:t>
      </w:r>
    </w:p>
    <w:p>
      <w:pPr>
        <w:pStyle w:val="Heading3"/>
      </w:pPr>
      <w:r>
        <w:rPr>
          <w:rFonts w:ascii="Calibri" w:hAnsi="Calibri"/>
          <w:b/>
          <w:color w:val="3B4259"/>
          <w:sz w:val="24"/>
        </w:rPr>
        <w:t>Shopify (SHOP) — Q1 2026 Earnings Call (May 5, 2026)</w:t>
      </w:r>
    </w:p>
    <w:p>
      <w:pPr>
        <w:pStyle w:val="ListBullet"/>
        <w:ind w:left="360" w:hanging="360"/>
      </w:pPr>
      <w:r>
        <w:rPr>
          <w:rFonts w:ascii="Calibri" w:hAnsi="Calibri"/>
          <w:b/>
          <w:color w:val="525866"/>
          <w:sz w:val="22"/>
        </w:rPr>
        <w:t xml:space="preserve">Amazon joins Universal Commerce Protocol (UCP) — agentic commerce positioning: </w:t>
      </w:r>
      <w:r>
        <w:rPr>
          <w:rFonts w:ascii="Calibri" w:hAnsi="Calibri"/>
          <w:color w:val="525866"/>
          <w:sz w:val="22"/>
        </w:rPr>
        <w:t>Shopify disclosed that Amazon, Meta, Microsoft, Salesforce, and Stripe joined the UCP Tech Council, “committing their expertise in Internet scale transaction processing to build one universal protocol for commerce.” UCP is described as “an open protocol that makes Agentic commerce work at scale,” covering the full commerce journey from discovery to fulfillment. Amazon’s participation signals it is actively shaping the infrastructure for AI-driven commerce, consistent with management’s bullish commentary on Rufus and agentic commerce on the Q1 call.</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$24.9B USD debt issuance in July</w:t>
      </w:r>
      <w:r>
        <w:rPr>
          <w:rFonts w:ascii="Calibri" w:hAnsi="Calibri"/>
          <w:color w:val="525866"/>
          <w:sz w:val="22"/>
        </w:rPr>
        <w:t xml:space="preserve"> (following a C$14B CAD offering in June), confirming Amazon is actively financing its ~$200B capex program through capital markets — a signal of conviction in the AI infrastructure buildout but also a reminder that FCF will remain under pressure.</w:t>
      </w:r>
    </w:p>
    <w:p>
      <w:pPr>
        <w:pStyle w:val="ListBullet"/>
        <w:ind w:left="360" w:hanging="360"/>
      </w:pPr>
      <w:r>
        <w:rPr>
          <w:rFonts w:ascii="Calibri" w:hAnsi="Calibri"/>
          <w:b/>
          <w:color w:val="525866"/>
          <w:sz w:val="22"/>
        </w:rPr>
        <w:t>July 9, 2026 — Amazon closes $24.9B multi-tranche USD debt offering.</w:t>
      </w:r>
      <w:r>
        <w:rPr>
          <w:rFonts w:ascii="Calibri" w:hAnsi="Calibri"/>
          <w:color w:val="525866"/>
          <w:sz w:val="22"/>
        </w:rPr>
        <w:t xml:space="preserve"> Eight tranches ranging from floating-rate 2029 notes to 6.25% 2066 notes. Net proceeds ~$24.9B. Underwriters: Barclays, Goldman Sachs, J.P. Morgan, Morgan Stanley. </w:t>
      </w:r>
    </w:p>
    <w:p>
      <w:pPr>
        <w:pStyle w:val="ListBullet"/>
        <w:ind w:left="360" w:hanging="360"/>
      </w:pPr>
      <w:r>
        <w:rPr>
          <w:rFonts w:ascii="Calibri" w:hAnsi="Calibri"/>
          <w:b/>
          <w:color w:val="525866"/>
          <w:sz w:val="22"/>
        </w:rPr>
        <w:t xml:space="preserve">Implication: </w:t>
      </w:r>
      <w:r>
        <w:rPr>
          <w:rFonts w:ascii="Calibri" w:hAnsi="Calibri"/>
          <w:color w:val="525866"/>
          <w:sz w:val="22"/>
        </w:rPr>
        <w:t>Confirms Amazon is funding its ~$200B 2026 capex program through debt markets. Adds to leverage but at manageable rates given Amazon’s credit profile. Signals management conviction in long-term AI infrastructure returns.</w:t>
      </w:r>
    </w:p>
    <w:p>
      <w:pPr>
        <w:pStyle w:val="ListBullet"/>
        <w:ind w:left="360" w:hanging="360"/>
      </w:pPr>
      <w:r>
        <w:rPr>
          <w:rFonts w:ascii="Calibri" w:hAnsi="Calibri"/>
          <w:b/>
          <w:color w:val="525866"/>
          <w:sz w:val="22"/>
        </w:rPr>
        <w:t>June 12, 2026 — Amazon closes C$14B multi-tranche CAD debt offering.</w:t>
      </w:r>
      <w:r>
        <w:rPr>
          <w:rFonts w:ascii="Calibri" w:hAnsi="Calibri"/>
          <w:color w:val="525866"/>
          <w:sz w:val="22"/>
        </w:rPr>
        <w:t xml:space="preserve"> Five tranches from 3.40% 2029 notes to 5.00% 2056 notes. Net proceeds ~C$13.9B. </w:t>
      </w:r>
    </w:p>
    <w:p>
      <w:pPr>
        <w:pStyle w:val="ListBullet"/>
        <w:ind w:left="360" w:hanging="360"/>
      </w:pPr>
      <w:r>
        <w:rPr>
          <w:rFonts w:ascii="Calibri" w:hAnsi="Calibri"/>
          <w:b/>
          <w:color w:val="525866"/>
          <w:sz w:val="22"/>
        </w:rPr>
        <w:t xml:space="preserve">Implication: </w:t>
      </w:r>
      <w:r>
        <w:rPr>
          <w:rFonts w:ascii="Calibri" w:hAnsi="Calibri"/>
          <w:color w:val="525866"/>
          <w:sz w:val="22"/>
        </w:rPr>
        <w:t>Canadian dollar issuance likely tied to Canadian operations or currency hedging. Part of the broader capital raise to fund AI infrastructure and Amazon Leo satellite buildout.</w:t>
      </w:r>
    </w:p>
    <w:p>
      <w:pPr>
        <w:pStyle w:val="ListBullet"/>
        <w:ind w:left="360" w:hanging="360"/>
      </w:pPr>
      <w:r>
        <w:rPr>
          <w:rFonts w:ascii="Calibri" w:hAnsi="Calibri"/>
          <w:b/>
          <w:color w:val="525866"/>
          <w:sz w:val="22"/>
        </w:rPr>
        <w:t>July 29, 2026 — Mizuho trims price target from $325 to $320 (maintains Outperform).</w:t>
      </w:r>
      <w:r>
        <w:rPr>
          <w:rFonts w:ascii="Calibri" w:hAnsi="Calibri"/>
          <w:color w:val="525866"/>
          <w:sz w:val="22"/>
        </w:rPr>
        <w:t xml:space="preserve"> Shares fell ~2% on the day. UBS also cut its price target to $305 from $333, citing higher future infrastructure costs and component prices. </w:t>
      </w:r>
    </w:p>
    <w:p>
      <w:pPr>
        <w:pStyle w:val="ListBullet"/>
        <w:ind w:left="360" w:hanging="360"/>
      </w:pPr>
      <w:r>
        <w:rPr>
          <w:rFonts w:ascii="Calibri" w:hAnsi="Calibri"/>
          <w:b/>
          <w:color w:val="525866"/>
          <w:sz w:val="22"/>
        </w:rPr>
        <w:t xml:space="preserve">Implication: </w:t>
      </w:r>
      <w:r>
        <w:rPr>
          <w:rFonts w:ascii="Calibri" w:hAnsi="Calibri"/>
          <w:color w:val="525866"/>
          <w:sz w:val="22"/>
        </w:rPr>
        <w:t>Analyst community is trimming targets on capex/margin concerns but maintaining buy ratings. Consensus price target remains ~$313 with 57 Buy / 3 Hold / 0 Sell. The pre-earnings target cut is a modest negative sentiment signal but does not change the fundamental thesis.</w:t>
      </w:r>
    </w:p>
    <w:p>
      <w:pPr>
        <w:pStyle w:val="ListBullet"/>
        <w:ind w:left="360" w:hanging="360"/>
      </w:pPr>
      <w:r>
        <w:rPr>
          <w:rFonts w:ascii="Calibri" w:hAnsi="Calibri"/>
          <w:b/>
          <w:color w:val="525866"/>
          <w:sz w:val="22"/>
        </w:rPr>
        <w:t>April 30, 2026 — Multiple analyst upgrades and price target increases post-Q1 earnings.</w:t>
      </w:r>
      <w:r>
        <w:rPr>
          <w:rFonts w:ascii="Calibri" w:hAnsi="Calibri"/>
          <w:color w:val="525866"/>
          <w:sz w:val="22"/>
        </w:rPr>
        <w:t xml:space="preserve"> Bernstein raised PT to $315 (from $300, Outperform); HSBC raised to $310 (from $280, Buy); Rosenblatt raised to $332 (from $296, Buy); Scotiabank raised to $325 (from $275, Outperform). </w:t>
      </w:r>
    </w:p>
    <w:p>
      <w:pPr>
        <w:pStyle w:val="ListBullet"/>
        <w:ind w:left="360" w:hanging="360"/>
      </w:pPr>
      <w:r>
        <w:rPr>
          <w:rFonts w:ascii="Calibri" w:hAnsi="Calibri"/>
          <w:b/>
          <w:color w:val="525866"/>
          <w:sz w:val="22"/>
        </w:rPr>
        <w:t xml:space="preserve">Implication: </w:t>
      </w:r>
      <w:r>
        <w:rPr>
          <w:rFonts w:ascii="Calibri" w:hAnsi="Calibri"/>
          <w:color w:val="525866"/>
          <w:sz w:val="22"/>
        </w:rPr>
        <w:t>Broad-based analyst enthusiasm post-Q1 beat, particularly on AWS acceleration and record margins. The subsequent stock decline despite these upgrades underscores that the market was already pricing in the beat.</w:t>
      </w:r>
    </w:p>
    <w:p>
      <w:pPr>
        <w:pStyle w:val="ListBullet"/>
        <w:ind w:left="360" w:hanging="360"/>
      </w:pPr>
      <w:r>
        <w:rPr>
          <w:rFonts w:ascii="Calibri" w:hAnsi="Calibri"/>
          <w:b/>
          <w:color w:val="525866"/>
          <w:sz w:val="22"/>
        </w:rPr>
        <w:t>Q1 2026 Earnings (April 29, 2026) — Amazon Leo commercial launch on track for Q3 2026.</w:t>
      </w:r>
      <w:r>
        <w:rPr>
          <w:rFonts w:ascii="Calibri" w:hAnsi="Calibri"/>
          <w:color w:val="525866"/>
          <w:sz w:val="22"/>
        </w:rPr>
        <w:t xml:space="preserve"> Globalstar acquisition announced for direct-to-device spectrum; Apple partnership secured for iPhones and Apple Watches. Revenue commitments from Delta, JetBlue, AT&amp;T, Vodafone, NASA, and others. </w:t>
      </w:r>
    </w:p>
    <w:p>
      <w:pPr>
        <w:pStyle w:val="ListBullet"/>
        <w:ind w:left="360" w:hanging="360"/>
      </w:pPr>
      <w:r>
        <w:rPr>
          <w:rFonts w:ascii="Calibri" w:hAnsi="Calibri"/>
          <w:b/>
          <w:color w:val="525866"/>
          <w:sz w:val="22"/>
        </w:rPr>
        <w:t xml:space="preserve">Implication: </w:t>
      </w:r>
      <w:r>
        <w:rPr>
          <w:rFonts w:ascii="Calibri" w:hAnsi="Calibri"/>
          <w:color w:val="525866"/>
          <w:sz w:val="22"/>
        </w:rPr>
        <w:t>Leo is transitioning from a cost center to a potential revenue driver. The ~$1B Q2 cost headwind is a known drag on operating income guidance, but the Apple partnership and enterprise commitments suggest meaningful long-term revenue potential. Management compares Leo’s early investment phase to AWS’s early years.</w:t>
      </w:r>
    </w:p>
    <w:p>
      <w:pPr>
        <w:pStyle w:val="ListBullet"/>
        <w:ind w:left="360" w:hanging="360"/>
      </w:pPr>
      <w:r>
        <w:rPr>
          <w:rFonts w:ascii="Calibri" w:hAnsi="Calibri"/>
          <w:b/>
          <w:color w:val="525866"/>
          <w:sz w:val="22"/>
        </w:rPr>
        <w:t>Q1 2026 Earnings (April 29, 2026) — AWS backlog reaches $364B, AI revenue run rate exceeds $15B.</w:t>
      </w:r>
      <w:r>
        <w:rPr>
          <w:rFonts w:ascii="Calibri" w:hAnsi="Calibri"/>
          <w:color w:val="525866"/>
          <w:sz w:val="22"/>
        </w:rPr>
        <w:t xml:space="preserve"> Trainium 2 largely sold out; Trainium 3 (started shipping early 2026) nearly fully subscribed; Trainium 4 (18 months from broad availability) already largely reserved. Chips business annual run rate over $20B, growing triple digits YoY. </w:t>
      </w:r>
    </w:p>
    <w:p>
      <w:pPr>
        <w:pStyle w:val="ListBullet"/>
        <w:ind w:left="360" w:hanging="360"/>
      </w:pPr>
      <w:r>
        <w:rPr>
          <w:rFonts w:ascii="Calibri" w:hAnsi="Calibri"/>
          <w:b/>
          <w:color w:val="525866"/>
          <w:sz w:val="22"/>
        </w:rPr>
        <w:t xml:space="preserve">Implication: </w:t>
      </w:r>
      <w:r>
        <w:rPr>
          <w:rFonts w:ascii="Calibri" w:hAnsi="Calibri"/>
          <w:color w:val="525866"/>
          <w:sz w:val="22"/>
        </w:rPr>
        <w:t>The backlog and chip subscription data provide strong multi-year revenue visibility. If AWS growth continues to accelerate in Q2 (consensus: 31%), it validates the investment thesis and could re-rate the stock.</w:t>
      </w:r>
    </w:p>
    <w:p>
      <w:pPr>
        <w:pStyle w:val="ListBullet"/>
        <w:ind w:left="360" w:hanging="360"/>
      </w:pPr>
      <w:r>
        <w:rPr>
          <w:rFonts w:ascii="Calibri" w:hAnsi="Calibri"/>
          <w:b/>
          <w:color w:val="525866"/>
          <w:sz w:val="22"/>
        </w:rPr>
        <w:t>May 2026 — Amazon joins Universal Commerce Protocol (UCP) Tech Council alongside Meta, Microsoft, Salesforce, and Stripe.</w:t>
      </w:r>
      <w:r>
        <w:rPr>
          <w:rFonts w:ascii="Calibri" w:hAnsi="Calibri"/>
          <w:color w:val="525866"/>
          <w:sz w:val="22"/>
        </w:rPr>
        <w:t xml:space="preserve"> UCP is an open protocol for agentic commerce co-developed by Shopify and Google. </w:t>
      </w:r>
    </w:p>
    <w:p>
      <w:pPr>
        <w:pStyle w:val="ListBullet"/>
        <w:ind w:left="360" w:hanging="360"/>
      </w:pPr>
      <w:r>
        <w:rPr>
          <w:rFonts w:ascii="Calibri" w:hAnsi="Calibri"/>
          <w:b/>
          <w:color w:val="525866"/>
          <w:sz w:val="22"/>
        </w:rPr>
        <w:t xml:space="preserve">Implication: </w:t>
      </w:r>
      <w:r>
        <w:rPr>
          <w:rFonts w:ascii="Calibri" w:hAnsi="Calibri"/>
          <w:color w:val="525866"/>
          <w:sz w:val="22"/>
        </w:rPr>
        <w:t>Amazon is positioning itself as a foundational player in the emerging agentic commerce ecosystem, consistent with management’s bullish commentary on Rufus and multi-turn AI shopping interactions.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w:t>
      </w:r>
      <w:r>
        <w:rPr>
          <w:rFonts w:ascii="Calibri" w:hAnsi="Calibri"/>
          <w:b/>
          <w:color w:val="525866"/>
          <w:sz w:val="22"/>
        </w:rPr>
        <w:t>10b5-1 planned sales only — no discretionary open-market selling and zero open-market buying</w:t>
      </w:r>
      <w:r>
        <w:rPr>
          <w:rFonts w:ascii="Calibri" w:hAnsi="Calibri"/>
          <w:color w:val="525866"/>
          <w:sz w:val="22"/>
        </w:rPr>
        <w:t>; the pattern is routine and does not signal unusual bearishness, but the absence of any insider buying at a 14% lower price than the Q1 earnings close is notable.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Herrington, Douglas J.</w:t>
            </w:r>
          </w:p>
        </w:tc>
        <w:tc>
          <w:tcPr>
            <w:tcW w:type="dxa" w:w="1440"/>
          </w:tcPr>
          <w:p>
            <w:r>
              <w:rPr>
                <w:rFonts w:ascii="Calibri" w:hAnsi="Calibri"/>
                <w:sz w:val="22"/>
              </w:rPr>
              <w:t>CEO Worldwide Amazon Stores</w:t>
            </w:r>
          </w:p>
        </w:tc>
        <w:tc>
          <w:tcPr>
            <w:tcW w:type="dxa" w:w="1440"/>
          </w:tcPr>
          <w:p>
            <w:r>
              <w:rPr>
                <w:rFonts w:ascii="Calibri" w:hAnsi="Calibri"/>
                <w:sz w:val="22"/>
              </w:rPr>
              <w:t>10b5-1 Planned Sale</w:t>
            </w:r>
          </w:p>
        </w:tc>
        <w:tc>
          <w:tcPr>
            <w:tcW w:type="dxa" w:w="1440"/>
          </w:tcPr>
          <w:p>
            <w:r>
              <w:rPr>
                <w:rFonts w:ascii="Calibri" w:hAnsi="Calibri"/>
                <w:sz w:val="22"/>
              </w:rPr>
              <w:t>1,000</w:t>
            </w:r>
          </w:p>
        </w:tc>
        <w:tc>
          <w:tcPr>
            <w:tcW w:type="dxa" w:w="1440"/>
          </w:tcPr>
          <w:p>
            <w:r>
              <w:rPr>
                <w:rFonts w:ascii="Calibri" w:hAnsi="Calibri"/>
                <w:sz w:val="22"/>
              </w:rPr>
              <w:t>Jul 1, 2026</w:t>
            </w:r>
          </w:p>
        </w:tc>
        <w:tc>
          <w:tcPr>
            <w:tcW w:type="dxa" w:w="1440"/>
          </w:tcPr>
          <w:p>
            <w:r>
              <w:rPr>
                <w:rFonts w:ascii="Calibri" w:hAnsi="Calibri"/>
                <w:sz w:val="22"/>
              </w:rPr>
              <w:t>Routine monthly 10b5-1 plan sale; consistent with prior months.</w:t>
            </w:r>
          </w:p>
        </w:tc>
      </w:tr>
      <w:tr>
        <w:tc>
          <w:tcPr>
            <w:tcW w:type="dxa" w:w="1440"/>
          </w:tcPr>
          <w:p>
            <w:r>
              <w:rPr>
                <w:rFonts w:ascii="Calibri" w:hAnsi="Calibri"/>
                <w:sz w:val="22"/>
              </w:rPr>
              <w:t>Herrington, Douglas J.</w:t>
            </w:r>
          </w:p>
        </w:tc>
        <w:tc>
          <w:tcPr>
            <w:tcW w:type="dxa" w:w="1440"/>
          </w:tcPr>
          <w:p>
            <w:r>
              <w:rPr>
                <w:rFonts w:ascii="Calibri" w:hAnsi="Calibri"/>
                <w:sz w:val="22"/>
              </w:rPr>
              <w:t>CEO Worldwide Amazon Stores</w:t>
            </w:r>
          </w:p>
        </w:tc>
        <w:tc>
          <w:tcPr>
            <w:tcW w:type="dxa" w:w="1440"/>
          </w:tcPr>
          <w:p>
            <w:r>
              <w:rPr>
                <w:rFonts w:ascii="Calibri" w:hAnsi="Calibri"/>
                <w:sz w:val="22"/>
              </w:rPr>
              <w:t>10b5-1 Planned Sale</w:t>
            </w:r>
          </w:p>
        </w:tc>
        <w:tc>
          <w:tcPr>
            <w:tcW w:type="dxa" w:w="1440"/>
          </w:tcPr>
          <w:p>
            <w:r>
              <w:rPr>
                <w:rFonts w:ascii="Calibri" w:hAnsi="Calibri"/>
                <w:sz w:val="22"/>
              </w:rPr>
              <w:t>1,000</w:t>
            </w:r>
          </w:p>
        </w:tc>
        <w:tc>
          <w:tcPr>
            <w:tcW w:type="dxa" w:w="1440"/>
          </w:tcPr>
          <w:p>
            <w:r>
              <w:rPr>
                <w:rFonts w:ascii="Calibri" w:hAnsi="Calibri"/>
                <w:sz w:val="22"/>
              </w:rPr>
              <w:t>Jun 1, 2026</w:t>
            </w:r>
          </w:p>
        </w:tc>
        <w:tc>
          <w:tcPr>
            <w:tcW w:type="dxa" w:w="1440"/>
          </w:tcPr>
          <w:p>
            <w:r>
              <w:rPr>
                <w:rFonts w:ascii="Calibri" w:hAnsi="Calibri"/>
                <w:sz w:val="22"/>
              </w:rPr>
              <w:t>Routine monthly 10b5-1 plan sale.</w:t>
            </w:r>
          </w:p>
        </w:tc>
      </w:tr>
      <w:tr>
        <w:tc>
          <w:tcPr>
            <w:tcW w:type="dxa" w:w="1440"/>
          </w:tcPr>
          <w:p>
            <w:r>
              <w:rPr>
                <w:rFonts w:ascii="Calibri" w:hAnsi="Calibri"/>
                <w:sz w:val="22"/>
              </w:rPr>
              <w:t>Jassy, Andrew R.</w:t>
            </w:r>
          </w:p>
        </w:tc>
        <w:tc>
          <w:tcPr>
            <w:tcW w:type="dxa" w:w="1440"/>
          </w:tcPr>
          <w:p>
            <w:r>
              <w:rPr>
                <w:rFonts w:ascii="Calibri" w:hAnsi="Calibri"/>
                <w:sz w:val="22"/>
              </w:rPr>
              <w:t>President and CEO, Director</w:t>
            </w:r>
          </w:p>
        </w:tc>
        <w:tc>
          <w:tcPr>
            <w:tcW w:type="dxa" w:w="1440"/>
          </w:tcPr>
          <w:p>
            <w:r>
              <w:rPr>
                <w:rFonts w:ascii="Calibri" w:hAnsi="Calibri"/>
                <w:sz w:val="22"/>
              </w:rPr>
              <w:t>10b5-1 Planned Sale</w:t>
            </w:r>
          </w:p>
        </w:tc>
        <w:tc>
          <w:tcPr>
            <w:tcW w:type="dxa" w:w="1440"/>
          </w:tcPr>
          <w:p>
            <w:r>
              <w:rPr>
                <w:rFonts w:ascii="Calibri" w:hAnsi="Calibri"/>
                <w:sz w:val="22"/>
              </w:rPr>
              <w:t>31,352</w:t>
            </w:r>
          </w:p>
        </w:tc>
        <w:tc>
          <w:tcPr>
            <w:tcW w:type="dxa" w:w="1440"/>
          </w:tcPr>
          <w:p>
            <w:r>
              <w:rPr>
                <w:rFonts w:ascii="Calibri" w:hAnsi="Calibri"/>
                <w:sz w:val="22"/>
              </w:rPr>
              <w:t>May 4, 2026</w:t>
            </w:r>
          </w:p>
        </w:tc>
        <w:tc>
          <w:tcPr>
            <w:tcW w:type="dxa" w:w="1440"/>
          </w:tcPr>
          <w:p>
            <w:r>
              <w:rPr>
                <w:rFonts w:ascii="Calibri" w:hAnsi="Calibri"/>
                <w:sz w:val="22"/>
              </w:rPr>
              <w:t>Pre-planned sale; largest single transaction in the period. Obligation-driven under 10b5-1 plan.</w:t>
            </w:r>
          </w:p>
        </w:tc>
      </w:tr>
      <w:tr>
        <w:tc>
          <w:tcPr>
            <w:tcW w:type="dxa" w:w="1440"/>
          </w:tcPr>
          <w:p>
            <w:r>
              <w:rPr>
                <w:rFonts w:ascii="Calibri" w:hAnsi="Calibri"/>
                <w:sz w:val="22"/>
              </w:rPr>
              <w:t>Herrington, Douglas J.</w:t>
            </w:r>
          </w:p>
        </w:tc>
        <w:tc>
          <w:tcPr>
            <w:tcW w:type="dxa" w:w="1440"/>
          </w:tcPr>
          <w:p>
            <w:r>
              <w:rPr>
                <w:rFonts w:ascii="Calibri" w:hAnsi="Calibri"/>
                <w:sz w:val="22"/>
              </w:rPr>
              <w:t>CEO Worldwide Amazon Stores</w:t>
            </w:r>
          </w:p>
        </w:tc>
        <w:tc>
          <w:tcPr>
            <w:tcW w:type="dxa" w:w="1440"/>
          </w:tcPr>
          <w:p>
            <w:r>
              <w:rPr>
                <w:rFonts w:ascii="Calibri" w:hAnsi="Calibri"/>
                <w:sz w:val="22"/>
              </w:rPr>
              <w:t>10b5-1 Planned Sale</w:t>
            </w:r>
          </w:p>
        </w:tc>
        <w:tc>
          <w:tcPr>
            <w:tcW w:type="dxa" w:w="1440"/>
          </w:tcPr>
          <w:p>
            <w:r>
              <w:rPr>
                <w:rFonts w:ascii="Calibri" w:hAnsi="Calibri"/>
                <w:sz w:val="22"/>
              </w:rPr>
              <w:t>27,500</w:t>
            </w:r>
          </w:p>
        </w:tc>
        <w:tc>
          <w:tcPr>
            <w:tcW w:type="dxa" w:w="1440"/>
          </w:tcPr>
          <w:p>
            <w:r>
              <w:rPr>
                <w:rFonts w:ascii="Calibri" w:hAnsi="Calibri"/>
                <w:sz w:val="22"/>
              </w:rPr>
              <w:t>May 4, 2026</w:t>
            </w:r>
          </w:p>
        </w:tc>
        <w:tc>
          <w:tcPr>
            <w:tcW w:type="dxa" w:w="1440"/>
          </w:tcPr>
          <w:p>
            <w:r>
              <w:rPr>
                <w:rFonts w:ascii="Calibri" w:hAnsi="Calibri"/>
                <w:sz w:val="22"/>
              </w:rPr>
              <w:t>Pre-planned sale; same day as Jassy sale. Obligation-driven under 10b5-1 plan.</w:t>
            </w:r>
          </w:p>
        </w:tc>
      </w:tr>
      <w:tr>
        <w:tc>
          <w:tcPr>
            <w:tcW w:type="dxa" w:w="1440"/>
          </w:tcPr>
          <w:p>
            <w:r>
              <w:rPr>
                <w:rFonts w:ascii="Calibri" w:hAnsi="Calibri"/>
                <w:sz w:val="22"/>
              </w:rPr>
              <w:t>Herrington, Douglas J.</w:t>
            </w:r>
          </w:p>
        </w:tc>
        <w:tc>
          <w:tcPr>
            <w:tcW w:type="dxa" w:w="1440"/>
          </w:tcPr>
          <w:p>
            <w:r>
              <w:rPr>
                <w:rFonts w:ascii="Calibri" w:hAnsi="Calibri"/>
                <w:sz w:val="22"/>
              </w:rPr>
              <w:t>CEO Worldwide Amazon Stores</w:t>
            </w:r>
          </w:p>
        </w:tc>
        <w:tc>
          <w:tcPr>
            <w:tcW w:type="dxa" w:w="1440"/>
          </w:tcPr>
          <w:p>
            <w:r>
              <w:rPr>
                <w:rFonts w:ascii="Calibri" w:hAnsi="Calibri"/>
                <w:sz w:val="22"/>
              </w:rPr>
              <w:t>10b5-1 Planned Sale</w:t>
            </w:r>
          </w:p>
        </w:tc>
        <w:tc>
          <w:tcPr>
            <w:tcW w:type="dxa" w:w="1440"/>
          </w:tcPr>
          <w:p>
            <w:r>
              <w:rPr>
                <w:rFonts w:ascii="Calibri" w:hAnsi="Calibri"/>
                <w:sz w:val="22"/>
              </w:rPr>
              <w:t>1,000</w:t>
            </w:r>
          </w:p>
        </w:tc>
        <w:tc>
          <w:tcPr>
            <w:tcW w:type="dxa" w:w="1440"/>
          </w:tcPr>
          <w:p>
            <w:r>
              <w:rPr>
                <w:rFonts w:ascii="Calibri" w:hAnsi="Calibri"/>
                <w:sz w:val="22"/>
              </w:rPr>
              <w:t>May 1, 2026</w:t>
            </w:r>
          </w:p>
        </w:tc>
        <w:tc>
          <w:tcPr>
            <w:tcW w:type="dxa" w:w="1440"/>
          </w:tcPr>
          <w:p>
            <w:r>
              <w:rPr>
                <w:rFonts w:ascii="Calibri" w:hAnsi="Calibri"/>
                <w:sz w:val="22"/>
              </w:rPr>
              <w:t>Routine monthly 10b5-1 plan sale.</w:t>
            </w:r>
          </w:p>
        </w:tc>
      </w:tr>
      <w:tr>
        <w:tc>
          <w:tcPr>
            <w:tcW w:type="dxa" w:w="1440"/>
          </w:tcPr>
          <w:p>
            <w:r>
              <w:rPr>
                <w:rFonts w:ascii="Calibri" w:hAnsi="Calibri"/>
                <w:sz w:val="22"/>
              </w:rPr>
              <w:t>Rubinstein, Jonathan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3,706</w:t>
            </w:r>
          </w:p>
        </w:tc>
        <w:tc>
          <w:tcPr>
            <w:tcW w:type="dxa" w:w="1440"/>
          </w:tcPr>
          <w:p>
            <w:r>
              <w:rPr>
                <w:rFonts w:ascii="Calibri" w:hAnsi="Calibri"/>
                <w:sz w:val="22"/>
              </w:rPr>
              <w:t>Apr 30, 2026</w:t>
            </w:r>
          </w:p>
        </w:tc>
        <w:tc>
          <w:tcPr>
            <w:tcW w:type="dxa" w:w="1440"/>
          </w:tcPr>
          <w:p>
            <w:r>
              <w:rPr>
                <w:rFonts w:ascii="Calibri" w:hAnsi="Calibri"/>
                <w:sz w:val="22"/>
              </w:rPr>
              <w:t>Pre-planned sale by independent director. Obligation-driven under 10b5-1 plan.</w:t>
            </w:r>
          </w:p>
        </w:tc>
      </w:tr>
    </w:tbl>
    <w:p>
      <w:r>
        <w:rPr>
          <w:rFonts w:ascii="Calibri" w:hAnsi="Calibri"/>
          <w:color w:val="525866"/>
          <w:sz w:val="22"/>
        </w:rPr>
        <w:t>Source: Insider Transaction Data (SEC Form 4 Filings). All transactions are open-market sales executed under pre-established 10b5-1 trading plans. No discretionary open-market buys or sells were filed in the period. The May 4 cluster (Jassy 31,352 shares + Herrington 27,500 shares) represents the largest single-day insider selling event in the period and coincides with the first trading day after the Q1 earnings lock-up window opened, consistent with routine post-earnings plan execution rather than a bearish signal.</w:t>
      </w:r>
    </w:p>
    <w:p>
      <w:r>
        <w:rPr>
          <w:rFonts w:ascii="Calibri" w:hAnsi="Calibri"/>
          <w:b/>
          <w:color w:val="525866"/>
          <w:sz w:val="22"/>
        </w:rPr>
        <w:t xml:space="preserve">Disclaimer: </w:t>
      </w:r>
      <w:r>
        <w:rPr>
          <w:rFonts w:ascii="Calibri" w:hAnsi="Calibri"/>
          <w:color w:val="525866"/>
          <w:sz w:val="22"/>
        </w:rPr>
        <w:t>This document is prepared for informational purposes only and does not constitute investment advice. All consensus estimates are sourced from Visible Alpha. Stock price data sourced from Yahoo Finance. Insider transaction data sourced from SEC Form 4 filings. Peer commentary sourced from publicly available earnings call transcripts. Prepared: July 29,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