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Amazon.com, Inc. (AMZN) — Q2 2026 Earnings Preview</w:t>
      </w:r>
    </w:p>
    <w:p>
      <w:r>
        <w:rPr>
          <w:rFonts w:ascii="Calibri" w:hAnsi="Calibri"/>
          <w:b/>
          <w:color w:val="525866"/>
          <w:sz w:val="22"/>
        </w:rPr>
        <w:t xml:space="preserve">Ticker: </w:t>
      </w:r>
      <w:r>
        <w:rPr>
          <w:rFonts w:ascii="Calibri" w:hAnsi="Calibri"/>
          <w:color w:val="525866"/>
          <w:sz w:val="22"/>
        </w:rPr>
        <w:t xml:space="preserve">AMZN  </w:t>
      </w:r>
      <w:r>
        <w:rPr>
          <w:rFonts w:ascii="Calibri" w:hAnsi="Calibri"/>
          <w:b/>
          <w:color w:val="525866"/>
          <w:sz w:val="22"/>
        </w:rPr>
        <w:t xml:space="preserve">Earnings Date: </w:t>
      </w:r>
      <w:r>
        <w:rPr>
          <w:rFonts w:ascii="Calibri" w:hAnsi="Calibri"/>
          <w:color w:val="525866"/>
          <w:sz w:val="22"/>
        </w:rPr>
        <w:t xml:space="preserve">July 30, 2026 (After Market Close)  </w:t>
      </w:r>
      <w:r>
        <w:rPr>
          <w:rFonts w:ascii="Calibri" w:hAnsi="Calibri"/>
          <w:b/>
          <w:color w:val="525866"/>
          <w:sz w:val="22"/>
        </w:rPr>
        <w:t xml:space="preserve">Prepared: </w:t>
      </w:r>
      <w:r>
        <w:rPr>
          <w:rFonts w:ascii="Calibri" w:hAnsi="Calibri"/>
          <w:color w:val="525866"/>
          <w:sz w:val="22"/>
        </w:rPr>
        <w:t>July 29, 2026</w:t>
      </w:r>
    </w:p>
    <w:p>
      <w:pPr>
        <w:pStyle w:val="Heading2"/>
      </w:pPr>
      <w:r>
        <w:rPr>
          <w:rFonts w:ascii="Calibri" w:hAnsi="Calibri"/>
          <w:b/>
          <w:color w:val="3B4259"/>
          <w:sz w:val="28"/>
        </w:rPr>
        <w:t>Earnings Preview</w:t>
      </w:r>
    </w:p>
    <w:p>
      <w:r>
        <w:rPr>
          <w:rFonts w:ascii="Calibri" w:hAnsi="Calibri"/>
          <w:b/>
          <w:color w:val="525866"/>
          <w:sz w:val="22"/>
        </w:rPr>
        <w:t xml:space="preserve">Key Takeaway: </w:t>
      </w:r>
      <w:r>
        <w:rPr>
          <w:rFonts w:ascii="Calibri" w:hAnsi="Calibri"/>
          <w:color w:val="525866"/>
          <w:sz w:val="22"/>
        </w:rPr>
        <w:t xml:space="preserve">The setup into Q2 2026 is constructive but not without risk — </w:t>
      </w:r>
      <w:r>
        <w:rPr>
          <w:rFonts w:ascii="Calibri" w:hAnsi="Calibri"/>
          <w:b/>
          <w:color w:val="525866"/>
          <w:sz w:val="22"/>
        </w:rPr>
        <w:t>AWS growth trajectory</w:t>
      </w:r>
      <w:r>
        <w:rPr>
          <w:rFonts w:ascii="Calibri" w:hAnsi="Calibri"/>
          <w:color w:val="525866"/>
          <w:sz w:val="22"/>
        </w:rPr>
        <w:t xml:space="preserve"> is the single biggest swing factor, and consensus is a moderately high bar given the 28% Q1 acceleration; the wildcard is whether management raises or holds its ~$200B capex guide amid intensifying investor scrutiny of hyperscaler spending following Alphabet's negative FCF quarter.</w:t>
      </w:r>
    </w:p>
    <w:p>
      <w:r>
        <w:rPr>
          <w:rFonts w:ascii="Calibri" w:hAnsi="Calibri"/>
          <w:color w:val="525866"/>
          <w:sz w:val="22"/>
        </w:rPr>
        <w:t xml:space="preserve">Heading into Q2 2026 results, the bar is elevated but achievable: consensus expects </w:t>
      </w:r>
      <w:r>
        <w:rPr>
          <w:rFonts w:ascii="Calibri" w:hAnsi="Calibri"/>
          <w:b/>
          <w:color w:val="525866"/>
          <w:sz w:val="22"/>
        </w:rPr>
        <w:t>~$196.7B in revenue (+17% YoY)</w:t>
      </w:r>
      <w:r>
        <w:rPr>
          <w:rFonts w:ascii="Calibri" w:hAnsi="Calibri"/>
          <w:color w:val="525866"/>
          <w:sz w:val="22"/>
        </w:rPr>
        <w:t xml:space="preserve"> and </w:t>
      </w:r>
      <w:r>
        <w:rPr>
          <w:rFonts w:ascii="Calibri" w:hAnsi="Calibri"/>
          <w:b/>
          <w:color w:val="525866"/>
          <w:sz w:val="22"/>
        </w:rPr>
        <w:t>~$23.7B in operating income</w:t>
      </w:r>
      <w:r>
        <w:rPr>
          <w:rFonts w:ascii="Calibri" w:hAnsi="Calibri"/>
          <w:color w:val="525866"/>
          <w:sz w:val="22"/>
        </w:rPr>
        <w:t xml:space="preserve"> — both within the company's own guidance range of $194–199B and $20–24B, respectively. Management's tone on the Q1 call was unambiguously bullish on AWS (28% growth, fastest in 15 quarters) and confident on retail efficiency, but the wide Q2 operating income guidance range ($4B spread) reflected real near-term headwinds: ~$1B in Amazon Leo launch costs, fuel inflation, and a seasonal SBC step-up. Estimate revisions have been broadly stable since the Q1 print, with the post-earnings baseline largely holding, suggesting the Street has absorbed guidance without meaningful drift in either direction. The stock has </w:t>
      </w:r>
      <w:r>
        <w:rPr>
          <w:rFonts w:ascii="Calibri" w:hAnsi="Calibri"/>
          <w:b/>
          <w:color w:val="525866"/>
          <w:sz w:val="22"/>
        </w:rPr>
        <w:t>underperformed sharply since earnings</w:t>
      </w:r>
      <w:r>
        <w:rPr>
          <w:rFonts w:ascii="Calibri" w:hAnsi="Calibri"/>
          <w:color w:val="525866"/>
          <w:sz w:val="22"/>
        </w:rPr>
        <w:t xml:space="preserve"> — down ~14% vs. the S&amp;P 500 up ~2.5% since April 29 — driven almost entirely by multiple compression as the Alphabet capex shock on July 23 dragged all hyperscalers lower, resetting sentiment. The key wildcard is </w:t>
      </w:r>
      <w:r>
        <w:rPr>
          <w:rFonts w:ascii="Calibri" w:hAnsi="Calibri"/>
          <w:b/>
          <w:color w:val="525866"/>
          <w:sz w:val="22"/>
        </w:rPr>
        <w:t>capex guidance for 2026 and 2027</w:t>
      </w:r>
      <w:r>
        <w:rPr>
          <w:rFonts w:ascii="Calibri" w:hAnsi="Calibri"/>
          <w:color w:val="525866"/>
          <w:sz w:val="22"/>
        </w:rPr>
        <w:t>: Amazon guided ~$200B for 2026 in February and reiterated it in April; any upward revision — especially with Alphabet raising to $195–205B and Microsoft guiding &gt;$50B for Q1 FY27 — risks a negative market reaction even on a solid operational beat, as investors are now acutely focused on FCF trajectory and return on AI infrastructure investment.</w:t>
      </w:r>
    </w:p>
    <w:p>
      <w:pPr>
        <w:pStyle w:val="Heading2"/>
      </w:pPr>
      <w:r>
        <w:rPr>
          <w:rFonts w:ascii="Calibri" w:hAnsi="Calibri"/>
          <w:b/>
          <w:color w:val="3B4259"/>
          <w:sz w:val="28"/>
        </w:rPr>
        <w:t>KPIs &amp; Consensus Expectations</w:t>
      </w:r>
    </w:p>
    <w:p>
      <w:r>
        <w:rPr>
          <w:rFonts w:ascii="Calibri" w:hAnsi="Calibri"/>
          <w:b/>
          <w:color w:val="525866"/>
          <w:sz w:val="22"/>
        </w:rPr>
        <w:t xml:space="preserve">Key Takeaway: </w:t>
      </w:r>
      <w:r>
        <w:rPr>
          <w:rFonts w:ascii="Calibri" w:hAnsi="Calibri"/>
          <w:color w:val="525866"/>
          <w:sz w:val="22"/>
        </w:rPr>
        <w:t xml:space="preserve">Consensus sits at the midpoint of guidance on revenue but slightly above the midpoint on operating income — the bar is moderate, not stretched. </w:t>
      </w:r>
      <w:r>
        <w:rPr>
          <w:rFonts w:ascii="Calibri" w:hAnsi="Calibri"/>
          <w:b/>
          <w:color w:val="525866"/>
          <w:sz w:val="22"/>
        </w:rPr>
        <w:t>AWS revenue growth rate</w:t>
      </w:r>
      <w:r>
        <w:rPr>
          <w:rFonts w:ascii="Calibri" w:hAnsi="Calibri"/>
          <w:color w:val="525866"/>
          <w:sz w:val="22"/>
        </w:rPr>
        <w:t xml:space="preserve"> is the bigger swing factor: any deceleration from Q1’s 28% would disappoint, while re-acceleration would be a meaningful positive catalyst.</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(Q1 2026)</w:t>
            </w:r>
          </w:p>
        </w:tc>
        <w:tc>
          <w:tcPr>
            <w:tcW w:type="dxa" w:w="1234"/>
            <w:shd w:val="clear" w:color="auto" w:fill="3B4259"/>
          </w:tcPr>
          <w:p>
            <w:r>
              <w:rPr>
                <w:rFonts w:ascii="Calibri" w:hAnsi="Calibri"/>
                <w:b/>
                <w:color w:val="FFFFFF"/>
                <w:sz w:val="22"/>
              </w:rPr>
              <w:t>Prior Year Period (Q2 2025)</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Total Net Sales ($B)</w:t>
            </w:r>
          </w:p>
        </w:tc>
        <w:tc>
          <w:tcPr>
            <w:tcW w:type="dxa" w:w="1234"/>
          </w:tcPr>
          <w:p>
            <w:r>
              <w:rPr>
                <w:rFonts w:ascii="Calibri" w:hAnsi="Calibri"/>
                <w:sz w:val="22"/>
              </w:rPr>
              <w:t>$181.5B</w:t>
            </w:r>
          </w:p>
        </w:tc>
        <w:tc>
          <w:tcPr>
            <w:tcW w:type="dxa" w:w="1234"/>
          </w:tcPr>
          <w:p>
            <w:r>
              <w:rPr>
                <w:rFonts w:ascii="Calibri" w:hAnsi="Calibri"/>
                <w:sz w:val="22"/>
              </w:rPr>
              <w:t>$167.7B</w:t>
            </w:r>
          </w:p>
        </w:tc>
        <w:tc>
          <w:tcPr>
            <w:tcW w:type="dxa" w:w="1234"/>
          </w:tcPr>
          <w:p>
            <w:r>
              <w:rPr>
                <w:rFonts w:ascii="Calibri" w:hAnsi="Calibri"/>
                <w:sz w:val="22"/>
              </w:rPr>
              <w:t>$196.7B</w:t>
            </w:r>
          </w:p>
        </w:tc>
        <w:tc>
          <w:tcPr>
            <w:tcW w:type="dxa" w:w="1234"/>
          </w:tcPr>
          <w:p>
            <w:r>
              <w:rPr>
                <w:rFonts w:ascii="Calibri" w:hAnsi="Calibri"/>
                <w:sz w:val="22"/>
              </w:rPr>
              <w:t>+17.3%</w:t>
            </w:r>
          </w:p>
        </w:tc>
        <w:tc>
          <w:tcPr>
            <w:tcW w:type="dxa" w:w="1234"/>
          </w:tcPr>
          <w:p>
            <w:r>
              <w:rPr>
                <w:rFonts w:ascii="Calibri" w:hAnsi="Calibri"/>
                <w:sz w:val="22"/>
              </w:rPr>
              <w:t>$194–$199B</w:t>
            </w:r>
          </w:p>
        </w:tc>
        <w:tc>
          <w:tcPr>
            <w:tcW w:type="dxa" w:w="1234"/>
          </w:tcPr>
          <w:p>
            <w:r>
              <w:rPr>
                <w:rFonts w:ascii="Calibri" w:hAnsi="Calibri"/>
                <w:sz w:val="22"/>
              </w:rPr>
              <w:t>-0.2% (at midpoint $196.5B)</w:t>
            </w:r>
          </w:p>
        </w:tc>
      </w:tr>
      <w:tr>
        <w:tc>
          <w:tcPr>
            <w:tcW w:type="dxa" w:w="1234"/>
          </w:tcPr>
          <w:p>
            <w:r>
              <w:rPr>
                <w:rFonts w:ascii="Calibri" w:hAnsi="Calibri"/>
                <w:sz w:val="22"/>
              </w:rPr>
              <w:t>AWS Net Sales ($B)</w:t>
            </w:r>
          </w:p>
        </w:tc>
        <w:tc>
          <w:tcPr>
            <w:tcW w:type="dxa" w:w="1234"/>
          </w:tcPr>
          <w:p>
            <w:r>
              <w:rPr>
                <w:rFonts w:ascii="Calibri" w:hAnsi="Calibri"/>
                <w:sz w:val="22"/>
              </w:rPr>
              <w:t>$37.6B</w:t>
            </w:r>
          </w:p>
        </w:tc>
        <w:tc>
          <w:tcPr>
            <w:tcW w:type="dxa" w:w="1234"/>
          </w:tcPr>
          <w:p>
            <w:r>
              <w:rPr>
                <w:rFonts w:ascii="Calibri" w:hAnsi="Calibri"/>
                <w:sz w:val="22"/>
              </w:rPr>
              <w:t>$30.9B</w:t>
            </w:r>
          </w:p>
        </w:tc>
        <w:tc>
          <w:tcPr>
            <w:tcW w:type="dxa" w:w="1234"/>
          </w:tcPr>
          <w:p>
            <w:r>
              <w:rPr>
                <w:rFonts w:ascii="Calibri" w:hAnsi="Calibri"/>
                <w:sz w:val="22"/>
              </w:rPr>
              <w:t>$40.5B</w:t>
            </w:r>
          </w:p>
        </w:tc>
        <w:tc>
          <w:tcPr>
            <w:tcW w:type="dxa" w:w="1234"/>
          </w:tcPr>
          <w:p>
            <w:r>
              <w:rPr>
                <w:rFonts w:ascii="Calibri" w:hAnsi="Calibri"/>
                <w:sz w:val="22"/>
              </w:rPr>
              <w:t>+31.1%</w:t>
            </w:r>
          </w:p>
        </w:tc>
        <w:tc>
          <w:tcPr>
            <w:tcW w:type="dxa" w:w="1234"/>
          </w:tcPr>
          <w:p>
            <w:r>
              <w:rPr>
                <w:rFonts w:ascii="Calibri" w:hAnsi="Calibri"/>
                <w:sz w:val="22"/>
              </w:rPr>
              <w:t>No specific segment guidance</w:t>
            </w:r>
          </w:p>
        </w:tc>
        <w:tc>
          <w:tcPr>
            <w:tcW w:type="dxa" w:w="1234"/>
          </w:tcPr>
          <w:p>
            <w:r>
              <w:rPr>
                <w:rFonts w:ascii="Calibri" w:hAnsi="Calibri"/>
                <w:sz w:val="22"/>
              </w:rPr>
              <w:t>N/A</w:t>
            </w:r>
          </w:p>
        </w:tc>
      </w:tr>
      <w:tr>
        <w:tc>
          <w:tcPr>
            <w:tcW w:type="dxa" w:w="1234"/>
          </w:tcPr>
          <w:p>
            <w:r>
              <w:rPr>
                <w:rFonts w:ascii="Calibri" w:hAnsi="Calibri"/>
                <w:sz w:val="22"/>
              </w:rPr>
              <w:t>Advertising Net Sales ($B)</w:t>
            </w:r>
          </w:p>
        </w:tc>
        <w:tc>
          <w:tcPr>
            <w:tcW w:type="dxa" w:w="1234"/>
          </w:tcPr>
          <w:p>
            <w:r>
              <w:rPr>
                <w:rFonts w:ascii="Calibri" w:hAnsi="Calibri"/>
                <w:sz w:val="22"/>
              </w:rPr>
              <w:t>$17.2B</w:t>
            </w:r>
          </w:p>
        </w:tc>
        <w:tc>
          <w:tcPr>
            <w:tcW w:type="dxa" w:w="1234"/>
          </w:tcPr>
          <w:p>
            <w:r>
              <w:rPr>
                <w:rFonts w:ascii="Calibri" w:hAnsi="Calibri"/>
                <w:sz w:val="22"/>
              </w:rPr>
              <w:t>$15.7B</w:t>
            </w:r>
          </w:p>
        </w:tc>
        <w:tc>
          <w:tcPr>
            <w:tcW w:type="dxa" w:w="1234"/>
          </w:tcPr>
          <w:p>
            <w:r>
              <w:rPr>
                <w:rFonts w:ascii="Calibri" w:hAnsi="Calibri"/>
                <w:sz w:val="22"/>
              </w:rPr>
              <w:t>$19.4B</w:t>
            </w:r>
          </w:p>
        </w:tc>
        <w:tc>
          <w:tcPr>
            <w:tcW w:type="dxa" w:w="1234"/>
          </w:tcPr>
          <w:p>
            <w:r>
              <w:rPr>
                <w:rFonts w:ascii="Calibri" w:hAnsi="Calibri"/>
                <w:sz w:val="22"/>
              </w:rPr>
              <w:t>+23.5%</w:t>
            </w:r>
          </w:p>
        </w:tc>
        <w:tc>
          <w:tcPr>
            <w:tcW w:type="dxa" w:w="1234"/>
          </w:tcPr>
          <w:p>
            <w:r>
              <w:rPr>
                <w:rFonts w:ascii="Calibri" w:hAnsi="Calibri"/>
                <w:sz w:val="22"/>
              </w:rPr>
              <w:t>No specific segment guidance</w:t>
            </w:r>
          </w:p>
        </w:tc>
        <w:tc>
          <w:tcPr>
            <w:tcW w:type="dxa" w:w="1234"/>
          </w:tcPr>
          <w:p>
            <w:r>
              <w:rPr>
                <w:rFonts w:ascii="Calibri" w:hAnsi="Calibri"/>
                <w:sz w:val="22"/>
              </w:rPr>
              <w:t>N/A</w:t>
            </w:r>
          </w:p>
        </w:tc>
      </w:tr>
      <w:tr>
        <w:tc>
          <w:tcPr>
            <w:tcW w:type="dxa" w:w="1234"/>
          </w:tcPr>
          <w:p>
            <w:r>
              <w:rPr>
                <w:rFonts w:ascii="Calibri" w:hAnsi="Calibri"/>
                <w:sz w:val="22"/>
              </w:rPr>
              <w:t>Operating Income ($B)</w:t>
            </w:r>
          </w:p>
        </w:tc>
        <w:tc>
          <w:tcPr>
            <w:tcW w:type="dxa" w:w="1234"/>
          </w:tcPr>
          <w:p>
            <w:r>
              <w:rPr>
                <w:rFonts w:ascii="Calibri" w:hAnsi="Calibri"/>
                <w:sz w:val="22"/>
              </w:rPr>
              <w:t>$23.9B</w:t>
            </w:r>
          </w:p>
        </w:tc>
        <w:tc>
          <w:tcPr>
            <w:tcW w:type="dxa" w:w="1234"/>
          </w:tcPr>
          <w:p>
            <w:r>
              <w:rPr>
                <w:rFonts w:ascii="Calibri" w:hAnsi="Calibri"/>
                <w:sz w:val="22"/>
              </w:rPr>
              <w:t>$19.2B</w:t>
            </w:r>
          </w:p>
        </w:tc>
        <w:tc>
          <w:tcPr>
            <w:tcW w:type="dxa" w:w="1234"/>
          </w:tcPr>
          <w:p>
            <w:r>
              <w:rPr>
                <w:rFonts w:ascii="Calibri" w:hAnsi="Calibri"/>
                <w:sz w:val="22"/>
              </w:rPr>
              <w:t>$23.7B</w:t>
            </w:r>
          </w:p>
        </w:tc>
        <w:tc>
          <w:tcPr>
            <w:tcW w:type="dxa" w:w="1234"/>
          </w:tcPr>
          <w:p>
            <w:r>
              <w:rPr>
                <w:rFonts w:ascii="Calibri" w:hAnsi="Calibri"/>
                <w:sz w:val="22"/>
              </w:rPr>
              <w:t>+23.7%</w:t>
            </w:r>
          </w:p>
        </w:tc>
        <w:tc>
          <w:tcPr>
            <w:tcW w:type="dxa" w:w="1234"/>
          </w:tcPr>
          <w:p>
            <w:r>
              <w:rPr>
                <w:rFonts w:ascii="Calibri" w:hAnsi="Calibri"/>
                <w:sz w:val="22"/>
              </w:rPr>
              <w:t>$20–$24B</w:t>
            </w:r>
          </w:p>
        </w:tc>
        <w:tc>
          <w:tcPr>
            <w:tcW w:type="dxa" w:w="1234"/>
          </w:tcPr>
          <w:p>
            <w:r>
              <w:rPr>
                <w:rFonts w:ascii="Calibri" w:hAnsi="Calibri"/>
                <w:sz w:val="22"/>
              </w:rPr>
              <w:t>+7.1% above midpoint ($22B)</w:t>
            </w:r>
          </w:p>
        </w:tc>
      </w:tr>
      <w:tr>
        <w:tc>
          <w:tcPr>
            <w:tcW w:type="dxa" w:w="1234"/>
          </w:tcPr>
          <w:p>
            <w:r>
              <w:rPr>
                <w:rFonts w:ascii="Calibri" w:hAnsi="Calibri"/>
                <w:sz w:val="22"/>
              </w:rPr>
              <w:t>Operating Margin (%)</w:t>
            </w:r>
          </w:p>
        </w:tc>
        <w:tc>
          <w:tcPr>
            <w:tcW w:type="dxa" w:w="1234"/>
          </w:tcPr>
          <w:p>
            <w:r>
              <w:rPr>
                <w:rFonts w:ascii="Calibri" w:hAnsi="Calibri"/>
                <w:sz w:val="22"/>
              </w:rPr>
              <w:t>13.1%</w:t>
            </w:r>
          </w:p>
        </w:tc>
        <w:tc>
          <w:tcPr>
            <w:tcW w:type="dxa" w:w="1234"/>
          </w:tcPr>
          <w:p>
            <w:r>
              <w:rPr>
                <w:rFonts w:ascii="Calibri" w:hAnsi="Calibri"/>
                <w:sz w:val="22"/>
              </w:rPr>
              <w:t>11.4%</w:t>
            </w:r>
          </w:p>
        </w:tc>
        <w:tc>
          <w:tcPr>
            <w:tcW w:type="dxa" w:w="1234"/>
          </w:tcPr>
          <w:p>
            <w:r>
              <w:rPr>
                <w:rFonts w:ascii="Calibri" w:hAnsi="Calibri"/>
                <w:sz w:val="22"/>
              </w:rPr>
              <w:t>~12.1%</w:t>
            </w:r>
          </w:p>
        </w:tc>
        <w:tc>
          <w:tcPr>
            <w:tcW w:type="dxa" w:w="1234"/>
          </w:tcPr>
          <w:p>
            <w:r>
              <w:rPr>
                <w:rFonts w:ascii="Calibri" w:hAnsi="Calibri"/>
                <w:sz w:val="22"/>
              </w:rPr>
              <w:t>+70 bps YoY</w:t>
            </w:r>
          </w:p>
        </w:tc>
        <w:tc>
          <w:tcPr>
            <w:tcW w:type="dxa" w:w="1234"/>
          </w:tcPr>
          <w:p>
            <w:r>
              <w:rPr>
                <w:rFonts w:ascii="Calibri" w:hAnsi="Calibri"/>
                <w:sz w:val="22"/>
              </w:rPr>
              <w:t>Implied 10.3%–12.1%</w:t>
            </w:r>
          </w:p>
        </w:tc>
        <w:tc>
          <w:tcPr>
            <w:tcW w:type="dxa" w:w="1234"/>
          </w:tcPr>
          <w:p>
            <w:r>
              <w:rPr>
                <w:rFonts w:ascii="Calibri" w:hAnsi="Calibri"/>
                <w:sz w:val="22"/>
              </w:rPr>
              <w:t>At high end of range</w:t>
            </w:r>
          </w:p>
        </w:tc>
      </w:tr>
      <w:tr>
        <w:tc>
          <w:tcPr>
            <w:tcW w:type="dxa" w:w="1234"/>
          </w:tcPr>
          <w:p>
            <w:r>
              <w:rPr>
                <w:rFonts w:ascii="Calibri" w:hAnsi="Calibri"/>
                <w:sz w:val="22"/>
              </w:rPr>
              <w:t>EPS — Diluted, Operating ($)</w:t>
            </w:r>
          </w:p>
        </w:tc>
        <w:tc>
          <w:tcPr>
            <w:tcW w:type="dxa" w:w="1234"/>
          </w:tcPr>
          <w:p>
            <w:r>
              <w:rPr>
                <w:rFonts w:ascii="Calibri" w:hAnsi="Calibri"/>
                <w:sz w:val="22"/>
              </w:rPr>
              <w:t>$3.22</w:t>
            </w:r>
          </w:p>
        </w:tc>
        <w:tc>
          <w:tcPr>
            <w:tcW w:type="dxa" w:w="1234"/>
          </w:tcPr>
          <w:p>
            <w:r>
              <w:rPr>
                <w:rFonts w:ascii="Calibri" w:hAnsi="Calibri"/>
                <w:sz w:val="22"/>
              </w:rPr>
              <w:t>$2.17</w:t>
            </w:r>
          </w:p>
        </w:tc>
        <w:tc>
          <w:tcPr>
            <w:tcW w:type="dxa" w:w="1234"/>
          </w:tcPr>
          <w:p>
            <w:r>
              <w:rPr>
                <w:rFonts w:ascii="Calibri" w:hAnsi="Calibri"/>
                <w:sz w:val="22"/>
              </w:rPr>
              <w:t>$3.43</w:t>
            </w:r>
          </w:p>
        </w:tc>
        <w:tc>
          <w:tcPr>
            <w:tcW w:type="dxa" w:w="1234"/>
          </w:tcPr>
          <w:p>
            <w:r>
              <w:rPr>
                <w:rFonts w:ascii="Calibri" w:hAnsi="Calibri"/>
                <w:sz w:val="22"/>
              </w:rPr>
              <w:t>+58.1%</w:t>
            </w:r>
          </w:p>
        </w:tc>
        <w:tc>
          <w:tcPr>
            <w:tcW w:type="dxa" w:w="1234"/>
          </w:tcPr>
          <w:p>
            <w:r>
              <w:rPr>
                <w:rFonts w:ascii="Calibri" w:hAnsi="Calibri"/>
                <w:sz w:val="22"/>
              </w:rPr>
              <w:t>No specific EPS guidance</w:t>
            </w:r>
          </w:p>
        </w:tc>
        <w:tc>
          <w:tcPr>
            <w:tcW w:type="dxa" w:w="1234"/>
          </w:tcPr>
          <w:p>
            <w:r>
              <w:rPr>
                <w:rFonts w:ascii="Calibri" w:hAnsi="Calibri"/>
                <w:sz w:val="22"/>
              </w:rPr>
              <w:t>N/A</w:t>
            </w:r>
          </w:p>
        </w:tc>
      </w:tr>
      <w:tr>
        <w:tc>
          <w:tcPr>
            <w:tcW w:type="dxa" w:w="1234"/>
          </w:tcPr>
          <w:p>
            <w:r>
              <w:rPr>
                <w:rFonts w:ascii="Calibri" w:hAnsi="Calibri"/>
                <w:sz w:val="22"/>
              </w:rPr>
              <w:t>Free Cash Flow ($B)</w:t>
            </w:r>
          </w:p>
        </w:tc>
        <w:tc>
          <w:tcPr>
            <w:tcW w:type="dxa" w:w="1234"/>
          </w:tcPr>
          <w:p>
            <w:r>
              <w:rPr>
                <w:rFonts w:ascii="Calibri" w:hAnsi="Calibri"/>
                <w:sz w:val="22"/>
              </w:rPr>
              <w:t>-$17.2B</w:t>
            </w:r>
          </w:p>
        </w:tc>
        <w:tc>
          <w:tcPr>
            <w:tcW w:type="dxa" w:w="1234"/>
          </w:tcPr>
          <w:p>
            <w:r>
              <w:rPr>
                <w:rFonts w:ascii="Calibri" w:hAnsi="Calibri"/>
                <w:sz w:val="22"/>
              </w:rPr>
              <w:t>$1.1B</w:t>
            </w:r>
          </w:p>
        </w:tc>
        <w:tc>
          <w:tcPr>
            <w:tcW w:type="dxa" w:w="1234"/>
          </w:tcPr>
          <w:p>
            <w:r>
              <w:rPr>
                <w:rFonts w:ascii="Calibri" w:hAnsi="Calibri"/>
                <w:sz w:val="22"/>
              </w:rPr>
              <w:t>$2.8B</w:t>
            </w:r>
          </w:p>
        </w:tc>
        <w:tc>
          <w:tcPr>
            <w:tcW w:type="dxa" w:w="1234"/>
          </w:tcPr>
          <w:p>
            <w:r>
              <w:rPr>
                <w:rFonts w:ascii="Calibri" w:hAnsi="Calibri"/>
                <w:sz w:val="22"/>
              </w:rPr>
              <w:t>N/M (prior year near breakeven)</w:t>
            </w:r>
          </w:p>
        </w:tc>
        <w:tc>
          <w:tcPr>
            <w:tcW w:type="dxa" w:w="1234"/>
          </w:tcPr>
          <w:p>
            <w:r>
              <w:rPr>
                <w:rFonts w:ascii="Calibri" w:hAnsi="Calibri"/>
                <w:sz w:val="22"/>
              </w:rPr>
              <w:t>No specific FCF guidance</w:t>
            </w:r>
          </w:p>
        </w:tc>
        <w:tc>
          <w:tcPr>
            <w:tcW w:type="dxa" w:w="1234"/>
          </w:tcPr>
          <w:p>
            <w:r>
              <w:rPr>
                <w:rFonts w:ascii="Calibri" w:hAnsi="Calibri"/>
                <w:sz w:val="22"/>
              </w:rPr>
              <w:t>N/A</w:t>
            </w:r>
          </w:p>
        </w:tc>
      </w:tr>
      <w:tr>
        <w:tc>
          <w:tcPr>
            <w:tcW w:type="dxa" w:w="1234"/>
          </w:tcPr>
          <w:p>
            <w:r>
              <w:rPr>
                <w:rFonts w:ascii="Calibri" w:hAnsi="Calibri"/>
                <w:sz w:val="22"/>
              </w:rPr>
              <w:t>AWS Capex ($B, excl. finance leases)</w:t>
            </w:r>
          </w:p>
        </w:tc>
        <w:tc>
          <w:tcPr>
            <w:tcW w:type="dxa" w:w="1234"/>
          </w:tcPr>
          <w:p>
            <w:r>
              <w:rPr>
                <w:rFonts w:ascii="Calibri" w:hAnsi="Calibri"/>
                <w:sz w:val="22"/>
              </w:rPr>
              <w:t>$36.9B</w:t>
            </w:r>
          </w:p>
        </w:tc>
        <w:tc>
          <w:tcPr>
            <w:tcW w:type="dxa" w:w="1234"/>
          </w:tcPr>
          <w:p>
            <w:r>
              <w:rPr>
                <w:rFonts w:ascii="Calibri" w:hAnsi="Calibri"/>
                <w:sz w:val="22"/>
              </w:rPr>
              <w:t>$15.1B</w:t>
            </w:r>
          </w:p>
        </w:tc>
        <w:tc>
          <w:tcPr>
            <w:tcW w:type="dxa" w:w="1234"/>
          </w:tcPr>
          <w:p>
            <w:r>
              <w:rPr>
                <w:rFonts w:ascii="Calibri" w:hAnsi="Calibri"/>
                <w:sz w:val="22"/>
              </w:rPr>
              <w:t>$36.8B</w:t>
            </w:r>
          </w:p>
        </w:tc>
        <w:tc>
          <w:tcPr>
            <w:tcW w:type="dxa" w:w="1234"/>
          </w:tcPr>
          <w:p>
            <w:r>
              <w:rPr>
                <w:rFonts w:ascii="Calibri" w:hAnsi="Calibri"/>
                <w:sz w:val="22"/>
              </w:rPr>
              <w:t>+144% YoY</w:t>
            </w:r>
          </w:p>
        </w:tc>
        <w:tc>
          <w:tcPr>
            <w:tcW w:type="dxa" w:w="1234"/>
          </w:tcPr>
          <w:p>
            <w:r>
              <w:rPr>
                <w:rFonts w:ascii="Calibri" w:hAnsi="Calibri"/>
                <w:sz w:val="22"/>
              </w:rPr>
              <w:t>~$200B total 2026 capex (reiterated)</w:t>
            </w:r>
          </w:p>
        </w:tc>
        <w:tc>
          <w:tcPr>
            <w:tcW w:type="dxa" w:w="1234"/>
          </w:tcPr>
          <w:p>
            <w:r>
              <w:rPr>
                <w:rFonts w:ascii="Calibri" w:hAnsi="Calibri"/>
                <w:sz w:val="22"/>
              </w:rPr>
              <w:t>N/A</w:t>
            </w:r>
          </w:p>
        </w:tc>
      </w:tr>
    </w:tbl>
    <w:p>
      <w:r>
        <w:rPr>
          <w:rFonts w:ascii="Calibri" w:hAnsi="Calibri"/>
          <w:i/>
          <w:color w:val="525866"/>
          <w:sz w:val="22"/>
        </w:rPr>
        <w:t>Source: Visible Alpha Consensus and Actuals Data. All consensus figures as of July 29, 2026.</w:t>
      </w:r>
    </w:p>
    <w:p>
      <w:pPr>
        <w:pStyle w:val="Heading3"/>
      </w:pPr>
      <w:r>
        <w:rPr>
          <w:rFonts w:ascii="Calibri" w:hAnsi="Calibri"/>
          <w:b/>
          <w:color w:val="3B4259"/>
          <w:sz w:val="24"/>
        </w:rPr>
        <w:t>Table 2 — Beat/Miss History (Last 8 Quarters, Top 2 KPIs: Total Net Sales &amp; AWS Net Sales)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 ($B)</w:t>
            </w:r>
          </w:p>
        </w:tc>
        <w:tc>
          <w:tcPr>
            <w:tcW w:type="dxa" w:w="1440"/>
            <w:shd w:val="clear" w:color="auto" w:fill="3B4259"/>
          </w:tcPr>
          <w:p>
            <w:r>
              <w:rPr>
                <w:rFonts w:ascii="Calibri" w:hAnsi="Calibri"/>
                <w:b/>
                <w:color w:val="FFFFFF"/>
                <w:sz w:val="22"/>
              </w:rPr>
              <w:t>Consensus ($B)</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Total Net Sales</w:t>
            </w:r>
          </w:p>
        </w:tc>
        <w:tc>
          <w:tcPr>
            <w:tcW w:type="dxa" w:w="1440"/>
          </w:tcPr>
          <w:p>
            <w:r>
              <w:rPr>
                <w:rFonts w:ascii="Calibri" w:hAnsi="Calibri"/>
                <w:sz w:val="22"/>
              </w:rPr>
              <w:t>$181.5B</w:t>
            </w:r>
          </w:p>
        </w:tc>
        <w:tc>
          <w:tcPr>
            <w:tcW w:type="dxa" w:w="1440"/>
          </w:tcPr>
          <w:p>
            <w:r>
              <w:rPr>
                <w:rFonts w:ascii="Calibri" w:hAnsi="Calibri"/>
                <w:sz w:val="22"/>
              </w:rPr>
              <w:t>$177.3B</w:t>
            </w:r>
          </w:p>
        </w:tc>
        <w:tc>
          <w:tcPr>
            <w:tcW w:type="dxa" w:w="1440"/>
          </w:tcPr>
          <w:p>
            <w:r>
              <w:rPr>
                <w:rFonts w:ascii="Calibri" w:hAnsi="Calibri"/>
                <w:b/>
                <w:color w:val="30A46C"/>
                <w:sz w:val="22"/>
              </w:rPr>
              <w:t>+2.4%</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AWS Net Sales</w:t>
            </w:r>
          </w:p>
        </w:tc>
        <w:tc>
          <w:tcPr>
            <w:tcW w:type="dxa" w:w="1440"/>
          </w:tcPr>
          <w:p>
            <w:r>
              <w:rPr>
                <w:rFonts w:ascii="Calibri" w:hAnsi="Calibri"/>
                <w:sz w:val="22"/>
              </w:rPr>
              <w:t>$37.6B</w:t>
            </w:r>
          </w:p>
        </w:tc>
        <w:tc>
          <w:tcPr>
            <w:tcW w:type="dxa" w:w="1440"/>
          </w:tcPr>
          <w:p>
            <w:r>
              <w:rPr>
                <w:rFonts w:ascii="Calibri" w:hAnsi="Calibri"/>
                <w:sz w:val="22"/>
              </w:rPr>
              <w:t>$36.8B</w:t>
            </w:r>
          </w:p>
        </w:tc>
        <w:tc>
          <w:tcPr>
            <w:tcW w:type="dxa" w:w="1440"/>
          </w:tcPr>
          <w:p>
            <w:r>
              <w:rPr>
                <w:rFonts w:ascii="Calibri" w:hAnsi="Calibri"/>
                <w:b/>
                <w:color w:val="30A46C"/>
                <w:sz w:val="22"/>
              </w:rPr>
              <w:t>+2.2%</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Total Net Sales</w:t>
            </w:r>
          </w:p>
        </w:tc>
        <w:tc>
          <w:tcPr>
            <w:tcW w:type="dxa" w:w="1440"/>
          </w:tcPr>
          <w:p>
            <w:r>
              <w:rPr>
                <w:rFonts w:ascii="Calibri" w:hAnsi="Calibri"/>
                <w:sz w:val="22"/>
              </w:rPr>
              <w:t>$213.4B</w:t>
            </w:r>
          </w:p>
        </w:tc>
        <w:tc>
          <w:tcPr>
            <w:tcW w:type="dxa" w:w="1440"/>
          </w:tcPr>
          <w:p>
            <w:r>
              <w:rPr>
                <w:rFonts w:ascii="Calibri" w:hAnsi="Calibri"/>
                <w:sz w:val="22"/>
              </w:rPr>
              <w:t>$211.6B</w:t>
            </w:r>
          </w:p>
        </w:tc>
        <w:tc>
          <w:tcPr>
            <w:tcW w:type="dxa" w:w="1440"/>
          </w:tcPr>
          <w:p>
            <w:r>
              <w:rPr>
                <w:rFonts w:ascii="Calibri" w:hAnsi="Calibri"/>
                <w:b/>
                <w:color w:val="30A46C"/>
                <w:sz w:val="22"/>
              </w:rPr>
              <w:t>+0.9%</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AWS Net Sales</w:t>
            </w:r>
          </w:p>
        </w:tc>
        <w:tc>
          <w:tcPr>
            <w:tcW w:type="dxa" w:w="1440"/>
          </w:tcPr>
          <w:p>
            <w:r>
              <w:rPr>
                <w:rFonts w:ascii="Calibri" w:hAnsi="Calibri"/>
                <w:sz w:val="22"/>
              </w:rPr>
              <w:t>$35.6B</w:t>
            </w:r>
          </w:p>
        </w:tc>
        <w:tc>
          <w:tcPr>
            <w:tcW w:type="dxa" w:w="1440"/>
          </w:tcPr>
          <w:p>
            <w:r>
              <w:rPr>
                <w:rFonts w:ascii="Calibri" w:hAnsi="Calibri"/>
                <w:sz w:val="22"/>
              </w:rPr>
              <w:t>$34.8B</w:t>
            </w:r>
          </w:p>
        </w:tc>
        <w:tc>
          <w:tcPr>
            <w:tcW w:type="dxa" w:w="1440"/>
          </w:tcPr>
          <w:p>
            <w:r>
              <w:rPr>
                <w:rFonts w:ascii="Calibri" w:hAnsi="Calibri"/>
                <w:b/>
                <w:color w:val="30A46C"/>
                <w:sz w:val="22"/>
              </w:rPr>
              <w:t>+2.2%</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Total Net Sales</w:t>
            </w:r>
          </w:p>
        </w:tc>
        <w:tc>
          <w:tcPr>
            <w:tcW w:type="dxa" w:w="1440"/>
          </w:tcPr>
          <w:p>
            <w:r>
              <w:rPr>
                <w:rFonts w:ascii="Calibri" w:hAnsi="Calibri"/>
                <w:sz w:val="22"/>
              </w:rPr>
              <w:t>$180.2B</w:t>
            </w:r>
          </w:p>
        </w:tc>
        <w:tc>
          <w:tcPr>
            <w:tcW w:type="dxa" w:w="1440"/>
          </w:tcPr>
          <w:p>
            <w:r>
              <w:rPr>
                <w:rFonts w:ascii="Calibri" w:hAnsi="Calibri"/>
                <w:sz w:val="22"/>
              </w:rPr>
              <w:t>$177.9B</w:t>
            </w:r>
          </w:p>
        </w:tc>
        <w:tc>
          <w:tcPr>
            <w:tcW w:type="dxa" w:w="1440"/>
          </w:tcPr>
          <w:p>
            <w:r>
              <w:rPr>
                <w:rFonts w:ascii="Calibri" w:hAnsi="Calibri"/>
                <w:b/>
                <w:color w:val="30A46C"/>
                <w:sz w:val="22"/>
              </w:rPr>
              <w:t>+1.3%</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AWS Net Sales</w:t>
            </w:r>
          </w:p>
        </w:tc>
        <w:tc>
          <w:tcPr>
            <w:tcW w:type="dxa" w:w="1440"/>
          </w:tcPr>
          <w:p>
            <w:r>
              <w:rPr>
                <w:rFonts w:ascii="Calibri" w:hAnsi="Calibri"/>
                <w:sz w:val="22"/>
              </w:rPr>
              <w:t>$33.0B</w:t>
            </w:r>
          </w:p>
        </w:tc>
        <w:tc>
          <w:tcPr>
            <w:tcW w:type="dxa" w:w="1440"/>
          </w:tcPr>
          <w:p>
            <w:r>
              <w:rPr>
                <w:rFonts w:ascii="Calibri" w:hAnsi="Calibri"/>
                <w:sz w:val="22"/>
              </w:rPr>
              <w:t>$32.4B</w:t>
            </w:r>
          </w:p>
        </w:tc>
        <w:tc>
          <w:tcPr>
            <w:tcW w:type="dxa" w:w="1440"/>
          </w:tcPr>
          <w:p>
            <w:r>
              <w:rPr>
                <w:rFonts w:ascii="Calibri" w:hAnsi="Calibri"/>
                <w:b/>
                <w:color w:val="30A46C"/>
                <w:sz w:val="22"/>
              </w:rPr>
              <w:t>+1.9%</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Total Net Sales</w:t>
            </w:r>
          </w:p>
        </w:tc>
        <w:tc>
          <w:tcPr>
            <w:tcW w:type="dxa" w:w="1440"/>
          </w:tcPr>
          <w:p>
            <w:r>
              <w:rPr>
                <w:rFonts w:ascii="Calibri" w:hAnsi="Calibri"/>
                <w:sz w:val="22"/>
              </w:rPr>
              <w:t>$167.7B</w:t>
            </w:r>
          </w:p>
        </w:tc>
        <w:tc>
          <w:tcPr>
            <w:tcW w:type="dxa" w:w="1440"/>
          </w:tcPr>
          <w:p>
            <w:r>
              <w:rPr>
                <w:rFonts w:ascii="Calibri" w:hAnsi="Calibri"/>
                <w:sz w:val="22"/>
              </w:rPr>
              <w:t>$162.2B</w:t>
            </w:r>
          </w:p>
        </w:tc>
        <w:tc>
          <w:tcPr>
            <w:tcW w:type="dxa" w:w="1440"/>
          </w:tcPr>
          <w:p>
            <w:r>
              <w:rPr>
                <w:rFonts w:ascii="Calibri" w:hAnsi="Calibri"/>
                <w:b/>
                <w:color w:val="30A46C"/>
                <w:sz w:val="22"/>
              </w:rPr>
              <w:t>+3.4%</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AWS Net Sales</w:t>
            </w:r>
          </w:p>
        </w:tc>
        <w:tc>
          <w:tcPr>
            <w:tcW w:type="dxa" w:w="1440"/>
          </w:tcPr>
          <w:p>
            <w:r>
              <w:rPr>
                <w:rFonts w:ascii="Calibri" w:hAnsi="Calibri"/>
                <w:sz w:val="22"/>
              </w:rPr>
              <w:t>$30.9B</w:t>
            </w:r>
          </w:p>
        </w:tc>
        <w:tc>
          <w:tcPr>
            <w:tcW w:type="dxa" w:w="1440"/>
          </w:tcPr>
          <w:p>
            <w:r>
              <w:rPr>
                <w:rFonts w:ascii="Calibri" w:hAnsi="Calibri"/>
                <w:sz w:val="22"/>
              </w:rPr>
              <w:t>$30.8B</w:t>
            </w:r>
          </w:p>
        </w:tc>
        <w:tc>
          <w:tcPr>
            <w:tcW w:type="dxa" w:w="1440"/>
          </w:tcPr>
          <w:p>
            <w:r>
              <w:rPr>
                <w:rFonts w:ascii="Calibri" w:hAnsi="Calibri"/>
                <w:b/>
                <w:color w:val="30A46C"/>
                <w:sz w:val="22"/>
              </w:rPr>
              <w:t>+0.4%</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Total Net Sales</w:t>
            </w:r>
          </w:p>
        </w:tc>
        <w:tc>
          <w:tcPr>
            <w:tcW w:type="dxa" w:w="1440"/>
          </w:tcPr>
          <w:p>
            <w:r>
              <w:rPr>
                <w:rFonts w:ascii="Calibri" w:hAnsi="Calibri"/>
                <w:sz w:val="22"/>
              </w:rPr>
              <w:t>$155.7B</w:t>
            </w:r>
          </w:p>
        </w:tc>
        <w:tc>
          <w:tcPr>
            <w:tcW w:type="dxa" w:w="1440"/>
          </w:tcPr>
          <w:p>
            <w:r>
              <w:rPr>
                <w:rFonts w:ascii="Calibri" w:hAnsi="Calibri"/>
                <w:sz w:val="22"/>
              </w:rPr>
              <w:t>$155.1B</w:t>
            </w:r>
          </w:p>
        </w:tc>
        <w:tc>
          <w:tcPr>
            <w:tcW w:type="dxa" w:w="1440"/>
          </w:tcPr>
          <w:p>
            <w:r>
              <w:rPr>
                <w:rFonts w:ascii="Calibri" w:hAnsi="Calibri"/>
                <w:b/>
                <w:color w:val="30A46C"/>
                <w:sz w:val="22"/>
              </w:rPr>
              <w:t>+0.4%</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AWS Net Sales</w:t>
            </w:r>
          </w:p>
        </w:tc>
        <w:tc>
          <w:tcPr>
            <w:tcW w:type="dxa" w:w="1440"/>
          </w:tcPr>
          <w:p>
            <w:r>
              <w:rPr>
                <w:rFonts w:ascii="Calibri" w:hAnsi="Calibri"/>
                <w:sz w:val="22"/>
              </w:rPr>
              <w:t>$29.3B</w:t>
            </w:r>
          </w:p>
        </w:tc>
        <w:tc>
          <w:tcPr>
            <w:tcW w:type="dxa" w:w="1440"/>
          </w:tcPr>
          <w:p>
            <w:r>
              <w:rPr>
                <w:rFonts w:ascii="Calibri" w:hAnsi="Calibri"/>
                <w:sz w:val="22"/>
              </w:rPr>
              <w:t>$29.4B</w:t>
            </w:r>
          </w:p>
        </w:tc>
        <w:tc>
          <w:tcPr>
            <w:tcW w:type="dxa" w:w="1440"/>
          </w:tcPr>
          <w:p>
            <w:r>
              <w:rPr>
                <w:rFonts w:ascii="Calibri" w:hAnsi="Calibri"/>
                <w:b/>
                <w:color w:val="E5484D"/>
                <w:sz w:val="22"/>
              </w:rPr>
              <w:t>-0.3%</w:t>
            </w:r>
          </w:p>
        </w:tc>
        <w:tc>
          <w:tcPr>
            <w:tcW w:type="dxa" w:w="1440"/>
          </w:tcPr>
          <w:p>
            <w:r>
              <w:rPr>
                <w:rFonts w:ascii="Calibri" w:hAnsi="Calibri"/>
                <w:b/>
                <w:color w:val="E5484D"/>
                <w:sz w:val="22"/>
              </w:rPr>
              <w:t>Miss</w:t>
            </w:r>
          </w:p>
        </w:tc>
      </w:tr>
      <w:tr>
        <w:tc>
          <w:tcPr>
            <w:tcW w:type="dxa" w:w="1440"/>
          </w:tcPr>
          <w:p>
            <w:r>
              <w:rPr>
                <w:rFonts w:ascii="Calibri" w:hAnsi="Calibri"/>
                <w:sz w:val="22"/>
              </w:rPr>
              <w:t>Q4 2024</w:t>
            </w:r>
          </w:p>
        </w:tc>
        <w:tc>
          <w:tcPr>
            <w:tcW w:type="dxa" w:w="1440"/>
          </w:tcPr>
          <w:p>
            <w:r>
              <w:rPr>
                <w:rFonts w:ascii="Calibri" w:hAnsi="Calibri"/>
                <w:sz w:val="22"/>
              </w:rPr>
              <w:t>Total Net Sales</w:t>
            </w:r>
          </w:p>
        </w:tc>
        <w:tc>
          <w:tcPr>
            <w:tcW w:type="dxa" w:w="1440"/>
          </w:tcPr>
          <w:p>
            <w:r>
              <w:rPr>
                <w:rFonts w:ascii="Calibri" w:hAnsi="Calibri"/>
                <w:sz w:val="22"/>
              </w:rPr>
              <w:t>$187.8B</w:t>
            </w:r>
          </w:p>
        </w:tc>
        <w:tc>
          <w:tcPr>
            <w:tcW w:type="dxa" w:w="1440"/>
          </w:tcPr>
          <w:p>
            <w:r>
              <w:rPr>
                <w:rFonts w:ascii="Calibri" w:hAnsi="Calibri"/>
                <w:sz w:val="22"/>
              </w:rPr>
              <w:t>$187.4B</w:t>
            </w:r>
          </w:p>
        </w:tc>
        <w:tc>
          <w:tcPr>
            <w:tcW w:type="dxa" w:w="1440"/>
          </w:tcPr>
          <w:p>
            <w:r>
              <w:rPr>
                <w:rFonts w:ascii="Calibri" w:hAnsi="Calibri"/>
                <w:b/>
                <w:color w:val="30A46C"/>
                <w:sz w:val="22"/>
              </w:rPr>
              <w:t>+0.2%</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AWS Net Sales</w:t>
            </w:r>
          </w:p>
        </w:tc>
        <w:tc>
          <w:tcPr>
            <w:tcW w:type="dxa" w:w="1440"/>
          </w:tcPr>
          <w:p>
            <w:r>
              <w:rPr>
                <w:rFonts w:ascii="Calibri" w:hAnsi="Calibri"/>
                <w:sz w:val="22"/>
              </w:rPr>
              <w:t>$28.8B</w:t>
            </w:r>
          </w:p>
        </w:tc>
        <w:tc>
          <w:tcPr>
            <w:tcW w:type="dxa" w:w="1440"/>
          </w:tcPr>
          <w:p>
            <w:r>
              <w:rPr>
                <w:rFonts w:ascii="Calibri" w:hAnsi="Calibri"/>
                <w:sz w:val="22"/>
              </w:rPr>
              <w:t>$28.8B</w:t>
            </w:r>
          </w:p>
        </w:tc>
        <w:tc>
          <w:tcPr>
            <w:tcW w:type="dxa" w:w="1440"/>
          </w:tcPr>
          <w:p>
            <w:r>
              <w:rPr>
                <w:rFonts w:ascii="Calibri" w:hAnsi="Calibri"/>
                <w:sz w:val="22"/>
              </w:rPr>
              <w:t>0.0%</w:t>
            </w:r>
          </w:p>
        </w:tc>
        <w:tc>
          <w:tcPr>
            <w:tcW w:type="dxa" w:w="1440"/>
          </w:tcPr>
          <w:p>
            <w:r>
              <w:rPr>
                <w:rFonts w:ascii="Calibri" w:hAnsi="Calibri"/>
                <w:sz w:val="22"/>
              </w:rPr>
              <w:t>In-Line</w:t>
            </w:r>
          </w:p>
        </w:tc>
      </w:tr>
      <w:tr>
        <w:tc>
          <w:tcPr>
            <w:tcW w:type="dxa" w:w="1440"/>
          </w:tcPr>
          <w:p>
            <w:r>
              <w:rPr>
                <w:rFonts w:ascii="Calibri" w:hAnsi="Calibri"/>
                <w:sz w:val="22"/>
              </w:rPr>
              <w:t>Q3 2024</w:t>
            </w:r>
          </w:p>
        </w:tc>
        <w:tc>
          <w:tcPr>
            <w:tcW w:type="dxa" w:w="1440"/>
          </w:tcPr>
          <w:p>
            <w:r>
              <w:rPr>
                <w:rFonts w:ascii="Calibri" w:hAnsi="Calibri"/>
                <w:sz w:val="22"/>
              </w:rPr>
              <w:t>Total Net Sales</w:t>
            </w:r>
          </w:p>
        </w:tc>
        <w:tc>
          <w:tcPr>
            <w:tcW w:type="dxa" w:w="1440"/>
          </w:tcPr>
          <w:p>
            <w:r>
              <w:rPr>
                <w:rFonts w:ascii="Calibri" w:hAnsi="Calibri"/>
                <w:sz w:val="22"/>
              </w:rPr>
              <w:t>$158.9B</w:t>
            </w:r>
          </w:p>
        </w:tc>
        <w:tc>
          <w:tcPr>
            <w:tcW w:type="dxa" w:w="1440"/>
          </w:tcPr>
          <w:p>
            <w:r>
              <w:rPr>
                <w:rFonts w:ascii="Calibri" w:hAnsi="Calibri"/>
                <w:sz w:val="22"/>
              </w:rPr>
              <w:t>$157.3B</w:t>
            </w:r>
          </w:p>
        </w:tc>
        <w:tc>
          <w:tcPr>
            <w:tcW w:type="dxa" w:w="1440"/>
          </w:tcPr>
          <w:p>
            <w:r>
              <w:rPr>
                <w:rFonts w:ascii="Calibri" w:hAnsi="Calibri"/>
                <w:b/>
                <w:color w:val="30A46C"/>
                <w:sz w:val="22"/>
              </w:rPr>
              <w:t>+1.0%</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AWS Net Sales</w:t>
            </w:r>
          </w:p>
        </w:tc>
        <w:tc>
          <w:tcPr>
            <w:tcW w:type="dxa" w:w="1440"/>
          </w:tcPr>
          <w:p>
            <w:r>
              <w:rPr>
                <w:rFonts w:ascii="Calibri" w:hAnsi="Calibri"/>
                <w:sz w:val="22"/>
              </w:rPr>
              <w:t>$27.5B</w:t>
            </w:r>
          </w:p>
        </w:tc>
        <w:tc>
          <w:tcPr>
            <w:tcW w:type="dxa" w:w="1440"/>
          </w:tcPr>
          <w:p>
            <w:r>
              <w:rPr>
                <w:rFonts w:ascii="Calibri" w:hAnsi="Calibri"/>
                <w:sz w:val="22"/>
              </w:rPr>
              <w:t>$27.5B</w:t>
            </w:r>
          </w:p>
        </w:tc>
        <w:tc>
          <w:tcPr>
            <w:tcW w:type="dxa" w:w="1440"/>
          </w:tcPr>
          <w:p>
            <w:r>
              <w:rPr>
                <w:rFonts w:ascii="Calibri" w:hAnsi="Calibri"/>
                <w:sz w:val="22"/>
              </w:rPr>
              <w:t>-0.1%</w:t>
            </w:r>
          </w:p>
        </w:tc>
        <w:tc>
          <w:tcPr>
            <w:tcW w:type="dxa" w:w="1440"/>
          </w:tcPr>
          <w:p>
            <w:r>
              <w:rPr>
                <w:rFonts w:ascii="Calibri" w:hAnsi="Calibri"/>
                <w:sz w:val="22"/>
              </w:rPr>
              <w:t>In-Line</w:t>
            </w:r>
          </w:p>
        </w:tc>
      </w:tr>
    </w:tbl>
    <w:p>
      <w:r>
        <w:rPr>
          <w:rFonts w:ascii="Calibri" w:hAnsi="Calibri"/>
          <w:i/>
          <w:color w:val="525866"/>
          <w:sz w:val="22"/>
        </w:rPr>
        <w:t xml:space="preserve">Source: Visible Alpha Consensus and Actuals Data. </w:t>
      </w:r>
      <w:r>
        <w:rPr>
          <w:rFonts w:ascii="Calibri" w:hAnsi="Calibri"/>
          <w:b/>
          <w:color w:val="525866"/>
          <w:sz w:val="22"/>
        </w:rPr>
        <w:t xml:space="preserve">Pattern: </w:t>
      </w:r>
      <w:r>
        <w:rPr>
          <w:rFonts w:ascii="Calibri" w:hAnsi="Calibri"/>
          <w:i/>
          <w:color w:val="525866"/>
          <w:sz w:val="22"/>
        </w:rPr>
        <w:t>Amazon has beaten or matched consensus on Total Net Sales in 7 of the last 8 quarters; AWS has beaten or matched in 7 of 8, with the one miss (Q1 2025) being marginal at -0.3% — a remarkably consistent track record that sets a high bar for the Street to model conservatively.</w:t>
      </w:r>
    </w:p>
    <w:p>
      <w:pPr>
        <w:pStyle w:val="Heading2"/>
      </w:pPr>
      <w:r>
        <w:rPr>
          <w:rFonts w:ascii="Calibri" w:hAnsi="Calibri"/>
          <w:b/>
          <w:color w:val="3B4259"/>
          <w:sz w:val="28"/>
        </w:rPr>
        <w:t>Guidance &amp; Commentary Evolution</w:t>
      </w:r>
    </w:p>
    <w:p>
      <w:r>
        <w:rPr>
          <w:rFonts w:ascii="Calibri" w:hAnsi="Calibri"/>
          <w:b/>
          <w:color w:val="525866"/>
          <w:sz w:val="22"/>
        </w:rPr>
        <w:t xml:space="preserve">Key Takeaway: </w:t>
      </w:r>
      <w:r>
        <w:rPr>
          <w:rFonts w:ascii="Calibri" w:hAnsi="Calibri"/>
          <w:color w:val="525866"/>
          <w:sz w:val="22"/>
        </w:rPr>
        <w:t xml:space="preserve">Guidance has not been formally revised since the Q1 2026 earnings call on April 29 — no 8-K, conference, or pre-announcement has changed the numbers. Management tone remains </w:t>
      </w:r>
      <w:r>
        <w:rPr>
          <w:rFonts w:ascii="Calibri" w:hAnsi="Calibri"/>
          <w:b/>
          <w:color w:val="525866"/>
          <w:sz w:val="22"/>
        </w:rPr>
        <w:t>confidently bullish on AWS and retail efficiency</w:t>
      </w:r>
      <w:r>
        <w:rPr>
          <w:rFonts w:ascii="Calibri" w:hAnsi="Calibri"/>
          <w:color w:val="525866"/>
          <w:sz w:val="22"/>
        </w:rPr>
        <w:t xml:space="preserve"> but explicitly cautious on near-term FCF given record capex, with the $4B wide Q2 operating income range reflecting real uncertainty around Leo launch costs and fuel inflation.</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29)</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Net Sales</w:t>
            </w:r>
          </w:p>
        </w:tc>
        <w:tc>
          <w:tcPr>
            <w:tcW w:type="dxa" w:w="1728"/>
          </w:tcPr>
          <w:p>
            <w:r>
              <w:rPr>
                <w:rFonts w:ascii="Calibri" w:hAnsi="Calibri"/>
                <w:sz w:val="22"/>
              </w:rPr>
              <w:t>$194–$199B (+16%–19% YoY)</w:t>
            </w:r>
          </w:p>
        </w:tc>
        <w:tc>
          <w:tcPr>
            <w:tcW w:type="dxa" w:w="1728"/>
          </w:tcPr>
          <w:p>
            <w:r>
              <w:rPr>
                <w:rFonts w:ascii="Calibri" w:hAnsi="Calibri"/>
                <w:sz w:val="22"/>
              </w:rPr>
              <w:t>—</w:t>
            </w:r>
          </w:p>
        </w:tc>
        <w:tc>
          <w:tcPr>
            <w:tcW w:type="dxa" w:w="1728"/>
          </w:tcPr>
          <w:p>
            <w:r>
              <w:rPr>
                <w:rFonts w:ascii="Calibri" w:hAnsi="Calibri"/>
                <w:sz w:val="22"/>
              </w:rPr>
              <w:t>$196.7B</w:t>
            </w:r>
          </w:p>
        </w:tc>
        <w:tc>
          <w:tcPr>
            <w:tcW w:type="dxa" w:w="1728"/>
          </w:tcPr>
          <w:p>
            <w:r>
              <w:rPr>
                <w:rFonts w:ascii="Calibri" w:hAnsi="Calibri"/>
                <w:sz w:val="22"/>
              </w:rPr>
              <w:t>No post-earnings revision; consensus sits near midpoint. ~10 bps FX headwind assumed.</w:t>
            </w:r>
          </w:p>
        </w:tc>
      </w:tr>
      <w:tr>
        <w:tc>
          <w:tcPr>
            <w:tcW w:type="dxa" w:w="1728"/>
          </w:tcPr>
          <w:p>
            <w:r>
              <w:rPr>
                <w:rFonts w:ascii="Calibri" w:hAnsi="Calibri"/>
                <w:sz w:val="22"/>
              </w:rPr>
              <w:t>Q2 2026 Operating Income</w:t>
            </w:r>
          </w:p>
        </w:tc>
        <w:tc>
          <w:tcPr>
            <w:tcW w:type="dxa" w:w="1728"/>
          </w:tcPr>
          <w:p>
            <w:r>
              <w:rPr>
                <w:rFonts w:ascii="Calibri" w:hAnsi="Calibri"/>
                <w:sz w:val="22"/>
              </w:rPr>
              <w:t>$20–$24B</w:t>
            </w:r>
          </w:p>
        </w:tc>
        <w:tc>
          <w:tcPr>
            <w:tcW w:type="dxa" w:w="1728"/>
          </w:tcPr>
          <w:p>
            <w:r>
              <w:rPr>
                <w:rFonts w:ascii="Calibri" w:hAnsi="Calibri"/>
                <w:sz w:val="22"/>
              </w:rPr>
              <w:t>—</w:t>
            </w:r>
          </w:p>
        </w:tc>
        <w:tc>
          <w:tcPr>
            <w:tcW w:type="dxa" w:w="1728"/>
          </w:tcPr>
          <w:p>
            <w:r>
              <w:rPr>
                <w:rFonts w:ascii="Calibri" w:hAnsi="Calibri"/>
                <w:sz w:val="22"/>
              </w:rPr>
              <w:t>$23.7B</w:t>
            </w:r>
          </w:p>
        </w:tc>
        <w:tc>
          <w:tcPr>
            <w:tcW w:type="dxa" w:w="1728"/>
          </w:tcPr>
          <w:p>
            <w:r>
              <w:rPr>
                <w:rFonts w:ascii="Calibri" w:hAnsi="Calibri"/>
                <w:sz w:val="22"/>
              </w:rPr>
              <w:t>No post-earnings revision; consensus above midpoint ($22B). Wide range reflects ~$1B Leo costs, fuel inflation, seasonal SBC step-up.</w:t>
            </w:r>
          </w:p>
        </w:tc>
      </w:tr>
      <w:tr>
        <w:tc>
          <w:tcPr>
            <w:tcW w:type="dxa" w:w="1728"/>
          </w:tcPr>
          <w:p>
            <w:r>
              <w:rPr>
                <w:rFonts w:ascii="Calibri" w:hAnsi="Calibri"/>
                <w:sz w:val="22"/>
              </w:rPr>
              <w:t>FY 2026 Capex</w:t>
            </w:r>
          </w:p>
        </w:tc>
        <w:tc>
          <w:tcPr>
            <w:tcW w:type="dxa" w:w="1728"/>
          </w:tcPr>
          <w:p>
            <w:r>
              <w:rPr>
                <w:rFonts w:ascii="Calibri" w:hAnsi="Calibri"/>
                <w:sz w:val="22"/>
              </w:rPr>
              <w:t>~$200B (reiterated from Feb guidance; “plan is largely the same” — Jassy, Apr 29)</w:t>
            </w:r>
          </w:p>
        </w:tc>
        <w:tc>
          <w:tcPr>
            <w:tcW w:type="dxa" w:w="1728"/>
          </w:tcPr>
          <w:p>
            <w:r>
              <w:rPr>
                <w:rFonts w:ascii="Calibri" w:hAnsi="Calibri"/>
                <w:sz w:val="22"/>
              </w:rPr>
              <w:t>—</w:t>
            </w:r>
          </w:p>
        </w:tc>
        <w:tc>
          <w:tcPr>
            <w:tcW w:type="dxa" w:w="1728"/>
          </w:tcPr>
          <w:p>
            <w:r>
              <w:rPr>
                <w:rFonts w:ascii="Calibri" w:hAnsi="Calibri"/>
                <w:sz w:val="22"/>
              </w:rPr>
              <w:t>$155.6B (excl. finance leases); ~$200B+ incl. leases</w:t>
            </w:r>
          </w:p>
        </w:tc>
        <w:tc>
          <w:tcPr>
            <w:tcW w:type="dxa" w:w="1728"/>
          </w:tcPr>
          <w:p>
            <w:r>
              <w:rPr>
                <w:rFonts w:ascii="Calibri" w:hAnsi="Calibri"/>
                <w:sz w:val="22"/>
              </w:rPr>
              <w:t>No formal revision; market watching closely for any update given Alphabet raising to $195–205B and MSFT guiding &gt;$50B for Q1 FY27.</w:t>
            </w:r>
          </w:p>
        </w:tc>
      </w:tr>
      <w:tr>
        <w:tc>
          <w:tcPr>
            <w:tcW w:type="dxa" w:w="1728"/>
          </w:tcPr>
          <w:p>
            <w:r>
              <w:rPr>
                <w:rFonts w:ascii="Calibri" w:hAnsi="Calibri"/>
                <w:sz w:val="22"/>
              </w:rPr>
              <w:t>Amazon Leo Commercial Launch</w:t>
            </w:r>
          </w:p>
        </w:tc>
        <w:tc>
          <w:tcPr>
            <w:tcW w:type="dxa" w:w="1728"/>
          </w:tcPr>
          <w:p>
            <w:r>
              <w:rPr>
                <w:rFonts w:ascii="Calibri" w:hAnsi="Calibri"/>
                <w:sz w:val="22"/>
              </w:rPr>
              <w:t>Q3 2026 (on track per Apr 29 call)</w:t>
            </w:r>
          </w:p>
        </w:tc>
        <w:tc>
          <w:tcPr>
            <w:tcW w:type="dxa" w:w="1728"/>
          </w:tcPr>
          <w:p>
            <w:r>
              <w:rPr>
                <w:rFonts w:ascii="Calibri" w:hAnsi="Calibri"/>
                <w:sz w:val="22"/>
              </w:rPr>
              <w:t>—</w:t>
            </w:r>
          </w:p>
        </w:tc>
        <w:tc>
          <w:tcPr>
            <w:tcW w:type="dxa" w:w="1728"/>
          </w:tcPr>
          <w:p>
            <w:r>
              <w:rPr>
                <w:rFonts w:ascii="Calibri" w:hAnsi="Calibri"/>
                <w:sz w:val="22"/>
              </w:rPr>
              <w:t>N/A (no consensus estimate)</w:t>
            </w:r>
          </w:p>
        </w:tc>
        <w:tc>
          <w:tcPr>
            <w:tcW w:type="dxa" w:w="1728"/>
          </w:tcPr>
          <w:p>
            <w:r>
              <w:rPr>
                <w:rFonts w:ascii="Calibri" w:hAnsi="Calibri"/>
                <w:sz w:val="22"/>
              </w:rPr>
              <w:t>Post-Q1: FCC application filed for 5,105-satellite direct-to-device network (Jul 27); Globalstar acquisition announced; Apple partnership confirmed.</w:t>
            </w:r>
          </w:p>
        </w:tc>
      </w:tr>
      <w:tr>
        <w:tc>
          <w:tcPr>
            <w:tcW w:type="dxa" w:w="1728"/>
          </w:tcPr>
          <w:p>
            <w:r>
              <w:rPr>
                <w:rFonts w:ascii="Calibri" w:hAnsi="Calibri"/>
                <w:sz w:val="22"/>
              </w:rPr>
              <w:t>AWS Growth Tone</w:t>
            </w:r>
          </w:p>
        </w:tc>
        <w:tc>
          <w:tcPr>
            <w:tcW w:type="dxa" w:w="1728"/>
          </w:tcPr>
          <w:p>
            <w:r>
              <w:rPr>
                <w:rFonts w:ascii="Calibri" w:hAnsi="Calibri"/>
                <w:sz w:val="22"/>
              </w:rPr>
              <w:t>Triumphant: 28% growth “fastest in 15 quarters,” $150B ARR, AI revenue &gt;$15B run rate, Trainium nearly fully subscribed</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Post-Q1 developments reinforce bullish tone: $400M AWS compute deal with Recursive Superintelligence (Jul 28); Google Cloud 82% growth and MSFT Azure 43% growth confirm robust cloud demand environment.</w:t>
            </w:r>
          </w:p>
        </w:tc>
      </w:tr>
    </w:tbl>
    <w:p>
      <w:pPr>
        <w:pStyle w:val="Heading2"/>
      </w:pPr>
      <w:r>
        <w:rPr>
          <w:rFonts w:ascii="Calibri" w:hAnsi="Calibri"/>
          <w:b/>
          <w:color w:val="3B4259"/>
          <w:sz w:val="28"/>
        </w:rPr>
        <w:t>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remarkably stable since the Q1 print — the Street absorbed guidance without meaningful revision in either direction. The </w:t>
      </w:r>
      <w:r>
        <w:rPr>
          <w:rFonts w:ascii="Calibri" w:hAnsi="Calibri"/>
          <w:b/>
          <w:color w:val="525866"/>
          <w:sz w:val="22"/>
        </w:rPr>
        <w:t>FY 2026 operating income estimate has drifted slightly higher</w:t>
      </w:r>
      <w:r>
        <w:rPr>
          <w:rFonts w:ascii="Calibri" w:hAnsi="Calibri"/>
          <w:color w:val="525866"/>
          <w:sz w:val="22"/>
        </w:rPr>
        <w:t xml:space="preserve"> (+0.4%) since the post-earnings baseline, suggesting modest confidence in the margin story, while revenue estimates are essentially flat. The gap between consensus operating income ($23.7B) and the guidance midpoint ($22B) represents a ~7% cushion that could compress if Leo costs or fuel headwinds are worse than expected.</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May 6, 2026)</w:t>
            </w:r>
          </w:p>
        </w:tc>
        <w:tc>
          <w:tcPr>
            <w:tcW w:type="dxa" w:w="1080"/>
            <w:shd w:val="clear" w:color="auto" w:fill="3B4259"/>
          </w:tcPr>
          <w:p>
            <w:r>
              <w:rPr>
                <w:rFonts w:ascii="Calibri" w:hAnsi="Calibri"/>
                <w:b/>
                <w:color w:val="FFFFFF"/>
                <w:sz w:val="22"/>
              </w:rPr>
              <w:t>Current Consensus (Jul 29,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Total Net Sales (Q2 2026)</w:t>
            </w:r>
          </w:p>
        </w:tc>
        <w:tc>
          <w:tcPr>
            <w:tcW w:type="dxa" w:w="1080"/>
          </w:tcPr>
          <w:p>
            <w:r>
              <w:rPr>
                <w:rFonts w:ascii="Calibri" w:hAnsi="Calibri"/>
                <w:sz w:val="22"/>
              </w:rPr>
              <w:t>$196.7B</w:t>
            </w:r>
          </w:p>
        </w:tc>
        <w:tc>
          <w:tcPr>
            <w:tcW w:type="dxa" w:w="1080"/>
          </w:tcPr>
          <w:p>
            <w:r>
              <w:rPr>
                <w:rFonts w:ascii="Calibri" w:hAnsi="Calibri"/>
                <w:sz w:val="22"/>
              </w:rPr>
              <w:t>$196.7B</w:t>
            </w:r>
          </w:p>
        </w:tc>
        <w:tc>
          <w:tcPr>
            <w:tcW w:type="dxa" w:w="1080"/>
          </w:tcPr>
          <w:p>
            <w:r>
              <w:rPr>
                <w:rFonts w:ascii="Calibri" w:hAnsi="Calibri"/>
                <w:sz w:val="22"/>
              </w:rPr>
              <w:t>0.0%</w:t>
            </w:r>
          </w:p>
        </w:tc>
        <w:tc>
          <w:tcPr>
            <w:tcW w:type="dxa" w:w="1080"/>
          </w:tcPr>
          <w:p>
            <w:r>
              <w:rPr>
                <w:rFonts w:ascii="Calibri" w:hAnsi="Calibri"/>
                <w:sz w:val="22"/>
              </w:rPr>
              <w:t>$194–$199B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-0.2% vs. midpoint</w:t>
            </w:r>
          </w:p>
        </w:tc>
      </w:tr>
      <w:tr>
        <w:tc>
          <w:tcPr>
            <w:tcW w:type="dxa" w:w="1080"/>
          </w:tcPr>
          <w:p>
            <w:r>
              <w:rPr>
                <w:rFonts w:ascii="Calibri" w:hAnsi="Calibri"/>
                <w:sz w:val="22"/>
              </w:rPr>
              <w:t>AWS Net Sales (Q2 2026)</w:t>
            </w:r>
          </w:p>
        </w:tc>
        <w:tc>
          <w:tcPr>
            <w:tcW w:type="dxa" w:w="1080"/>
          </w:tcPr>
          <w:p>
            <w:r>
              <w:rPr>
                <w:rFonts w:ascii="Calibri" w:hAnsi="Calibri"/>
                <w:sz w:val="22"/>
              </w:rPr>
              <w:t>$40.5B</w:t>
            </w:r>
          </w:p>
        </w:tc>
        <w:tc>
          <w:tcPr>
            <w:tcW w:type="dxa" w:w="1080"/>
          </w:tcPr>
          <w:p>
            <w:r>
              <w:rPr>
                <w:rFonts w:ascii="Calibri" w:hAnsi="Calibri"/>
                <w:sz w:val="22"/>
              </w:rPr>
              <w:t>$40.5B</w:t>
            </w:r>
          </w:p>
        </w:tc>
        <w:tc>
          <w:tcPr>
            <w:tcW w:type="dxa" w:w="1080"/>
          </w:tcPr>
          <w:p>
            <w:r>
              <w:rPr>
                <w:rFonts w:ascii="Calibri" w:hAnsi="Calibri"/>
                <w:sz w:val="22"/>
              </w:rPr>
              <w:t>0.0%</w:t>
            </w:r>
          </w:p>
        </w:tc>
        <w:tc>
          <w:tcPr>
            <w:tcW w:type="dxa" w:w="1080"/>
          </w:tcPr>
          <w:p>
            <w:r>
              <w:rPr>
                <w:rFonts w:ascii="Calibri" w:hAnsi="Calibri"/>
                <w:sz w:val="22"/>
              </w:rPr>
              <w:t>No segment guidance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Operating Income (Q2 2026)</w:t>
            </w:r>
          </w:p>
        </w:tc>
        <w:tc>
          <w:tcPr>
            <w:tcW w:type="dxa" w:w="1080"/>
          </w:tcPr>
          <w:p>
            <w:r>
              <w:rPr>
                <w:rFonts w:ascii="Calibri" w:hAnsi="Calibri"/>
                <w:sz w:val="22"/>
              </w:rPr>
              <w:t>$23.7B</w:t>
            </w:r>
          </w:p>
        </w:tc>
        <w:tc>
          <w:tcPr>
            <w:tcW w:type="dxa" w:w="1080"/>
          </w:tcPr>
          <w:p>
            <w:r>
              <w:rPr>
                <w:rFonts w:ascii="Calibri" w:hAnsi="Calibri"/>
                <w:sz w:val="22"/>
              </w:rPr>
              <w:t>$23.7B</w:t>
            </w:r>
          </w:p>
        </w:tc>
        <w:tc>
          <w:tcPr>
            <w:tcW w:type="dxa" w:w="1080"/>
          </w:tcPr>
          <w:p>
            <w:r>
              <w:rPr>
                <w:rFonts w:ascii="Calibri" w:hAnsi="Calibri"/>
                <w:sz w:val="22"/>
              </w:rPr>
              <w:t>0.0%</w:t>
            </w:r>
          </w:p>
        </w:tc>
        <w:tc>
          <w:tcPr>
            <w:tcW w:type="dxa" w:w="1080"/>
          </w:tcPr>
          <w:p>
            <w:r>
              <w:rPr>
                <w:rFonts w:ascii="Calibri" w:hAnsi="Calibri"/>
                <w:sz w:val="22"/>
              </w:rPr>
              <w:t>$20–$24B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+7.1% above midpoint</w:t>
            </w:r>
          </w:p>
        </w:tc>
      </w:tr>
      <w:tr>
        <w:tc>
          <w:tcPr>
            <w:tcW w:type="dxa" w:w="1080"/>
          </w:tcPr>
          <w:p>
            <w:r>
              <w:rPr>
                <w:rFonts w:ascii="Calibri" w:hAnsi="Calibri"/>
                <w:sz w:val="22"/>
              </w:rPr>
              <w:t>Advertising Net Sales (Q2 2026)</w:t>
            </w:r>
          </w:p>
        </w:tc>
        <w:tc>
          <w:tcPr>
            <w:tcW w:type="dxa" w:w="1080"/>
          </w:tcPr>
          <w:p>
            <w:r>
              <w:rPr>
                <w:rFonts w:ascii="Calibri" w:hAnsi="Calibri"/>
                <w:sz w:val="22"/>
              </w:rPr>
              <w:t>$19.3B</w:t>
            </w:r>
          </w:p>
        </w:tc>
        <w:tc>
          <w:tcPr>
            <w:tcW w:type="dxa" w:w="1080"/>
          </w:tcPr>
          <w:p>
            <w:r>
              <w:rPr>
                <w:rFonts w:ascii="Calibri" w:hAnsi="Calibri"/>
                <w:sz w:val="22"/>
              </w:rPr>
              <w:t>$19.4B</w:t>
            </w:r>
          </w:p>
        </w:tc>
        <w:tc>
          <w:tcPr>
            <w:tcW w:type="dxa" w:w="1080"/>
          </w:tcPr>
          <w:p>
            <w:r>
              <w:rPr>
                <w:rFonts w:ascii="Calibri" w:hAnsi="Calibri"/>
                <w:sz w:val="22"/>
              </w:rPr>
              <w:t>+0.5%</w:t>
            </w:r>
          </w:p>
        </w:tc>
        <w:tc>
          <w:tcPr>
            <w:tcW w:type="dxa" w:w="1080"/>
          </w:tcPr>
          <w:p>
            <w:r>
              <w:rPr>
                <w:rFonts w:ascii="Calibri" w:hAnsi="Calibri"/>
                <w:sz w:val="22"/>
              </w:rPr>
              <w:t>No segment guidance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Total Net Sales (FY 2026)</w:t>
            </w:r>
          </w:p>
        </w:tc>
        <w:tc>
          <w:tcPr>
            <w:tcW w:type="dxa" w:w="1080"/>
          </w:tcPr>
          <w:p>
            <w:r>
              <w:rPr>
                <w:rFonts w:ascii="Calibri" w:hAnsi="Calibri"/>
                <w:sz w:val="22"/>
              </w:rPr>
              <w:t>$825.2B</w:t>
            </w:r>
          </w:p>
        </w:tc>
        <w:tc>
          <w:tcPr>
            <w:tcW w:type="dxa" w:w="1080"/>
          </w:tcPr>
          <w:p>
            <w:r>
              <w:rPr>
                <w:rFonts w:ascii="Calibri" w:hAnsi="Calibri"/>
                <w:sz w:val="22"/>
              </w:rPr>
              <w:t>$824.8B</w:t>
            </w:r>
          </w:p>
        </w:tc>
        <w:tc>
          <w:tcPr>
            <w:tcW w:type="dxa" w:w="1080"/>
          </w:tcPr>
          <w:p>
            <w:r>
              <w:rPr>
                <w:rFonts w:ascii="Calibri" w:hAnsi="Calibri"/>
                <w:sz w:val="22"/>
              </w:rPr>
              <w:t>-0.1%</w:t>
            </w:r>
          </w:p>
        </w:tc>
        <w:tc>
          <w:tcPr>
            <w:tcW w:type="dxa" w:w="1080"/>
          </w:tcPr>
          <w:p>
            <w:r>
              <w:rPr>
                <w:rFonts w:ascii="Calibri" w:hAnsi="Calibri"/>
                <w:sz w:val="22"/>
              </w:rPr>
              <w:t>No FY guidance provided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Operating Income (FY 2026)</w:t>
            </w:r>
          </w:p>
        </w:tc>
        <w:tc>
          <w:tcPr>
            <w:tcW w:type="dxa" w:w="1080"/>
          </w:tcPr>
          <w:p>
            <w:r>
              <w:rPr>
                <w:rFonts w:ascii="Calibri" w:hAnsi="Calibri"/>
                <w:sz w:val="22"/>
              </w:rPr>
              <w:t>$104.5B</w:t>
            </w:r>
          </w:p>
        </w:tc>
        <w:tc>
          <w:tcPr>
            <w:tcW w:type="dxa" w:w="1080"/>
          </w:tcPr>
          <w:p>
            <w:r>
              <w:rPr>
                <w:rFonts w:ascii="Calibri" w:hAnsi="Calibri"/>
                <w:sz w:val="22"/>
              </w:rPr>
              <w:t>$104.9B</w:t>
            </w:r>
          </w:p>
        </w:tc>
        <w:tc>
          <w:tcPr>
            <w:tcW w:type="dxa" w:w="1080"/>
          </w:tcPr>
          <w:p>
            <w:r>
              <w:rPr>
                <w:rFonts w:ascii="Calibri" w:hAnsi="Calibri"/>
                <w:sz w:val="22"/>
              </w:rPr>
              <w:t>+0.4%</w:t>
            </w:r>
          </w:p>
        </w:tc>
        <w:tc>
          <w:tcPr>
            <w:tcW w:type="dxa" w:w="1080"/>
          </w:tcPr>
          <w:p>
            <w:r>
              <w:rPr>
                <w:rFonts w:ascii="Calibri" w:hAnsi="Calibri"/>
                <w:sz w:val="22"/>
              </w:rPr>
              <w:t>No FY guidance provided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AWS Net Sales (FY 2026)</w:t>
            </w:r>
          </w:p>
        </w:tc>
        <w:tc>
          <w:tcPr>
            <w:tcW w:type="dxa" w:w="1080"/>
          </w:tcPr>
          <w:p>
            <w:r>
              <w:rPr>
                <w:rFonts w:ascii="Calibri" w:hAnsi="Calibri"/>
                <w:sz w:val="22"/>
              </w:rPr>
              <w:t>$167.9B</w:t>
            </w:r>
          </w:p>
        </w:tc>
        <w:tc>
          <w:tcPr>
            <w:tcW w:type="dxa" w:w="1080"/>
          </w:tcPr>
          <w:p>
            <w:r>
              <w:rPr>
                <w:rFonts w:ascii="Calibri" w:hAnsi="Calibri"/>
                <w:sz w:val="22"/>
              </w:rPr>
              <w:t>$168.2B</w:t>
            </w:r>
          </w:p>
        </w:tc>
        <w:tc>
          <w:tcPr>
            <w:tcW w:type="dxa" w:w="1080"/>
          </w:tcPr>
          <w:p>
            <w:r>
              <w:rPr>
                <w:rFonts w:ascii="Calibri" w:hAnsi="Calibri"/>
                <w:sz w:val="22"/>
              </w:rPr>
              <w:t>+0.2%</w:t>
            </w:r>
          </w:p>
        </w:tc>
        <w:tc>
          <w:tcPr>
            <w:tcW w:type="dxa" w:w="1080"/>
          </w:tcPr>
          <w:p>
            <w:r>
              <w:rPr>
                <w:rFonts w:ascii="Calibri" w:hAnsi="Calibri"/>
                <w:sz w:val="22"/>
              </w:rPr>
              <w:t>No FY guidance provided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i/>
          <w:color w:val="525866"/>
          <w:sz w:val="22"/>
        </w:rPr>
        <w:t>Source: Visible Alpha Consensus and Actuals Data. Post-earnings baseline as of May 6, 2026 (5 trading days after April 29 print).</w:t>
      </w:r>
    </w:p>
    <w:p>
      <w:r>
        <w:rPr>
          <w:rFonts w:ascii="Calibri" w:hAnsi="Calibri"/>
          <w:color w:val="525866"/>
          <w:sz w:val="22"/>
        </w:rPr>
        <w:t>The near-zero estimate drift across all KPIs since the Q1 print is notable — it suggests the Street has high conviction in the guidance range and is not making incremental adjustments based on peer read-throughs or macro data. The primary risk to estimates is a capex guidance increase that pressures the FCF outlook, which is already deeply negative on a trailing basis (-$17.2B in Q1 2026).</w:t>
      </w:r>
    </w:p>
    <w:p>
      <w:pPr>
        <w:pStyle w:val="Heading2"/>
      </w:pPr>
      <w:r>
        <w:rPr>
          <w:rFonts w:ascii="Calibri" w:hAnsi="Calibri"/>
          <w:b/>
          <w:color w:val="3B4259"/>
          <w:sz w:val="28"/>
        </w:rPr>
        <w:t>Stock Performance</w:t>
      </w:r>
    </w:p>
    <w:p>
      <w:r>
        <w:rPr>
          <w:rFonts w:ascii="Calibri" w:hAnsi="Calibri"/>
          <w:b/>
          <w:color w:val="525866"/>
          <w:sz w:val="22"/>
        </w:rPr>
        <w:t xml:space="preserve">Key Takeaway: </w:t>
      </w:r>
      <w:r>
        <w:rPr>
          <w:rFonts w:ascii="Calibri" w:hAnsi="Calibri"/>
          <w:color w:val="525866"/>
          <w:sz w:val="22"/>
        </w:rPr>
        <w:t xml:space="preserve">AMZN has underperformed sharply since Q1 earnings — down ~14% vs. XLY down ~4% and S&amp;P 500 up ~2.5% — driven almost entirely by </w:t>
      </w:r>
      <w:r>
        <w:rPr>
          <w:rFonts w:ascii="Calibri" w:hAnsi="Calibri"/>
          <w:b/>
          <w:color w:val="525866"/>
          <w:sz w:val="22"/>
        </w:rPr>
        <w:t>multiple compression</w:t>
      </w:r>
      <w:r>
        <w:rPr>
          <w:rFonts w:ascii="Calibri" w:hAnsi="Calibri"/>
          <w:color w:val="525866"/>
          <w:sz w:val="22"/>
        </w:rPr>
        <w:t xml:space="preserve"> (EV/EBITDA contracted ~18% over 3 months) rather than estimate cuts. The July 23 Alphabet capex shock was the single largest negative catalyst, dragging AMZN down ~5% in one session as investors repriced all hyperscaler capex risk.</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AMZN vs. XLY (Consumer Discretionary ETF) vs. S&amp;P 500 (SPY) — Indexed to 100 at April 29, 2026 (Q1 2026 Earnings Date). AMZN -14.2% | XLY -4.6% | SPY +2.5%. Key event: July 23 Alphabet earnings — capex shock dragged all hyperscalers lower.</w:t>
      </w:r>
    </w:p>
    <w:p>
      <w:r>
        <w:rPr>
          <w:rFonts w:ascii="Calibri" w:hAnsi="Calibri"/>
          <w:b/>
          <w:color w:val="525866"/>
          <w:sz w:val="22"/>
        </w:rPr>
        <w:t xml:space="preserve">Performance decomposition: </w:t>
      </w:r>
      <w:r>
        <w:rPr>
          <w:rFonts w:ascii="Calibri" w:hAnsi="Calibri"/>
          <w:color w:val="525866"/>
          <w:sz w:val="22"/>
        </w:rPr>
        <w:t>Over the past 3 months, AMZN's NTM EV/EBITDA multiple contracted from ~13.0x to ~10.7x (-18%), while NTM P/E compressed from ~31.4x to ~23.6x (-25%). This is a pure sentiment/multiple story — estimates have barely moved. The stock now trades at its lowest forward multiple in years, which could represent an attractive entry point if Q2 results demonstrate that AWS growth is sustaining and capex guidance is not raised materially above current expectations.</w:t>
      </w:r>
    </w:p>
    <w:p>
      <w:r>
        <w:rPr>
          <w:rFonts w:ascii="Calibri" w:hAnsi="Calibri"/>
          <w:b/>
          <w:color w:val="525866"/>
          <w:sz w:val="22"/>
        </w:rPr>
        <w:t xml:space="preserve">Sector ETF used: </w:t>
      </w:r>
      <w:r>
        <w:rPr>
          <w:rFonts w:ascii="Calibri" w:hAnsi="Calibri"/>
          <w:color w:val="525866"/>
          <w:sz w:val="22"/>
        </w:rPr>
        <w:t>XLY (Consumer Discretionary Select Sector SPDR) — appropriate given Amazon's dominant weight in the ETF and its classification as a consumer discretionary/technology hybrid. Source: Yahoo Finance / Stock Price Data.</w:t>
      </w:r>
    </w:p>
    <w:p>
      <w:r>
        <w:br w:type="page"/>
      </w:r>
    </w:p>
    <w:p>
      <w:pPr>
        <w:pStyle w:val="Heading2"/>
      </w:pPr>
      <w:r>
        <w:rPr>
          <w:rFonts w:ascii="Calibri" w:hAnsi="Calibri"/>
          <w:b/>
          <w:color w:val="3B4259"/>
          <w:sz w:val="28"/>
        </w:rPr>
        <w:t>Peer Commentary &amp; Current-Quarter Read-Throughs</w:t>
      </w:r>
    </w:p>
    <w:p>
      <w:r>
        <w:rPr>
          <w:rFonts w:ascii="Calibri" w:hAnsi="Calibri"/>
          <w:b/>
          <w:color w:val="525866"/>
          <w:sz w:val="22"/>
        </w:rPr>
        <w:t xml:space="preserve">Key Takeaway: </w:t>
      </w:r>
      <w:r>
        <w:rPr>
          <w:rFonts w:ascii="Calibri" w:hAnsi="Calibri"/>
          <w:color w:val="525866"/>
          <w:sz w:val="22"/>
        </w:rPr>
        <w:t xml:space="preserve">Peer commentary from the past 60 days is overwhelmingly positive for AWS demand and advertising, but introduces a critical new risk: </w:t>
      </w:r>
      <w:r>
        <w:rPr>
          <w:rFonts w:ascii="Calibri" w:hAnsi="Calibri"/>
          <w:b/>
          <w:color w:val="525866"/>
          <w:sz w:val="22"/>
        </w:rPr>
        <w:t>investor tolerance for hyperscaler capex is deteriorating rapidly</w:t>
      </w:r>
      <w:r>
        <w:rPr>
          <w:rFonts w:ascii="Calibri" w:hAnsi="Calibri"/>
          <w:color w:val="525866"/>
          <w:sz w:val="22"/>
        </w:rPr>
        <w:t>. Alphabet's negative FCF quarter and Meta's disappointing Q3 guide despite record revenue have reset the market's patience threshold — Amazon must demonstrate not just growth, but a credible path to FCF recovery.</w:t>
      </w:r>
    </w:p>
    <w:p>
      <w:r>
        <w:rPr>
          <w:rFonts w:ascii="Calibri" w:hAnsi="Calibri"/>
          <w:b/>
          <w:color w:val="525866"/>
          <w:sz w:val="22"/>
        </w:rPr>
        <w:t xml:space="preserve">Note: </w:t>
      </w:r>
      <w:r>
        <w:rPr>
          <w:rFonts w:ascii="Calibri" w:hAnsi="Calibri"/>
          <w:i/>
          <w:color w:val="525866"/>
          <w:sz w:val="22"/>
        </w:rPr>
        <w:t>All commentary below is strictly from the past 60 days (May 29 – July 29, 2026) and addresses either calendar Q2 2026 results or forward-looking commentary issued after prior earnings. Stale completed-quarter commentary has been excluded.</w:t>
      </w:r>
    </w:p>
    <w:p>
      <w:pPr>
        <w:pStyle w:val="Heading3"/>
      </w:pPr>
      <w:r>
        <w:rPr>
          <w:rFonts w:ascii="Calibri" w:hAnsi="Calibri"/>
          <w:b/>
          <w:color w:val="3B4259"/>
          <w:sz w:val="24"/>
        </w:rPr>
        <w:t>Microsoft (MSFT) — Q4 FY2026 Earnings (July 29, 2026) — STRONG POSITIVE READ-THROUGH FOR AWS</w:t>
      </w:r>
    </w:p>
    <w:p>
      <w:pPr>
        <w:pStyle w:val="ListBullet"/>
        <w:ind w:left="360" w:hanging="360"/>
      </w:pPr>
      <w:r>
        <w:rPr>
          <w:rFonts w:ascii="Calibri" w:hAnsi="Calibri"/>
          <w:b/>
          <w:color w:val="525866"/>
          <w:sz w:val="22"/>
        </w:rPr>
        <w:t>Azure grew 43% in constant currency in calendar Q2 2026</w:t>
      </w:r>
      <w:r>
        <w:rPr>
          <w:rFonts w:ascii="Calibri" w:hAnsi="Calibri"/>
          <w:color w:val="525866"/>
          <w:sz w:val="22"/>
        </w:rPr>
        <w:t xml:space="preserve"> (vs. 40% consensus), with management stating "customer demand continues to exceed available capacity." Revenue growth was ahead of expectations driven by efficiency gains across CPU/GPU fleet and earlier delivery of new capacity — "that additional in-quarter capacity for Azure was quickly monetized." This is a direct and strong positive read-through for AWS: the cloud AI demand environment is robust and any new capacity is immediately absorbed.</w:t>
      </w:r>
    </w:p>
    <w:p>
      <w:pPr>
        <w:pStyle w:val="ListBullet"/>
        <w:ind w:left="360" w:hanging="360"/>
      </w:pPr>
      <w:r>
        <w:rPr>
          <w:rFonts w:ascii="Calibri" w:hAnsi="Calibri"/>
          <w:b/>
          <w:color w:val="525866"/>
          <w:sz w:val="22"/>
        </w:rPr>
        <w:t>Microsoft guided Azure to grow ~45% in constant currency in Q3 2026 (calendar Q3)</w:t>
      </w:r>
      <w:r>
        <w:rPr>
          <w:rFonts w:ascii="Calibri" w:hAnsi="Calibri"/>
          <w:color w:val="525866"/>
          <w:sz w:val="22"/>
        </w:rPr>
        <w:t xml:space="preserve"> and expects H1 FY27 growth to accelerate. CFO Amy Hood described the current situation as "demand exceeds available supply in a sort of relatively extreme moment." This demand-constrained environment directly benefits AWS.</w:t>
      </w:r>
    </w:p>
    <w:p>
      <w:pPr>
        <w:pStyle w:val="ListBullet"/>
        <w:ind w:left="360" w:hanging="360"/>
      </w:pPr>
      <w:r>
        <w:rPr>
          <w:rFonts w:ascii="Calibri" w:hAnsi="Calibri"/>
          <w:b/>
          <w:color w:val="525866"/>
          <w:sz w:val="22"/>
        </w:rPr>
        <w:t>Microsoft capex was $41B in Q4 FY2026</w:t>
      </w:r>
      <w:r>
        <w:rPr>
          <w:rFonts w:ascii="Calibri" w:hAnsi="Calibri"/>
          <w:color w:val="525866"/>
          <w:sz w:val="22"/>
        </w:rPr>
        <w:t xml:space="preserve"> and guided &gt;$50B for Q1 FY27, with FY27 capex expected to grow YoY. Roughly two-thirds was for short-lived assets (CPUs/GPUs). This validates Amazon's own aggressive capex posture but also raises the stakes for investor scrutiny of returns.</w:t>
      </w:r>
    </w:p>
    <w:p>
      <w:pPr>
        <w:pStyle w:val="ListBullet"/>
        <w:ind w:left="360" w:hanging="360"/>
      </w:pPr>
      <w:r>
        <w:rPr>
          <w:rFonts w:ascii="Calibri" w:hAnsi="Calibri"/>
          <w:b/>
          <w:color w:val="525866"/>
          <w:sz w:val="22"/>
        </w:rPr>
        <w:t>Custom silicon (Maya 200) delivering 30% better performance per dollar</w:t>
      </w:r>
      <w:r>
        <w:rPr>
          <w:rFonts w:ascii="Calibri" w:hAnsi="Calibri"/>
          <w:color w:val="525866"/>
          <w:sz w:val="22"/>
        </w:rPr>
        <w:t xml:space="preserve"> and 40% better performance per watt — directly validates Amazon's Trainium investment thesis. Microsoft's 30M paid M365 Copilot seats (net adds doubling QoQ) and GitHub Copilot at 50M users demonstrate broad enterprise AI adoption driving cloud consumption.</w:t>
      </w:r>
    </w:p>
    <w:p>
      <w:pPr>
        <w:pStyle w:val="ListBullet"/>
        <w:ind w:left="360" w:hanging="360"/>
      </w:pPr>
      <w:r>
        <w:rPr>
          <w:rFonts w:ascii="Calibri" w:hAnsi="Calibri"/>
          <w:b/>
          <w:color w:val="525866"/>
          <w:sz w:val="22"/>
        </w:rPr>
        <w:t>Microsoft cloud gross margin was "better than expected" despite AI infrastructure investment headwinds</w:t>
      </w:r>
      <w:r>
        <w:rPr>
          <w:rFonts w:ascii="Calibri" w:hAnsi="Calibri"/>
          <w:color w:val="525866"/>
          <w:sz w:val="22"/>
        </w:rPr>
        <w:t xml:space="preserve"> — a positive signal that cloud providers can manage margins even at peak capex intensity. Microsoft guided FY27 operating margins down less than 1 point despite growing capex.</w:t>
      </w:r>
    </w:p>
    <w:p>
      <w:pPr>
        <w:pStyle w:val="Heading3"/>
      </w:pPr>
      <w:r>
        <w:rPr>
          <w:rFonts w:ascii="Calibri" w:hAnsi="Calibri"/>
          <w:b/>
          <w:color w:val="3B4259"/>
          <w:sz w:val="24"/>
        </w:rPr>
        <w:t>Alphabet / Google (GOOGL) — Q2 2026 Earnings (July 22, 2026) — MIXED: DEMAND POSITIVE, CAPEX NEGATIVE</w:t>
      </w:r>
    </w:p>
    <w:p>
      <w:pPr>
        <w:pStyle w:val="ListBullet"/>
        <w:ind w:left="360" w:hanging="360"/>
      </w:pPr>
      <w:r>
        <w:rPr>
          <w:rFonts w:ascii="Calibri" w:hAnsi="Calibri"/>
          <w:b/>
          <w:color w:val="525866"/>
          <w:sz w:val="22"/>
        </w:rPr>
        <w:t>Google Cloud grew 82% YoY to $24.8B in Q2 2026</w:t>
      </w:r>
      <w:r>
        <w:rPr>
          <w:rFonts w:ascii="Calibri" w:hAnsi="Calibri"/>
          <w:color w:val="525866"/>
          <w:sz w:val="22"/>
        </w:rPr>
        <w:t xml:space="preserve"> with cloud backlog growing &gt;$50B sequentially to $514B, driven by enterprise AI offerings. Cloud operating income tripled YoY to $8.8B with 35.6% operating margin (up from 20.7% a year ago). This is the strongest possible demand signal for the cloud AI market — AWS is operating in the same environment.</w:t>
      </w:r>
    </w:p>
    <w:p>
      <w:pPr>
        <w:pStyle w:val="ListBullet"/>
        <w:ind w:left="360" w:hanging="360"/>
      </w:pPr>
      <w:r>
        <w:rPr>
          <w:rFonts w:ascii="Calibri" w:hAnsi="Calibri"/>
          <w:b/>
          <w:color w:val="525866"/>
          <w:sz w:val="22"/>
        </w:rPr>
        <w:t>Alphabet raised FY2026 capex guidance to $195–$205B (from $180–$190B)</w:t>
      </w:r>
      <w:r>
        <w:rPr>
          <w:rFonts w:ascii="Calibri" w:hAnsi="Calibri"/>
          <w:color w:val="525866"/>
          <w:sz w:val="22"/>
        </w:rPr>
        <w:t xml:space="preserve"> and flagged capex will "increase significantly in 2027." Q2 capex was $44.9B, resulting in negative FCF of -$5.9B — the first negative FCF quarter in Alphabet's history. This triggered a ~7% stock decline and reset investor expectations for all hyperscalers, including Amazon.</w:t>
      </w:r>
    </w:p>
    <w:p>
      <w:pPr>
        <w:pStyle w:val="ListBullet"/>
        <w:ind w:left="360" w:hanging="360"/>
      </w:pPr>
      <w:r>
        <w:rPr>
          <w:rFonts w:ascii="Calibri" w:hAnsi="Calibri"/>
          <w:b/>
          <w:color w:val="525866"/>
          <w:sz w:val="22"/>
        </w:rPr>
        <w:t>Alphabet is using third-party capacity in Q3 as a bridging strategy</w:t>
      </w:r>
      <w:r>
        <w:rPr>
          <w:rFonts w:ascii="Calibri" w:hAnsi="Calibri"/>
          <w:color w:val="525866"/>
          <w:sz w:val="22"/>
        </w:rPr>
        <w:t xml:space="preserve"> while building internal capacity, accepting "modest margin pressure in the near term." CEO Pichai: "we are still in a supply constrained environment... seeing very strong demand, both from external cloud customers as well as across the business." This supply constraint is a positive for AWS pricing power.</w:t>
      </w:r>
    </w:p>
    <w:p>
      <w:pPr>
        <w:pStyle w:val="ListBullet"/>
        <w:ind w:left="360" w:hanging="360"/>
      </w:pPr>
      <w:r>
        <w:rPr>
          <w:rFonts w:ascii="Calibri" w:hAnsi="Calibri"/>
          <w:b/>
          <w:color w:val="525866"/>
          <w:sz w:val="22"/>
        </w:rPr>
        <w:t>Google Cloud began recognizing revenue from TPU system sales to customer data centers in Q2</w:t>
      </w:r>
      <w:r>
        <w:rPr>
          <w:rFonts w:ascii="Calibri" w:hAnsi="Calibri"/>
          <w:color w:val="525866"/>
          <w:sz w:val="22"/>
        </w:rPr>
        <w:t xml:space="preserve"> — a new revenue stream that validates Amazon's potential to sell Trainium racks to third parties (flagged by Jassy on the Q1 call as "a good chance we're going to sell racks over the next couple of years").</w:t>
      </w:r>
    </w:p>
    <w:p>
      <w:pPr>
        <w:pStyle w:val="ListBullet"/>
        <w:ind w:left="360" w:hanging="360"/>
      </w:pPr>
      <w:r>
        <w:rPr>
          <w:rFonts w:ascii="Calibri" w:hAnsi="Calibri"/>
          <w:b/>
          <w:color w:val="525866"/>
          <w:sz w:val="22"/>
        </w:rPr>
        <w:t>Google Search revenue grew 17% with retail and finance as the largest contributors</w:t>
      </w:r>
      <w:r>
        <w:rPr>
          <w:rFonts w:ascii="Calibri" w:hAnsi="Calibri"/>
          <w:color w:val="525866"/>
          <w:sz w:val="22"/>
        </w:rPr>
        <w:t xml:space="preserve"> — a positive read-through for Amazon's advertising business, confirming robust retail ad spend in Q2 2026.</w:t>
      </w:r>
    </w:p>
    <w:p>
      <w:pPr>
        <w:pStyle w:val="Heading3"/>
      </w:pPr>
      <w:r>
        <w:rPr>
          <w:rFonts w:ascii="Calibri" w:hAnsi="Calibri"/>
          <w:b/>
          <w:color w:val="3B4259"/>
          <w:sz w:val="24"/>
        </w:rPr>
        <w:t>Meta Platforms (META) — Q2 2026 Earnings (July 29, 2026) — MIXED: AD MARKET STRONG, CAPEX CONCERN</w:t>
      </w:r>
    </w:p>
    <w:p>
      <w:pPr>
        <w:pStyle w:val="ListBullet"/>
        <w:ind w:left="360" w:hanging="360"/>
      </w:pPr>
      <w:r>
        <w:rPr>
          <w:rFonts w:ascii="Calibri" w:hAnsi="Calibri"/>
          <w:b/>
          <w:color w:val="525866"/>
          <w:sz w:val="22"/>
        </w:rPr>
        <w:t>Meta Q2 2026 Family of Apps ad revenue grew 27% YoY to $59.4B</w:t>
      </w:r>
      <w:r>
        <w:rPr>
          <w:rFonts w:ascii="Calibri" w:hAnsi="Calibri"/>
          <w:color w:val="525866"/>
          <w:sz w:val="22"/>
        </w:rPr>
        <w:t xml:space="preserve"> with ad impressions up 14% and average price per ad up 12% YoY. AI-powered Advantage+ solutions reached &gt;$75B annual revenue run rate. This is a strong positive read-through for Amazon's advertising business — the digital ad market is healthy and AI-driven ad tools are driving meaningful performance gains.</w:t>
      </w:r>
    </w:p>
    <w:p>
      <w:pPr>
        <w:pStyle w:val="ListBullet"/>
        <w:ind w:left="360" w:hanging="360"/>
      </w:pPr>
      <w:r>
        <w:rPr>
          <w:rFonts w:ascii="Calibri" w:hAnsi="Calibri"/>
          <w:b/>
          <w:color w:val="525866"/>
          <w:sz w:val="22"/>
        </w:rPr>
        <w:t>Meta raised its 2026 capex guidance to $130–$145B (from $125–$145B)</w:t>
      </w:r>
      <w:r>
        <w:rPr>
          <w:rFonts w:ascii="Calibri" w:hAnsi="Calibri"/>
          <w:color w:val="525866"/>
          <w:sz w:val="22"/>
        </w:rPr>
        <w:t xml:space="preserve"> and issued Q3 revenue guidance of $61–$64B (below the $63.2B consensus). Stock fell ~10% in after-hours. FCF dwindled 90% YoY. The market's negative reaction to Meta's capex increase and below-consensus Q3 guide is a direct warning signal for Amazon: investors are now penalizing any capex increase or guidance miss, regardless of underlying business strength.</w:t>
      </w:r>
    </w:p>
    <w:p>
      <w:pPr>
        <w:pStyle w:val="ListBullet"/>
        <w:ind w:left="360" w:hanging="360"/>
      </w:pPr>
      <w:r>
        <w:rPr>
          <w:rFonts w:ascii="Calibri" w:hAnsi="Calibri"/>
          <w:b/>
          <w:color w:val="525866"/>
          <w:sz w:val="22"/>
        </w:rPr>
        <w:t>Meta CFO Susan Li: "The industry has underbuilt historically for the wave of AI adoption, making existing capacity extremely valuable... overall industry capacity is going to remain tight for the foreseeable future."</w:t>
      </w:r>
      <w:r>
        <w:rPr>
          <w:rFonts w:ascii="Calibri" w:hAnsi="Calibri"/>
          <w:color w:val="525866"/>
          <w:sz w:val="22"/>
        </w:rPr>
        <w:t xml:space="preserve"> This is a strong positive for AWS pricing power and demand visibility.</w:t>
      </w:r>
    </w:p>
    <w:p>
      <w:pPr>
        <w:pStyle w:val="ListBullet"/>
        <w:ind w:left="360" w:hanging="360"/>
      </w:pPr>
      <w:r>
        <w:rPr>
          <w:rFonts w:ascii="Calibri" w:hAnsi="Calibri"/>
          <w:b/>
          <w:color w:val="525866"/>
          <w:sz w:val="22"/>
        </w:rPr>
        <w:t>Meta is hiring a senior AWS executive (Dave Brown) to lead its data center build-out</w:t>
      </w:r>
      <w:r>
        <w:rPr>
          <w:rFonts w:ascii="Calibri" w:hAnsi="Calibri"/>
          <w:color w:val="525866"/>
          <w:sz w:val="22"/>
        </w:rPr>
        <w:t xml:space="preserve"> and is in talks to sell compute capacity to Anthropic in a $10B/2-year deal — signaling Meta's ambition to become a hyperscaler. While a long-term competitive risk, near-term this validates the value of cloud compute capacity and the demand environment.</w:t>
      </w:r>
    </w:p>
    <w:p>
      <w:pPr>
        <w:pStyle w:val="ListBullet"/>
        <w:ind w:left="360" w:hanging="360"/>
      </w:pPr>
      <w:r>
        <w:rPr>
          <w:rFonts w:ascii="Calibri" w:hAnsi="Calibri"/>
          <w:b/>
          <w:color w:val="525866"/>
          <w:sz w:val="22"/>
        </w:rPr>
        <w:t>Meta noted "third-party cloud spend" as a driver of infrastructure cost growth</w:t>
      </w:r>
      <w:r>
        <w:rPr>
          <w:rFonts w:ascii="Calibri" w:hAnsi="Calibri"/>
          <w:color w:val="525866"/>
          <w:sz w:val="22"/>
        </w:rPr>
        <w:t xml:space="preserve"> — confirming that even companies building massive internal infrastructure continue to rely on AWS and other cloud providers for incremental capacity.</w:t>
      </w:r>
    </w:p>
    <w:p>
      <w:pPr>
        <w:pStyle w:val="Heading3"/>
      </w:pPr>
      <w:r>
        <w:rPr>
          <w:rFonts w:ascii="Calibri" w:hAnsi="Calibri"/>
          <w:b/>
          <w:color w:val="3B4259"/>
          <w:sz w:val="24"/>
        </w:rPr>
        <w:t>Walmart (WMT) — Evercore &amp; Oppenheimer Conferences (June 9–10, 2026) — POSITIVE READ-THROUGH FOR RETAIL &amp; ADVERTISING</w:t>
      </w:r>
    </w:p>
    <w:p>
      <w:pPr>
        <w:pStyle w:val="ListBullet"/>
        <w:ind w:left="360" w:hanging="360"/>
      </w:pPr>
      <w:r>
        <w:rPr>
          <w:rFonts w:ascii="Calibri" w:hAnsi="Calibri"/>
          <w:b/>
          <w:color w:val="525866"/>
          <w:sz w:val="22"/>
        </w:rPr>
        <w:t>Walmart U.S. Q1 2026 comparable sales grew 4.1% (5.1% ex-maximum fair pricing)</w:t>
      </w:r>
      <w:r>
        <w:rPr>
          <w:rFonts w:ascii="Calibri" w:hAnsi="Calibri"/>
          <w:color w:val="525866"/>
          <w:sz w:val="22"/>
        </w:rPr>
        <w:t xml:space="preserve"> — an acceleration from the prior 4 quarters, with "best traffic growth in 6 quarters" and general merchandise share gains at a 5-year high. The consumer is described as "relatively healthy" with higher-income customers spending confidently. This is a positive read-through for Amazon's retail segment, though lower-income consumers are "feeling more pressured" in discretionary categories.</w:t>
      </w:r>
    </w:p>
    <w:p>
      <w:pPr>
        <w:pStyle w:val="ListBullet"/>
        <w:ind w:left="360" w:hanging="360"/>
      </w:pPr>
      <w:r>
        <w:rPr>
          <w:rFonts w:ascii="Calibri" w:hAnsi="Calibri"/>
          <w:b/>
          <w:color w:val="525866"/>
          <w:sz w:val="22"/>
        </w:rPr>
        <w:t>Walmart U.S. e-commerce grew 26% in Q1 2026 (9th consecutive quarter above 20%)</w:t>
      </w:r>
      <w:r>
        <w:rPr>
          <w:rFonts w:ascii="Calibri" w:hAnsi="Calibri"/>
          <w:color w:val="525866"/>
          <w:sz w:val="22"/>
        </w:rPr>
        <w:t xml:space="preserve"> with same-day/next-day Walmart Fulfillment Services units growing ~150% YoY. Walmart Connect (advertising) grew 44% ex-VIZIO. These strong metrics confirm a healthy e-commerce and retail media environment that should benefit Amazon's marketplace and advertising businesses.</w:t>
      </w:r>
    </w:p>
    <w:p>
      <w:pPr>
        <w:pStyle w:val="ListBullet"/>
        <w:ind w:left="360" w:hanging="360"/>
      </w:pPr>
      <w:r>
        <w:rPr>
          <w:rFonts w:ascii="Calibri" w:hAnsi="Calibri"/>
          <w:b/>
          <w:color w:val="525866"/>
          <w:sz w:val="22"/>
        </w:rPr>
        <w:t>Walmart's AI shopping agent Sparky saw weekly active users grow 110% QoQ</w:t>
      </w:r>
      <w:r>
        <w:rPr>
          <w:rFonts w:ascii="Calibri" w:hAnsi="Calibri"/>
          <w:color w:val="525866"/>
          <w:sz w:val="22"/>
        </w:rPr>
        <w:t xml:space="preserve"> with Sparky-attributed GMV up 150% from start to end of Q1, and baskets 35% larger than non-Sparky users. This rapid AI adoption in retail validates Amazon's Rufus and agentic commerce investments and suggests the market is receptive to AI-driven shopping experiences.</w:t>
      </w:r>
    </w:p>
    <w:p>
      <w:pPr>
        <w:pStyle w:val="ListBullet"/>
        <w:ind w:left="360" w:hanging="360"/>
      </w:pPr>
      <w:r>
        <w:rPr>
          <w:rFonts w:ascii="Calibri" w:hAnsi="Calibri"/>
          <w:b/>
          <w:color w:val="525866"/>
          <w:sz w:val="22"/>
        </w:rPr>
        <w:t>Walmart is "leaning into engagements with most of the big names in terms of the hyperscalers"</w:t>
      </w:r>
      <w:r>
        <w:rPr>
          <w:rFonts w:ascii="Calibri" w:hAnsi="Calibri"/>
          <w:color w:val="525866"/>
          <w:sz w:val="22"/>
        </w:rPr>
        <w:t xml:space="preserve"> for AI development — a direct positive for AWS demand from large enterprise retail customers.</w:t>
      </w:r>
    </w:p>
    <w:p>
      <w:pPr>
        <w:pStyle w:val="ListBullet"/>
        <w:ind w:left="360" w:hanging="360"/>
      </w:pPr>
      <w:r>
        <w:rPr>
          <w:rFonts w:ascii="Calibri" w:hAnsi="Calibri"/>
          <w:b/>
          <w:color w:val="525866"/>
          <w:sz w:val="22"/>
        </w:rPr>
        <w:t>An analyst at the Evercore conference noted Amazon's ~$200B capex vs. Walmart's ~$30B</w:t>
      </w:r>
      <w:r>
        <w:rPr>
          <w:rFonts w:ascii="Calibri" w:hAnsi="Calibri"/>
          <w:color w:val="525866"/>
          <w:sz w:val="22"/>
        </w:rPr>
        <w:t>, framing the question of whether Amazon's infrastructure investment is proportionate. Walmart's CFO declined to comment on competitors' capex levels, but the contrast highlights the investor scrutiny Amazon faces on capital efficiency.</w:t>
      </w:r>
    </w:p>
    <w:p>
      <w:pPr>
        <w:pStyle w:val="Heading3"/>
      </w:pPr>
      <w:r>
        <w:rPr>
          <w:rFonts w:ascii="Calibri" w:hAnsi="Calibri"/>
          <w:b/>
          <w:color w:val="3B4259"/>
          <w:sz w:val="24"/>
        </w:rPr>
        <w:t>Key Synthesis: What Peer Commentary Means for AMZN Q2 2026</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Signal</w:t>
            </w:r>
          </w:p>
        </w:tc>
        <w:tc>
          <w:tcPr>
            <w:tcW w:type="dxa" w:w="2880"/>
            <w:shd w:val="clear" w:color="auto" w:fill="3B4259"/>
          </w:tcPr>
          <w:p>
            <w:r>
              <w:rPr>
                <w:rFonts w:ascii="Calibri" w:hAnsi="Calibri"/>
                <w:b/>
                <w:color w:val="FFFFFF"/>
                <w:sz w:val="22"/>
              </w:rPr>
              <w:t>Implication for AMZN</w:t>
            </w:r>
          </w:p>
        </w:tc>
      </w:tr>
      <w:tr>
        <w:tc>
          <w:tcPr>
            <w:tcW w:type="dxa" w:w="2880"/>
          </w:tcPr>
          <w:p>
            <w:r>
              <w:rPr>
                <w:rFonts w:ascii="Calibri" w:hAnsi="Calibri"/>
                <w:sz w:val="22"/>
              </w:rPr>
              <w:t>Cloud AI Demand</w:t>
            </w:r>
          </w:p>
        </w:tc>
        <w:tc>
          <w:tcPr>
            <w:tcW w:type="dxa" w:w="2880"/>
          </w:tcPr>
          <w:p>
            <w:r>
              <w:rPr>
                <w:rFonts w:ascii="Calibri" w:hAnsi="Calibri"/>
                <w:b/>
                <w:color w:val="30A46C"/>
                <w:sz w:val="22"/>
              </w:rPr>
              <w:t>Strongly Positive</w:t>
            </w:r>
          </w:p>
        </w:tc>
        <w:tc>
          <w:tcPr>
            <w:tcW w:type="dxa" w:w="2880"/>
          </w:tcPr>
          <w:p>
            <w:r>
              <w:rPr>
                <w:rFonts w:ascii="Calibri" w:hAnsi="Calibri"/>
                <w:sz w:val="22"/>
              </w:rPr>
              <w:t>Azure +43%, Google Cloud +82%, both demand-constrained. AWS likely to report strong Q2 growth; consensus at ~$40.5B (+31% YoY) appears achievable.</w:t>
            </w:r>
          </w:p>
        </w:tc>
      </w:tr>
      <w:tr>
        <w:tc>
          <w:tcPr>
            <w:tcW w:type="dxa" w:w="2880"/>
          </w:tcPr>
          <w:p>
            <w:r>
              <w:rPr>
                <w:rFonts w:ascii="Calibri" w:hAnsi="Calibri"/>
                <w:sz w:val="22"/>
              </w:rPr>
              <w:t>Digital Advertising</w:t>
            </w:r>
          </w:p>
        </w:tc>
        <w:tc>
          <w:tcPr>
            <w:tcW w:type="dxa" w:w="2880"/>
          </w:tcPr>
          <w:p>
            <w:r>
              <w:rPr>
                <w:rFonts w:ascii="Calibri" w:hAnsi="Calibri"/>
                <w:b/>
                <w:color w:val="30A46C"/>
                <w:sz w:val="22"/>
              </w:rPr>
              <w:t>Positive</w:t>
            </w:r>
          </w:p>
        </w:tc>
        <w:tc>
          <w:tcPr>
            <w:tcW w:type="dxa" w:w="2880"/>
          </w:tcPr>
          <w:p>
            <w:r>
              <w:rPr>
                <w:rFonts w:ascii="Calibri" w:hAnsi="Calibri"/>
                <w:sz w:val="22"/>
              </w:rPr>
              <w:t>Meta ads +27%, Google Search +17% with retail as top driver. Amazon Ads consensus of $19.4B (+23% YoY) looks well-supported.</w:t>
            </w:r>
          </w:p>
        </w:tc>
      </w:tr>
      <w:tr>
        <w:tc>
          <w:tcPr>
            <w:tcW w:type="dxa" w:w="2880"/>
          </w:tcPr>
          <w:p>
            <w:r>
              <w:rPr>
                <w:rFonts w:ascii="Calibri" w:hAnsi="Calibri"/>
                <w:sz w:val="22"/>
              </w:rPr>
              <w:t>Retail Consumer Demand</w:t>
            </w:r>
          </w:p>
        </w:tc>
        <w:tc>
          <w:tcPr>
            <w:tcW w:type="dxa" w:w="2880"/>
          </w:tcPr>
          <w:p>
            <w:r>
              <w:rPr>
                <w:rFonts w:ascii="Calibri" w:hAnsi="Calibri"/>
                <w:b/>
                <w:color w:val="30A46C"/>
                <w:sz w:val="22"/>
              </w:rPr>
              <w:t>Moderately Positive</w:t>
            </w:r>
          </w:p>
        </w:tc>
        <w:tc>
          <w:tcPr>
            <w:tcW w:type="dxa" w:w="2880"/>
          </w:tcPr>
          <w:p>
            <w:r>
              <w:rPr>
                <w:rFonts w:ascii="Calibri" w:hAnsi="Calibri"/>
                <w:sz w:val="22"/>
              </w:rPr>
              <w:t>Walmart traffic and e-commerce accelerating; higher-income consumer healthy. Supports Amazon retail revenue growth.</w:t>
            </w:r>
          </w:p>
        </w:tc>
      </w:tr>
      <w:tr>
        <w:tc>
          <w:tcPr>
            <w:tcW w:type="dxa" w:w="2880"/>
          </w:tcPr>
          <w:p>
            <w:r>
              <w:rPr>
                <w:rFonts w:ascii="Calibri" w:hAnsi="Calibri"/>
                <w:sz w:val="22"/>
              </w:rPr>
              <w:t>Capex / FCF Investor Tolerance</w:t>
            </w:r>
          </w:p>
        </w:tc>
        <w:tc>
          <w:tcPr>
            <w:tcW w:type="dxa" w:w="2880"/>
          </w:tcPr>
          <w:p>
            <w:r>
              <w:rPr>
                <w:rFonts w:ascii="Calibri" w:hAnsi="Calibri"/>
                <w:b/>
                <w:color w:val="E5484D"/>
                <w:sz w:val="22"/>
              </w:rPr>
              <w:t>Negative Risk</w:t>
            </w:r>
          </w:p>
        </w:tc>
        <w:tc>
          <w:tcPr>
            <w:tcW w:type="dxa" w:w="2880"/>
          </w:tcPr>
          <w:p>
            <w:r>
              <w:rPr>
                <w:rFonts w:ascii="Calibri" w:hAnsi="Calibri"/>
                <w:sz w:val="22"/>
              </w:rPr>
              <w:t>Alphabet's negative FCF and Meta's capex raise both punished by market. Any Amazon capex increase or FCF miss will face severe scrutiny.</w:t>
            </w:r>
          </w:p>
        </w:tc>
      </w:tr>
      <w:tr>
        <w:tc>
          <w:tcPr>
            <w:tcW w:type="dxa" w:w="2880"/>
          </w:tcPr>
          <w:p>
            <w:r>
              <w:rPr>
                <w:rFonts w:ascii="Calibri" w:hAnsi="Calibri"/>
                <w:sz w:val="22"/>
              </w:rPr>
              <w:t>Custom Silicon / AI Hardware</w:t>
            </w:r>
          </w:p>
        </w:tc>
        <w:tc>
          <w:tcPr>
            <w:tcW w:type="dxa" w:w="2880"/>
          </w:tcPr>
          <w:p>
            <w:r>
              <w:rPr>
                <w:rFonts w:ascii="Calibri" w:hAnsi="Calibri"/>
                <w:b/>
                <w:color w:val="30A46C"/>
                <w:sz w:val="22"/>
              </w:rPr>
              <w:t>Positive</w:t>
            </w:r>
          </w:p>
        </w:tc>
        <w:tc>
          <w:tcPr>
            <w:tcW w:type="dxa" w:w="2880"/>
          </w:tcPr>
          <w:p>
            <w:r>
              <w:rPr>
                <w:rFonts w:ascii="Calibri" w:hAnsi="Calibri"/>
                <w:sz w:val="22"/>
              </w:rPr>
              <w:t>MSFT Maya 200 (+30% perf/dollar), Google TPU system sales validate Amazon Trainium thesis. Potential rack sales to third parties increasingly credible.</w:t>
            </w:r>
          </w:p>
        </w:tc>
      </w:tr>
    </w:tbl>
    <w:p>
      <w:r>
        <w:br w:type="page"/>
      </w:r>
    </w:p>
    <w:p>
      <w:pPr>
        <w:pStyle w:val="Heading2"/>
      </w:pPr>
      <w:r>
        <w:rPr>
          <w:rFonts w:ascii="Calibri" w:hAnsi="Calibri"/>
          <w:b/>
          <w:color w:val="3B4259"/>
          <w:sz w:val="28"/>
        </w:rPr>
        <w:t>Material News &amp; Developments</w:t>
      </w:r>
    </w:p>
    <w:p>
      <w:r>
        <w:rPr>
          <w:rFonts w:ascii="Calibri" w:hAnsi="Calibri"/>
          <w:b/>
          <w:color w:val="525866"/>
          <w:sz w:val="22"/>
        </w:rPr>
        <w:t xml:space="preserve">Key Takeaway: </w:t>
      </w:r>
      <w:r>
        <w:rPr>
          <w:rFonts w:ascii="Calibri" w:hAnsi="Calibri"/>
          <w:color w:val="525866"/>
          <w:sz w:val="22"/>
        </w:rPr>
        <w:t xml:space="preserve">The most important post-Q1 development is the </w:t>
      </w:r>
      <w:r>
        <w:rPr>
          <w:rFonts w:ascii="Calibri" w:hAnsi="Calibri"/>
          <w:b/>
          <w:color w:val="525866"/>
          <w:sz w:val="22"/>
        </w:rPr>
        <w:t>Alphabet capex shock on July 23</w:t>
      </w:r>
      <w:r>
        <w:rPr>
          <w:rFonts w:ascii="Calibri" w:hAnsi="Calibri"/>
          <w:color w:val="525866"/>
          <w:sz w:val="22"/>
        </w:rPr>
        <w:t xml:space="preserve"> — which reset investor expectations for all hyperscalers and is the primary driver of AMZN's ~14% underperformance since earnings. Amazon's own operational news (Leo satellite progress, AWS deals, debt issuance) has been broadly positive, but the macro sentiment shift around AI capex ROI is the dominant factor heading into the print.</w:t>
      </w:r>
    </w:p>
    <w:p>
      <w:pPr>
        <w:pStyle w:val="ListBullet"/>
        <w:ind w:left="360" w:hanging="360"/>
      </w:pPr>
      <w:r>
        <w:rPr>
          <w:rFonts w:ascii="Calibri" w:hAnsi="Calibri"/>
          <w:b/>
          <w:color w:val="525866"/>
          <w:sz w:val="22"/>
        </w:rPr>
        <w:t>July 23, 2026 — Alphabet raises FY2026 capex to $195–$205B, reports first-ever negative FCF (-$5.9B):</w:t>
      </w:r>
      <w:r>
        <w:rPr>
          <w:rFonts w:ascii="Calibri" w:hAnsi="Calibri"/>
          <w:color w:val="525866"/>
          <w:sz w:val="22"/>
        </w:rPr>
        <w:t xml:space="preserve"> Stock fell ~7%, dragging AMZN down ~5% on the same day. This single event is the most important read-through for Amazon's print — it has made investors acutely sensitive to any capex increase or FCF deterioration. Implication: Amazon must either hold its ~$200B capex guide or provide a compelling ROI narrative to avoid a similar reaction.</w:t>
      </w:r>
    </w:p>
    <w:p>
      <w:pPr>
        <w:pStyle w:val="ListBullet"/>
        <w:ind w:left="360" w:hanging="360"/>
      </w:pPr>
      <w:r>
        <w:rPr>
          <w:rFonts w:ascii="Calibri" w:hAnsi="Calibri"/>
          <w:b/>
          <w:color w:val="525866"/>
          <w:sz w:val="22"/>
        </w:rPr>
        <w:t>July 29, 2026 — Microsoft reports Azure +43% growth, guides +45% for Q3:</w:t>
      </w:r>
      <w:r>
        <w:rPr>
          <w:rFonts w:ascii="Calibri" w:hAnsi="Calibri"/>
          <w:color w:val="525866"/>
          <w:sz w:val="22"/>
        </w:rPr>
        <w:t xml:space="preserve"> Strong cloud demand confirmation. MSFT stock up ~3% after-hours. Positive read-through for AWS demand environment heading into tomorrow's print.</w:t>
      </w:r>
    </w:p>
    <w:p>
      <w:pPr>
        <w:pStyle w:val="ListBullet"/>
        <w:ind w:left="360" w:hanging="360"/>
      </w:pPr>
      <w:r>
        <w:rPr>
          <w:rFonts w:ascii="Calibri" w:hAnsi="Calibri"/>
          <w:b/>
          <w:color w:val="525866"/>
          <w:sz w:val="22"/>
        </w:rPr>
        <w:t>July 29, 2026 — Meta reports Q2 revenue +28% but Q3 guide misses, FCF -90% YoY, capex raised to $130–$145B:</w:t>
      </w:r>
      <w:r>
        <w:rPr>
          <w:rFonts w:ascii="Calibri" w:hAnsi="Calibri"/>
          <w:color w:val="525866"/>
          <w:sz w:val="22"/>
        </w:rPr>
        <w:t xml:space="preserve"> Stock fell ~10% after-hours. Reinforces investor intolerance for capex increases without clear near-term FCF recovery. Direct warning for Amazon's capex messaging.</w:t>
      </w:r>
    </w:p>
    <w:p>
      <w:pPr>
        <w:pStyle w:val="ListBullet"/>
        <w:ind w:left="360" w:hanging="360"/>
      </w:pPr>
      <w:r>
        <w:rPr>
          <w:rFonts w:ascii="Calibri" w:hAnsi="Calibri"/>
          <w:b/>
          <w:color w:val="525866"/>
          <w:sz w:val="22"/>
        </w:rPr>
        <w:t>July 28, 2026 — AWS signs $400M compute deal with Recursive Superintelligence:</w:t>
      </w:r>
      <w:r>
        <w:rPr>
          <w:rFonts w:ascii="Calibri" w:hAnsi="Calibri"/>
          <w:color w:val="525866"/>
          <w:sz w:val="22"/>
        </w:rPr>
        <w:t xml:space="preserve"> Multi-year agreement for AI infrastructure. Demonstrates continued enterprise demand for AWS compute at scale. Positive for AWS backlog and revenue visibility.</w:t>
      </w:r>
    </w:p>
    <w:p>
      <w:pPr>
        <w:pStyle w:val="ListBullet"/>
        <w:ind w:left="360" w:hanging="360"/>
      </w:pPr>
      <w:r>
        <w:rPr>
          <w:rFonts w:ascii="Calibri" w:hAnsi="Calibri"/>
          <w:b/>
          <w:color w:val="525866"/>
          <w:sz w:val="22"/>
        </w:rPr>
        <w:t>July 27–28, 2026 — Amazon files FCC application for 5,105-satellite direct-to-device network (Project Leo):</w:t>
      </w:r>
      <w:r>
        <w:rPr>
          <w:rFonts w:ascii="Calibri" w:hAnsi="Calibri"/>
          <w:color w:val="525866"/>
          <w:sz w:val="22"/>
        </w:rPr>
        <w:t xml:space="preserve"> Plans to start launching in 2028. Globalstar acquisition announced; Apple partnership for iPhone/Apple Watch satellite services confirmed. Implication: Leo is becoming a real business with enterprise commitments (Delta, AT&amp;T, Vodafone, NASA), but the ~$1B Q2 cost headwind and ongoing capex intensity are near-term negatives for FCF.</w:t>
      </w:r>
    </w:p>
    <w:p>
      <w:pPr>
        <w:pStyle w:val="ListBullet"/>
        <w:ind w:left="360" w:hanging="360"/>
      </w:pPr>
      <w:r>
        <w:rPr>
          <w:rFonts w:ascii="Calibri" w:hAnsi="Calibri"/>
          <w:b/>
          <w:color w:val="525866"/>
          <w:sz w:val="22"/>
        </w:rPr>
        <w:t>July 28, 2026 — Amazon hires Google TPU veteran for Trainium software:</w:t>
      </w:r>
      <w:r>
        <w:rPr>
          <w:rFonts w:ascii="Calibri" w:hAnsi="Calibri"/>
          <w:color w:val="525866"/>
          <w:sz w:val="22"/>
        </w:rPr>
        <w:t xml:space="preserve"> Signals continued investment in custom AI silicon capabilities. Positive for long-term Trainium competitiveness and the $225B+ in revenue commitments already secured.</w:t>
      </w:r>
    </w:p>
    <w:p>
      <w:pPr>
        <w:pStyle w:val="ListBullet"/>
        <w:ind w:left="360" w:hanging="360"/>
      </w:pPr>
      <w:r>
        <w:rPr>
          <w:rFonts w:ascii="Calibri" w:hAnsi="Calibri"/>
          <w:b/>
          <w:color w:val="525866"/>
          <w:sz w:val="22"/>
        </w:rPr>
        <w:t>July 27, 2026 — India allows foreign direct investment in consumer-facing e-commerce:</w:t>
      </w:r>
      <w:r>
        <w:rPr>
          <w:rFonts w:ascii="Calibri" w:hAnsi="Calibri"/>
          <w:color w:val="525866"/>
          <w:sz w:val="22"/>
        </w:rPr>
        <w:t xml:space="preserve"> Significant regulatory win for Amazon's India operations. Positive for International segment growth trajectory.</w:t>
      </w:r>
    </w:p>
    <w:p>
      <w:pPr>
        <w:pStyle w:val="ListBullet"/>
        <w:ind w:left="360" w:hanging="360"/>
      </w:pPr>
      <w:r>
        <w:rPr>
          <w:rFonts w:ascii="Calibri" w:hAnsi="Calibri"/>
          <w:b/>
          <w:color w:val="525866"/>
          <w:sz w:val="22"/>
        </w:rPr>
        <w:t>July 24, 2026 — Moody's warns AI spending threatens credit quality of Amazon and peers:</w:t>
      </w:r>
      <w:r>
        <w:rPr>
          <w:rFonts w:ascii="Calibri" w:hAnsi="Calibri"/>
          <w:color w:val="525866"/>
          <w:sz w:val="22"/>
        </w:rPr>
        <w:t xml:space="preserve"> Amazon's long-term debt surged 81% to $119B from Dec 31 to Mar 31. Amazon has issued ~$39B in new debt in Q2 2026 (C$14B in June, $24.9B in July). Implication: leverage is rising rapidly; investors will scrutinize debt levels alongside capex guidance.</w:t>
      </w:r>
    </w:p>
    <w:p>
      <w:pPr>
        <w:pStyle w:val="ListBullet"/>
        <w:ind w:left="360" w:hanging="360"/>
      </w:pPr>
      <w:r>
        <w:rPr>
          <w:rFonts w:ascii="Calibri" w:hAnsi="Calibri"/>
          <w:b/>
          <w:color w:val="525866"/>
          <w:sz w:val="22"/>
        </w:rPr>
        <w:t>July 22, 2026 — Amazon cuts some jobs in its AGI unit:</w:t>
      </w:r>
      <w:r>
        <w:rPr>
          <w:rFonts w:ascii="Calibri" w:hAnsi="Calibri"/>
          <w:color w:val="525866"/>
          <w:sz w:val="22"/>
        </w:rPr>
        <w:t xml:space="preserve"> Layoffs in the Nova AI models group. Modest negative for AI narrative but consistent with broader industry rationalization of headcount while maintaining capex.</w:t>
      </w:r>
    </w:p>
    <w:p>
      <w:pPr>
        <w:pStyle w:val="ListBullet"/>
        <w:ind w:left="360" w:hanging="360"/>
      </w:pPr>
      <w:r>
        <w:rPr>
          <w:rFonts w:ascii="Calibri" w:hAnsi="Calibri"/>
          <w:b/>
          <w:color w:val="525866"/>
          <w:sz w:val="22"/>
        </w:rPr>
        <w:t>July 9 &amp; June 12, 2026 — Amazon closes $24.9B USD and C$14B multi-tranche debt offerings:</w:t>
      </w:r>
      <w:r>
        <w:rPr>
          <w:rFonts w:ascii="Calibri" w:hAnsi="Calibri"/>
          <w:color w:val="525866"/>
          <w:sz w:val="22"/>
        </w:rPr>
        <w:t xml:space="preserve"> Proceeds likely funding AI infrastructure and Leo satellite buildout. Confirms aggressive capital deployment but raises leverage concerns flagged by Moody's.</w:t>
      </w:r>
    </w:p>
    <w:p>
      <w:pPr>
        <w:pStyle w:val="ListBullet"/>
        <w:ind w:left="360" w:hanging="360"/>
      </w:pPr>
      <w:r>
        <w:rPr>
          <w:rFonts w:ascii="Calibri" w:hAnsi="Calibri"/>
          <w:b/>
          <w:color w:val="525866"/>
          <w:sz w:val="22"/>
        </w:rPr>
        <w:t>May 2026 — Amazon Leo commercial launch on track for Q3 2026:</w:t>
      </w:r>
      <w:r>
        <w:rPr>
          <w:rFonts w:ascii="Calibri" w:hAnsi="Calibri"/>
          <w:color w:val="525866"/>
          <w:sz w:val="22"/>
        </w:rPr>
        <w:t xml:space="preserve"> Delta Airlines, Vodafone, DP World Tour agreements announced. Globalstar acquisition and Apple partnership confirmed on Q1 call. Leo cost capitalization expected to begin in Q4 2026, which will provide some FCF relief.</w:t>
      </w:r>
    </w:p>
    <w:p>
      <w:pPr>
        <w:pStyle w:val="Heading2"/>
      </w:pPr>
      <w:r>
        <w:rPr>
          <w:rFonts w:ascii="Calibri" w:hAnsi="Calibri"/>
          <w:b/>
          <w:color w:val="3B4259"/>
          <w:sz w:val="28"/>
        </w:rPr>
        <w:t>Insider Transaction Activity</w:t>
      </w:r>
    </w:p>
    <w:p>
      <w:r>
        <w:rPr>
          <w:rFonts w:ascii="Calibri" w:hAnsi="Calibri"/>
          <w:b/>
          <w:color w:val="525866"/>
          <w:sz w:val="22"/>
        </w:rPr>
        <w:t xml:space="preserve">Key Takeaway: </w:t>
      </w:r>
      <w:r>
        <w:rPr>
          <w:rFonts w:ascii="Calibri" w:hAnsi="Calibri"/>
          <w:color w:val="525866"/>
          <w:sz w:val="22"/>
        </w:rPr>
        <w:t xml:space="preserve">All insider activity since the Q1 earnings print consists of </w:t>
      </w:r>
      <w:r>
        <w:rPr>
          <w:rFonts w:ascii="Calibri" w:hAnsi="Calibri"/>
          <w:b/>
          <w:color w:val="525866"/>
          <w:sz w:val="22"/>
        </w:rPr>
        <w:t>pre-planned 10b5-1 sales only</w:t>
      </w:r>
      <w:r>
        <w:rPr>
          <w:rFonts w:ascii="Calibri" w:hAnsi="Calibri"/>
          <w:color w:val="525866"/>
          <w:sz w:val="22"/>
        </w:rPr>
        <w:t xml:space="preserve"> — no open-market discretionary buys or sells. The pattern is routine and obligation-driven; there is no insider signal — positive or negative — that is meaningful for the Q2 print.</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Herrington, Douglas J.</w:t>
            </w:r>
          </w:p>
        </w:tc>
        <w:tc>
          <w:tcPr>
            <w:tcW w:type="dxa" w:w="1440"/>
          </w:tcPr>
          <w:p>
            <w:r>
              <w:rPr>
                <w:rFonts w:ascii="Calibri" w:hAnsi="Calibri"/>
                <w:sz w:val="22"/>
              </w:rPr>
              <w:t>CEO Worldwide Amazon Stores</w:t>
            </w:r>
          </w:p>
        </w:tc>
        <w:tc>
          <w:tcPr>
            <w:tcW w:type="dxa" w:w="1440"/>
          </w:tcPr>
          <w:p>
            <w:r>
              <w:rPr>
                <w:rFonts w:ascii="Calibri" w:hAnsi="Calibri"/>
                <w:sz w:val="22"/>
              </w:rPr>
              <w:t>10b5-1 Planned Sale</w:t>
            </w:r>
          </w:p>
        </w:tc>
        <w:tc>
          <w:tcPr>
            <w:tcW w:type="dxa" w:w="1440"/>
          </w:tcPr>
          <w:p>
            <w:r>
              <w:rPr>
                <w:rFonts w:ascii="Calibri" w:hAnsi="Calibri"/>
                <w:sz w:val="22"/>
              </w:rPr>
              <w:t>1,000 shares</w:t>
            </w:r>
          </w:p>
        </w:tc>
        <w:tc>
          <w:tcPr>
            <w:tcW w:type="dxa" w:w="1440"/>
          </w:tcPr>
          <w:p>
            <w:r>
              <w:rPr>
                <w:rFonts w:ascii="Calibri" w:hAnsi="Calibri"/>
                <w:sz w:val="22"/>
              </w:rPr>
              <w:t>Jul 1, 2026</w:t>
            </w:r>
          </w:p>
        </w:tc>
        <w:tc>
          <w:tcPr>
            <w:tcW w:type="dxa" w:w="1440"/>
          </w:tcPr>
          <w:p>
            <w:r>
              <w:rPr>
                <w:rFonts w:ascii="Calibri" w:hAnsi="Calibri"/>
                <w:sz w:val="22"/>
              </w:rPr>
              <w:t>Pre-planned; routine monthly sale under 10b5-1 plan. Remaining holdings: 484,527 shares.</w:t>
            </w:r>
          </w:p>
        </w:tc>
      </w:tr>
      <w:tr>
        <w:tc>
          <w:tcPr>
            <w:tcW w:type="dxa" w:w="1440"/>
          </w:tcPr>
          <w:p>
            <w:r>
              <w:rPr>
                <w:rFonts w:ascii="Calibri" w:hAnsi="Calibri"/>
                <w:sz w:val="22"/>
              </w:rPr>
              <w:t>Herrington, Douglas J.</w:t>
            </w:r>
          </w:p>
        </w:tc>
        <w:tc>
          <w:tcPr>
            <w:tcW w:type="dxa" w:w="1440"/>
          </w:tcPr>
          <w:p>
            <w:r>
              <w:rPr>
                <w:rFonts w:ascii="Calibri" w:hAnsi="Calibri"/>
                <w:sz w:val="22"/>
              </w:rPr>
              <w:t>CEO Worldwide Amazon Stores</w:t>
            </w:r>
          </w:p>
        </w:tc>
        <w:tc>
          <w:tcPr>
            <w:tcW w:type="dxa" w:w="1440"/>
          </w:tcPr>
          <w:p>
            <w:r>
              <w:rPr>
                <w:rFonts w:ascii="Calibri" w:hAnsi="Calibri"/>
                <w:sz w:val="22"/>
              </w:rPr>
              <w:t>10b5-1 Planned Sale</w:t>
            </w:r>
          </w:p>
        </w:tc>
        <w:tc>
          <w:tcPr>
            <w:tcW w:type="dxa" w:w="1440"/>
          </w:tcPr>
          <w:p>
            <w:r>
              <w:rPr>
                <w:rFonts w:ascii="Calibri" w:hAnsi="Calibri"/>
                <w:sz w:val="22"/>
              </w:rPr>
              <w:t>1,000 shares</w:t>
            </w:r>
          </w:p>
        </w:tc>
        <w:tc>
          <w:tcPr>
            <w:tcW w:type="dxa" w:w="1440"/>
          </w:tcPr>
          <w:p>
            <w:r>
              <w:rPr>
                <w:rFonts w:ascii="Calibri" w:hAnsi="Calibri"/>
                <w:sz w:val="22"/>
              </w:rPr>
              <w:t>Jun 1, 2026</w:t>
            </w:r>
          </w:p>
        </w:tc>
        <w:tc>
          <w:tcPr>
            <w:tcW w:type="dxa" w:w="1440"/>
          </w:tcPr>
          <w:p>
            <w:r>
              <w:rPr>
                <w:rFonts w:ascii="Calibri" w:hAnsi="Calibri"/>
                <w:sz w:val="22"/>
              </w:rPr>
              <w:t>Pre-planned; routine monthly sale under 10b5-1 plan. Remaining holdings: 485,527 shares.</w:t>
            </w:r>
          </w:p>
        </w:tc>
      </w:tr>
      <w:tr>
        <w:tc>
          <w:tcPr>
            <w:tcW w:type="dxa" w:w="1440"/>
          </w:tcPr>
          <w:p>
            <w:r>
              <w:rPr>
                <w:rFonts w:ascii="Calibri" w:hAnsi="Calibri"/>
                <w:sz w:val="22"/>
              </w:rPr>
              <w:t>Jassy, Andrew R.</w:t>
            </w:r>
          </w:p>
        </w:tc>
        <w:tc>
          <w:tcPr>
            <w:tcW w:type="dxa" w:w="1440"/>
          </w:tcPr>
          <w:p>
            <w:r>
              <w:rPr>
                <w:rFonts w:ascii="Calibri" w:hAnsi="Calibri"/>
                <w:sz w:val="22"/>
              </w:rPr>
              <w:t>President and CEO, Director</w:t>
            </w:r>
          </w:p>
        </w:tc>
        <w:tc>
          <w:tcPr>
            <w:tcW w:type="dxa" w:w="1440"/>
          </w:tcPr>
          <w:p>
            <w:r>
              <w:rPr>
                <w:rFonts w:ascii="Calibri" w:hAnsi="Calibri"/>
                <w:sz w:val="22"/>
              </w:rPr>
              <w:t>10b5-1 Planned Sale</w:t>
            </w:r>
          </w:p>
        </w:tc>
        <w:tc>
          <w:tcPr>
            <w:tcW w:type="dxa" w:w="1440"/>
          </w:tcPr>
          <w:p>
            <w:r>
              <w:rPr>
                <w:rFonts w:ascii="Calibri" w:hAnsi="Calibri"/>
                <w:sz w:val="22"/>
              </w:rPr>
              <w:t>31,352 shares</w:t>
            </w:r>
          </w:p>
        </w:tc>
        <w:tc>
          <w:tcPr>
            <w:tcW w:type="dxa" w:w="1440"/>
          </w:tcPr>
          <w:p>
            <w:r>
              <w:rPr>
                <w:rFonts w:ascii="Calibri" w:hAnsi="Calibri"/>
                <w:sz w:val="22"/>
              </w:rPr>
              <w:t>May 4, 2026</w:t>
            </w:r>
          </w:p>
        </w:tc>
        <w:tc>
          <w:tcPr>
            <w:tcW w:type="dxa" w:w="1440"/>
          </w:tcPr>
          <w:p>
            <w:r>
              <w:rPr>
                <w:rFonts w:ascii="Calibri" w:hAnsi="Calibri"/>
                <w:sz w:val="22"/>
              </w:rPr>
              <w:t>Pre-planned; larger block sale under 10b5-1 plan. Remaining holdings: 2,175,766 shares. No discretionary signal.</w:t>
            </w:r>
          </w:p>
        </w:tc>
      </w:tr>
      <w:tr>
        <w:tc>
          <w:tcPr>
            <w:tcW w:type="dxa" w:w="1440"/>
          </w:tcPr>
          <w:p>
            <w:r>
              <w:rPr>
                <w:rFonts w:ascii="Calibri" w:hAnsi="Calibri"/>
                <w:sz w:val="22"/>
              </w:rPr>
              <w:t>Herrington, Douglas J.</w:t>
            </w:r>
          </w:p>
        </w:tc>
        <w:tc>
          <w:tcPr>
            <w:tcW w:type="dxa" w:w="1440"/>
          </w:tcPr>
          <w:p>
            <w:r>
              <w:rPr>
                <w:rFonts w:ascii="Calibri" w:hAnsi="Calibri"/>
                <w:sz w:val="22"/>
              </w:rPr>
              <w:t>CEO Worldwide Amazon Stores</w:t>
            </w:r>
          </w:p>
        </w:tc>
        <w:tc>
          <w:tcPr>
            <w:tcW w:type="dxa" w:w="1440"/>
          </w:tcPr>
          <w:p>
            <w:r>
              <w:rPr>
                <w:rFonts w:ascii="Calibri" w:hAnsi="Calibri"/>
                <w:sz w:val="22"/>
              </w:rPr>
              <w:t>10b5-1 Planned Sale</w:t>
            </w:r>
          </w:p>
        </w:tc>
        <w:tc>
          <w:tcPr>
            <w:tcW w:type="dxa" w:w="1440"/>
          </w:tcPr>
          <w:p>
            <w:r>
              <w:rPr>
                <w:rFonts w:ascii="Calibri" w:hAnsi="Calibri"/>
                <w:sz w:val="22"/>
              </w:rPr>
              <w:t>27,500 shares</w:t>
            </w:r>
          </w:p>
        </w:tc>
        <w:tc>
          <w:tcPr>
            <w:tcW w:type="dxa" w:w="1440"/>
          </w:tcPr>
          <w:p>
            <w:r>
              <w:rPr>
                <w:rFonts w:ascii="Calibri" w:hAnsi="Calibri"/>
                <w:sz w:val="22"/>
              </w:rPr>
              <w:t>May 4, 2026</w:t>
            </w:r>
          </w:p>
        </w:tc>
        <w:tc>
          <w:tcPr>
            <w:tcW w:type="dxa" w:w="1440"/>
          </w:tcPr>
          <w:p>
            <w:r>
              <w:rPr>
                <w:rFonts w:ascii="Calibri" w:hAnsi="Calibri"/>
                <w:sz w:val="22"/>
              </w:rPr>
              <w:t>Pre-planned; larger block sale under 10b5-1 plan. Remaining holdings: 471,361 shares.</w:t>
            </w:r>
          </w:p>
        </w:tc>
      </w:tr>
      <w:tr>
        <w:tc>
          <w:tcPr>
            <w:tcW w:type="dxa" w:w="1440"/>
          </w:tcPr>
          <w:p>
            <w:r>
              <w:rPr>
                <w:rFonts w:ascii="Calibri" w:hAnsi="Calibri"/>
                <w:sz w:val="22"/>
              </w:rPr>
              <w:t>Herrington, Douglas J.</w:t>
            </w:r>
          </w:p>
        </w:tc>
        <w:tc>
          <w:tcPr>
            <w:tcW w:type="dxa" w:w="1440"/>
          </w:tcPr>
          <w:p>
            <w:r>
              <w:rPr>
                <w:rFonts w:ascii="Calibri" w:hAnsi="Calibri"/>
                <w:sz w:val="22"/>
              </w:rPr>
              <w:t>CEO Worldwide Amazon Stores</w:t>
            </w:r>
          </w:p>
        </w:tc>
        <w:tc>
          <w:tcPr>
            <w:tcW w:type="dxa" w:w="1440"/>
          </w:tcPr>
          <w:p>
            <w:r>
              <w:rPr>
                <w:rFonts w:ascii="Calibri" w:hAnsi="Calibri"/>
                <w:sz w:val="22"/>
              </w:rPr>
              <w:t>10b5-1 Planned Sale</w:t>
            </w:r>
          </w:p>
        </w:tc>
        <w:tc>
          <w:tcPr>
            <w:tcW w:type="dxa" w:w="1440"/>
          </w:tcPr>
          <w:p>
            <w:r>
              <w:rPr>
                <w:rFonts w:ascii="Calibri" w:hAnsi="Calibri"/>
                <w:sz w:val="22"/>
              </w:rPr>
              <w:t>1,000 shares</w:t>
            </w:r>
          </w:p>
        </w:tc>
        <w:tc>
          <w:tcPr>
            <w:tcW w:type="dxa" w:w="1440"/>
          </w:tcPr>
          <w:p>
            <w:r>
              <w:rPr>
                <w:rFonts w:ascii="Calibri" w:hAnsi="Calibri"/>
                <w:sz w:val="22"/>
              </w:rPr>
              <w:t>May 1, 2026</w:t>
            </w:r>
          </w:p>
        </w:tc>
        <w:tc>
          <w:tcPr>
            <w:tcW w:type="dxa" w:w="1440"/>
          </w:tcPr>
          <w:p>
            <w:r>
              <w:rPr>
                <w:rFonts w:ascii="Calibri" w:hAnsi="Calibri"/>
                <w:sz w:val="22"/>
              </w:rPr>
              <w:t>Pre-planned; routine monthly sale under 10b5-1 plan.</w:t>
            </w:r>
          </w:p>
        </w:tc>
      </w:tr>
      <w:tr>
        <w:tc>
          <w:tcPr>
            <w:tcW w:type="dxa" w:w="1440"/>
          </w:tcPr>
          <w:p>
            <w:r>
              <w:rPr>
                <w:rFonts w:ascii="Calibri" w:hAnsi="Calibri"/>
                <w:sz w:val="22"/>
              </w:rPr>
              <w:t>Rubinstein, Jonathan</w:t>
            </w:r>
          </w:p>
        </w:tc>
        <w:tc>
          <w:tcPr>
            <w:tcW w:type="dxa" w:w="1440"/>
          </w:tcPr>
          <w:p>
            <w:r>
              <w:rPr>
                <w:rFonts w:ascii="Calibri" w:hAnsi="Calibri"/>
                <w:sz w:val="22"/>
              </w:rPr>
              <w:t>Director</w:t>
            </w:r>
          </w:p>
        </w:tc>
        <w:tc>
          <w:tcPr>
            <w:tcW w:type="dxa" w:w="1440"/>
          </w:tcPr>
          <w:p>
            <w:r>
              <w:rPr>
                <w:rFonts w:ascii="Calibri" w:hAnsi="Calibri"/>
                <w:sz w:val="22"/>
              </w:rPr>
              <w:t>10b5-1 Planned Sale</w:t>
            </w:r>
          </w:p>
        </w:tc>
        <w:tc>
          <w:tcPr>
            <w:tcW w:type="dxa" w:w="1440"/>
          </w:tcPr>
          <w:p>
            <w:r>
              <w:rPr>
                <w:rFonts w:ascii="Calibri" w:hAnsi="Calibri"/>
                <w:sz w:val="22"/>
              </w:rPr>
              <w:t>3,706 shares</w:t>
            </w:r>
          </w:p>
        </w:tc>
        <w:tc>
          <w:tcPr>
            <w:tcW w:type="dxa" w:w="1440"/>
          </w:tcPr>
          <w:p>
            <w:r>
              <w:rPr>
                <w:rFonts w:ascii="Calibri" w:hAnsi="Calibri"/>
                <w:sz w:val="22"/>
              </w:rPr>
              <w:t>Apr 30, 2026</w:t>
            </w:r>
          </w:p>
        </w:tc>
        <w:tc>
          <w:tcPr>
            <w:tcW w:type="dxa" w:w="1440"/>
          </w:tcPr>
          <w:p>
            <w:r>
              <w:rPr>
                <w:rFonts w:ascii="Calibri" w:hAnsi="Calibri"/>
                <w:sz w:val="22"/>
              </w:rPr>
              <w:t>Pre-planned; director sale under 10b5-1 plan. Remaining holdings: 74,948 shares.</w:t>
            </w:r>
          </w:p>
        </w:tc>
      </w:tr>
    </w:tbl>
    <w:p>
      <w:r>
        <w:rPr>
          <w:rFonts w:ascii="Calibri" w:hAnsi="Calibri"/>
          <w:i/>
          <w:color w:val="525866"/>
          <w:sz w:val="22"/>
        </w:rPr>
        <w:t>Source: SEC Form 4 Filings / Insider Transaction Data. All transactions are 10b5-1 pre-planned sales (transaction code S, disposition type D). No open-market discretionary buys or sells were filed in the period. The absence of any open-market buying is not unusual given the stock's elevated absolute price level and the prevalence of 10b5-1 plans among Amazon executives.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