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AON before writing the preview. Let me start by gathering recent earnings materials, filings, and news.Let me read the most recent earnings release and call transcript, plus the last two quarters for context.I have strong Q1 2026 detail. Now let me pull the year-ago Q2 2025 comparison, recent news, stock price performance, and analyst expectations.Let me check the recent quarterly organic-growth trend and any analyst commentary/consensus.I now have a comprehensive picture across the last five quarters, guidance, capital actions, and the stock setup. Here's my earnings preview.</w:t>
      </w:r>
    </w:p>
    <w:p>
      <w:r>
        <w:pict>
          <v:rect style="width:0;height:1.5pt" o:hralign="center" o:hrstd="t" o:hr="t"/>
        </w:pict>
      </w:r>
    </w:p>
    <w:bookmarkStart w:id="20" w:name="Xf9ce4a458e55290749cb7e0ab27a8e18df9996c"/>
    <w:p>
      <w:pPr>
        <w:pStyle w:val="Heading1"/>
      </w:pPr>
      <w:r>
        <w:t xml:space="preserve">Aon plc (NYSE: AON) — Q2 2026 Earnings Preview</w:t>
      </w:r>
    </w:p>
    <w:bookmarkStart w:id="9" w:name="X5a9917214e41abb58885f3ae14cf970fed6a212"/>
    <w:p>
      <w:pPr>
        <w:pStyle w:val="Heading3"/>
      </w:pPr>
      <w:r>
        <w:t xml:space="preserve">Reports before market open, Wednesday July 29, 2026 | Conference call to follow</w:t>
      </w:r>
    </w:p>
    <w:bookmarkEnd w:id="9"/>
    <w:bookmarkStart w:id="10" w:name="the-one-line-setup"/>
    <w:p>
      <w:pPr>
        <w:pStyle w:val="Heading2"/>
      </w:pPr>
      <w:r>
        <w:t xml:space="preserve">The one-line setup</w:t>
      </w:r>
    </w:p>
    <w:p>
      <w:pPr>
        <w:pStyle w:val="FirstParagraph"/>
      </w:pPr>
      <w:r>
        <w:t xml:space="preserve">Aon heads into Q2 as a "beat-and-reaffirm" compounder story that has been executing cleanly against its</w:t>
      </w:r>
      <w:r>
        <w:t xml:space="preserve"> </w:t>
      </w:r>
      <w:r>
        <w:rPr>
          <w:b/>
          <w:bCs/>
        </w:rPr>
        <w:t xml:space="preserve">3x3 Plan</w:t>
      </w:r>
      <w:r>
        <w:t xml:space="preserve"> </w:t>
      </w:r>
      <w:r>
        <w:t xml:space="preserve">(2026 is the final year), but the print lands with two complications investors should pre-load: (1) a</w:t>
      </w:r>
      <w:r>
        <w:t xml:space="preserve"> </w:t>
      </w:r>
      <w:r>
        <w:rPr>
          <w:b/>
          <w:bCs/>
        </w:rPr>
        <w:t xml:space="preserve">stretched year-ago EPS comp</w:t>
      </w:r>
      <w:r>
        <w:t xml:space="preserve"> </w:t>
      </w:r>
      <w:r>
        <w:t xml:space="preserve">inflated by an abnormally low tax rate, and (2) a</w:t>
      </w:r>
      <w:r>
        <w:t xml:space="preserve"> </w:t>
      </w:r>
      <w:r>
        <w:rPr>
          <w:b/>
          <w:bCs/>
        </w:rPr>
        <w:t xml:space="preserve">stock that has rallied ~8% into the print</w:t>
      </w:r>
      <w:r>
        <w:t xml:space="preserve">, raising the bar.</w:t>
      </w:r>
    </w:p>
    <w:p>
      <w:r>
        <w:pict>
          <v:rect style="width:0;height:1.5pt" o:hralign="center" o:hrstd="t" o:hr="t"/>
        </w:pict>
      </w:r>
    </w:p>
    <w:bookmarkEnd w:id="10"/>
    <w:bookmarkStart w:id="11" w:name="where-the-stock-is-going-in"/>
    <w:p>
      <w:pPr>
        <w:pStyle w:val="Heading2"/>
      </w:pPr>
      <w:r>
        <w:t xml:space="preserve">Where the stock is going in</w:t>
      </w:r>
    </w:p>
    <w:p>
      <w:pPr>
        <w:pStyle w:val="Compact"/>
        <w:numPr>
          <w:ilvl w:val="0"/>
          <w:numId w:val="1001"/>
        </w:numPr>
      </w:pPr>
      <w:r>
        <w:t xml:space="preserve">AON closed at</w:t>
      </w:r>
      <w:r>
        <w:t xml:space="preserve"> </w:t>
      </w:r>
      <w:r>
        <w:rPr>
          <w:b/>
          <w:bCs/>
        </w:rPr>
        <w:t xml:space="preserve">~</w:t>
      </w:r>
      <m:oMath>
        <m:r>
          <m:t>381</m:t>
        </m:r>
        <m:r>
          <m:rPr>
            <m:sty m:val="p"/>
          </m:rPr>
          <m:t>*</m:t>
        </m:r>
        <m:r>
          <m:rPr>
            <m:sty m:val="p"/>
          </m:rPr>
          <m:t>*</m:t>
        </m:r>
        <m:r>
          <m:t>o</m:t>
        </m:r>
        <m:r>
          <m:t>n</m:t>
        </m:r>
        <m:r>
          <m:t>7</m:t>
        </m:r>
        <m:r>
          <m:rPr>
            <m:sty m:val="p"/>
          </m:rPr>
          <m:t>/</m:t>
        </m:r>
        <m:r>
          <m:t>28</m:t>
        </m:r>
        <m:r>
          <m:rPr>
            <m:sty m:val="p"/>
          </m:rPr>
          <m:t>,</m:t>
        </m:r>
        <m:r>
          <m:t>u</m:t>
        </m:r>
        <m:r>
          <m:t>p</m:t>
        </m:r>
        <m:r>
          <m:rPr>
            <m:sty m:val="p"/>
          </m:rPr>
          <m:t>*</m:t>
        </m:r>
        <m:r>
          <m:rPr>
            <m:sty m:val="p"/>
          </m:rPr>
          <m:t>*</m:t>
        </m:r>
        <m:r>
          <m:t> </m:t>
        </m:r>
        <m:r>
          <m:t>11</m:t>
        </m:r>
      </m:oMath>
      <w:r>
        <w:rPr>
          <w:b/>
          <w:bCs/>
        </w:rPr>
        <w:t xml:space="preserve">344 on 1/2), and up **~8% in the week into the print</w:t>
      </w:r>
      <w:r>
        <w:t xml:space="preserve"> </w:t>
      </w:r>
      <w:r>
        <w:t xml:space="preserve">(a big +3.9% move on 7/28 alongside a sector-wide broker rally — WTW +4.5%, AJG +4.7% same day). The group appears to be running into earnings.</w:t>
      </w:r>
    </w:p>
    <w:p>
      <w:pPr>
        <w:pStyle w:val="Compact"/>
        <w:numPr>
          <w:ilvl w:val="0"/>
          <w:numId w:val="1001"/>
        </w:numPr>
      </w:pPr>
      <w:r>
        <w:t xml:space="preserve">AON has meaningfully</w:t>
      </w:r>
      <w:r>
        <w:t xml:space="preserve"> </w:t>
      </w:r>
      <w:r>
        <w:rPr>
          <w:b/>
          <w:bCs/>
        </w:rPr>
        <w:t xml:space="preserve">outperformed WTW (-3% YTD)</w:t>
      </w:r>
      <w:r>
        <w:t xml:space="preserve"> </w:t>
      </w:r>
      <w:r>
        <w:t xml:space="preserve">and modestly beat</w:t>
      </w:r>
      <w:r>
        <w:t xml:space="preserve"> </w:t>
      </w:r>
      <w:r>
        <w:rPr>
          <w:b/>
          <w:bCs/>
        </w:rPr>
        <w:t xml:space="preserve">AJG (+4% YTD)</w:t>
      </w:r>
      <w:r>
        <w:t xml:space="preserve"> </w:t>
      </w:r>
      <w:r>
        <w:t xml:space="preserve">year-to-date. It's well off the February lows (~$310).</w:t>
      </w:r>
    </w:p>
    <w:p>
      <w:pPr>
        <w:pStyle w:val="Compact"/>
        <w:numPr>
          <w:ilvl w:val="0"/>
          <w:numId w:val="1001"/>
        </w:numPr>
      </w:pPr>
      <w:r>
        <w:t xml:space="preserve">Translation: expectations are elevated. A simple in-line "reaffirm the guide" may not be enough to sustain the recent move.</w:t>
      </w:r>
    </w:p>
    <w:p>
      <w:r>
        <w:pict>
          <v:rect style="width:0;height:1.5pt" o:hralign="center" o:hrstd="t" o:hr="t"/>
        </w:pict>
      </w:r>
    </w:p>
    <w:bookmarkEnd w:id="11"/>
    <w:bookmarkStart w:id="12" w:name="X7d3725e23acf4389d6cb68797ebba522d72dad1"/>
    <w:p>
      <w:pPr>
        <w:pStyle w:val="Heading2"/>
      </w:pPr>
      <w:r>
        <w:t xml:space="preserve">The comp that matters: why "adjusted EPS growth" may look soft</w:t>
      </w:r>
    </w:p>
    <w:p>
      <w:pPr>
        <w:pStyle w:val="FirstParagraph"/>
      </w:pPr>
      <w:r>
        <w:t xml:space="preserve">The year-ago quarter is the crux of the setup:</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 (Q2 2025, year-ago)</w:t>
            </w:r>
          </w:p>
        </w:tc>
        <w:tc>
          <w:tcPr/>
          <w:p>
            <w:pPr>
              <w:pStyle w:val="Compact"/>
            </w:pPr>
            <w:r>
              <w:t xml:space="preserve">Value</w:t>
            </w:r>
          </w:p>
        </w:tc>
      </w:tr>
      <w:tr>
        <w:tc>
          <w:tcPr/>
          <w:p>
            <w:pPr>
              <w:pStyle w:val="Compact"/>
            </w:pPr>
            <w:r>
              <w:t xml:space="preserve">Total revenue</w:t>
            </w:r>
          </w:p>
        </w:tc>
        <w:tc>
          <w:tcPr/>
          <w:p>
            <w:pPr>
              <w:pStyle w:val="Compact"/>
            </w:pPr>
            <w:r>
              <w:t xml:space="preserve">$4,155M (+11% reported, +6% organic)</w:t>
            </w:r>
          </w:p>
        </w:tc>
      </w:tr>
      <w:tr>
        <w:tc>
          <w:tcPr/>
          <w:p>
            <w:pPr>
              <w:pStyle w:val="Compact"/>
            </w:pPr>
            <w:r>
              <w:t xml:space="preserve">Adjusted operating margin</w:t>
            </w:r>
          </w:p>
        </w:tc>
        <w:tc>
          <w:tcPr/>
          <w:p>
            <w:pPr>
              <w:pStyle w:val="Compact"/>
            </w:pPr>
            <w:r>
              <w:t xml:space="preserve">28.2% (+80 bps)</w:t>
            </w:r>
          </w:p>
        </w:tc>
      </w:tr>
      <w:tr>
        <w:tc>
          <w:tcPr/>
          <w:p>
            <w:pPr>
              <w:pStyle w:val="Compact"/>
            </w:pPr>
            <w:r>
              <w:rPr>
                <w:b/>
                <w:bCs/>
              </w:rPr>
              <w:t xml:space="preserve">Adjusted EPS</w:t>
            </w:r>
          </w:p>
        </w:tc>
        <w:tc>
          <w:tcPr/>
          <w:p>
            <w:pPr>
              <w:pStyle w:val="Compact"/>
            </w:pPr>
            <w:r>
              <w:rPr>
                <w:b/>
                <w:bCs/>
              </w:rPr>
              <w:t xml:space="preserve">$3.49 (+19%)</w:t>
            </w:r>
          </w:p>
        </w:tc>
      </w:tr>
      <w:tr>
        <w:tc>
          <w:tcPr/>
          <w:p>
            <w:pPr>
              <w:pStyle w:val="Compact"/>
            </w:pPr>
            <w:r>
              <w:t xml:space="preserve">Free cash flow</w:t>
            </w:r>
          </w:p>
        </w:tc>
        <w:tc>
          <w:tcPr/>
          <w:p>
            <w:pPr>
              <w:pStyle w:val="Compact"/>
            </w:pPr>
            <w:r>
              <w:t xml:space="preserve">$732M</w:t>
            </w:r>
          </w:p>
        </w:tc>
      </w:tr>
      <w:tr>
        <w:tc>
          <w:tcPr/>
          <w:p>
            <w:pPr>
              <w:pStyle w:val="Compact"/>
            </w:pPr>
            <w:r>
              <w:rPr>
                <w:b/>
                <w:bCs/>
              </w:rPr>
              <w:t xml:space="preserve">Adjusted effective tax rate</w:t>
            </w:r>
          </w:p>
        </w:tc>
        <w:tc>
          <w:tcPr/>
          <w:p>
            <w:pPr>
              <w:pStyle w:val="Compact"/>
            </w:pPr>
            <w:r>
              <w:rPr>
                <w:b/>
                <w:bCs/>
              </w:rPr>
              <w:t xml:space="preserve">16.5%</w:t>
            </w:r>
          </w:p>
        </w:tc>
      </w:tr>
    </w:tbl>
    <w:p>
      <w:pPr>
        <w:pStyle w:val="BodyText"/>
      </w:pPr>
      <w:r>
        <w:t xml:space="preserve">The +19% adjusted EPS growth last year was heavily flattered by a</w:t>
      </w:r>
      <w:r>
        <w:t xml:space="preserve"> </w:t>
      </w:r>
      <w:r>
        <w:rPr>
          <w:b/>
          <w:bCs/>
        </w:rPr>
        <w:t xml:space="preserve">16.5% adjusted tax rate</w:t>
      </w:r>
      <w:r>
        <w:t xml:space="preserve"> </w:t>
      </w:r>
      <w:r>
        <w:t xml:space="preserve">(vs. 22.2% the prior year), driven by discrete items and geographic mix. Aon's</w:t>
      </w:r>
      <w:r>
        <w:t xml:space="preserve"> </w:t>
      </w:r>
      <w:r>
        <w:rPr>
          <w:b/>
          <w:bCs/>
        </w:rPr>
        <w:t xml:space="preserve">full-year 2026 tax guide is 19.5%–20.5%</w:t>
      </w:r>
      <w:r>
        <w:t xml:space="preserve"> </w:t>
      </w:r>
      <w:r>
        <w:t xml:space="preserve">(Q1'26 came in at 20.3%). That means Q2'26 likely carries a</w:t>
      </w:r>
      <w:r>
        <w:t xml:space="preserve"> </w:t>
      </w:r>
      <w:r>
        <w:rPr>
          <w:b/>
          <w:bCs/>
        </w:rPr>
        <w:t xml:space="preserve">300–400 bps higher tax rate than the year-ago base</w:t>
      </w:r>
      <w:r>
        <w:t xml:space="preserve">, a mechanical</w:t>
      </w:r>
      <w:r>
        <w:t xml:space="preserve"> </w:t>
      </w:r>
      <w:r>
        <w:rPr>
          <w:b/>
          <w:bCs/>
        </w:rPr>
        <w:t xml:space="preserve">headwind of roughly $0.20+ to reported adjusted EPS growth</w:t>
      </w:r>
      <w:r>
        <w:t xml:space="preserve">. Bottom line: even with healthy operating momentum, headline adjusted-EPS growth off the</w:t>
      </w:r>
      <w:r>
        <w:t xml:space="preserve"> </w:t>
      </w:r>
      <m:oMath>
        <m:r>
          <m:t>3.49</m:t>
        </m:r>
        <m:r>
          <m:t>b</m:t>
        </m:r>
        <m:r>
          <m:t>a</m:t>
        </m:r>
        <m:r>
          <m:t>s</m:t>
        </m:r>
        <m:r>
          <m:t>e</m:t>
        </m:r>
        <m:r>
          <m:t>c</m:t>
        </m:r>
        <m:r>
          <m:t>o</m:t>
        </m:r>
        <m:r>
          <m:t>u</m:t>
        </m:r>
        <m:r>
          <m:t>l</m:t>
        </m:r>
        <m:r>
          <m:t>d</m:t>
        </m:r>
        <m:r>
          <m:t>l</m:t>
        </m:r>
        <m:r>
          <m:t>o</m:t>
        </m:r>
        <m:r>
          <m:t>o</m:t>
        </m:r>
        <m:r>
          <m:t>k</m:t>
        </m:r>
        <m:r>
          <m:t>p</m:t>
        </m:r>
        <m:r>
          <m:t>e</m:t>
        </m:r>
        <m:r>
          <m:t>d</m:t>
        </m:r>
        <m:r>
          <m:t>e</m:t>
        </m:r>
        <m:r>
          <m:t>s</m:t>
        </m:r>
        <m:r>
          <m:t>t</m:t>
        </m:r>
        <m:r>
          <m:t>r</m:t>
        </m:r>
        <m:r>
          <m:t>i</m:t>
        </m:r>
        <m:r>
          <m:t>a</m:t>
        </m:r>
        <m:r>
          <m:t>n</m:t>
        </m:r>
        <m:r>
          <m:rPr>
            <m:sty m:val="p"/>
          </m:rPr>
          <m:t>(</m:t>
        </m:r>
        <m:sSup>
          <m:e>
            <m:r>
              <m:t>I</m:t>
            </m:r>
          </m:e>
          <m:sup>
            <m:r>
              <m:rPr>
                <m:sty m:val="p"/>
              </m:rPr>
              <m:t>′</m:t>
            </m:r>
          </m:sup>
        </m:sSup>
        <m:r>
          <m:t>d</m:t>
        </m:r>
        <m:r>
          <m:t>f</m:t>
        </m:r>
        <m:r>
          <m:t>r</m:t>
        </m:r>
        <m:r>
          <m:t>a</m:t>
        </m:r>
        <m:r>
          <m:t>m</m:t>
        </m:r>
        <m:r>
          <m:t>e</m:t>
        </m:r>
        <m:r>
          <m:t> </m:t>
        </m:r>
      </m:oMath>
      <w:r>
        <w:t xml:space="preserve">3.60–$3.75, i.e., mid-single-digit growth).</w:t>
      </w:r>
      <w:r>
        <w:t xml:space="preserve"> </w:t>
      </w:r>
      <w:r>
        <w:rPr>
          <w:b/>
          <w:bCs/>
        </w:rPr>
        <w:t xml:space="preserve">Don't confuse tax-comp optics with operational deterioration</w:t>
      </w:r>
      <w:r>
        <w:t xml:space="preserve"> </w:t>
      </w:r>
      <w:r>
        <w:t xml:space="preserve">— watch operating income and margin, not just the EPS % change.</w:t>
      </w:r>
    </w:p>
    <w:p>
      <w:pPr>
        <w:pStyle w:val="BodyText"/>
      </w:pPr>
      <w:r>
        <w:rPr>
          <w:i/>
          <w:iCs/>
        </w:rPr>
        <w:t xml:space="preserve">(Note: I was unable to retrieve reliable published sell-side consensus for this quarter; the figures above are the reported year-ago actuals and my own framing, not street estimates.)</w:t>
      </w:r>
    </w:p>
    <w:p>
      <w:r>
        <w:pict>
          <v:rect style="width:0;height:1.5pt" o:hralign="center" o:hrstd="t" o:hr="t"/>
        </w:pict>
      </w:r>
    </w:p>
    <w:bookmarkEnd w:id="12"/>
    <w:bookmarkStart w:id="13" w:name="recent-trajectory-the-momentum-backdrop"/>
    <w:p>
      <w:pPr>
        <w:pStyle w:val="Heading2"/>
      </w:pPr>
      <w:r>
        <w:t xml:space="preserve">Recent trajectory (the momentum backdrop)</w:t>
      </w:r>
    </w:p>
    <w:p>
      <w:pPr>
        <w:pStyle w:val="FirstParagraph"/>
      </w:pPr>
      <w:r>
        <w:t xml:space="preserve">Organic growth has been steady in the mid-single-digits-plus, exactly where the guide sits:</w:t>
      </w:r>
    </w:p>
    <w:tbl>
      <w:tblPr>
        <w:tblStyle w:val="Table"/>
        <w:tblW w:type="auto" w:w="0"/>
        <w:tblLook w:firstRow="1" w:lastRow="0" w:firstColumn="0" w:lastColumn="0" w:noHBand="0" w:noVBand="0" w:val="0020"/>
      </w:tblPr>
      <w:tblGrid>
        <w:gridCol w:w="1131"/>
        <w:gridCol w:w="1131"/>
        <w:gridCol w:w="1131"/>
        <w:gridCol w:w="1131"/>
        <w:gridCol w:w="1131"/>
        <w:gridCol w:w="1131"/>
        <w:gridCol w:w="1131"/>
      </w:tblGrid>
      <w:tr>
        <w:trPr>
          <w:tblHeader w:val="on"/>
        </w:trPr>
        <w:tc>
          <w:tcPr/>
          <w:p>
            <w:pPr>
              <w:pStyle w:val="Compact"/>
            </w:pPr>
            <w:r>
              <w:t xml:space="preserve">Quarter</w:t>
            </w:r>
          </w:p>
        </w:tc>
        <w:tc>
          <w:tcPr/>
          <w:p>
            <w:pPr>
              <w:pStyle w:val="Compact"/>
            </w:pPr>
            <w:r>
              <w:t xml:space="preserve">Organic</w:t>
            </w:r>
          </w:p>
        </w:tc>
        <w:tc>
          <w:tcPr/>
          <w:p>
            <w:pPr>
              <w:pStyle w:val="Compact"/>
            </w:pPr>
            <w:r>
              <w:t xml:space="preserve">Commercial Risk</w:t>
            </w:r>
          </w:p>
        </w:tc>
        <w:tc>
          <w:tcPr/>
          <w:p>
            <w:pPr>
              <w:pStyle w:val="Compact"/>
            </w:pPr>
            <w:r>
              <w:t xml:space="preserve">Reinsurance</w:t>
            </w:r>
          </w:p>
        </w:tc>
        <w:tc>
          <w:tcPr/>
          <w:p>
            <w:pPr>
              <w:pStyle w:val="Compact"/>
            </w:pPr>
            <w:r>
              <w:t xml:space="preserve">Health</w:t>
            </w:r>
          </w:p>
        </w:tc>
        <w:tc>
          <w:tcPr/>
          <w:p>
            <w:pPr>
              <w:pStyle w:val="Compact"/>
            </w:pPr>
            <w:r>
              <w:t xml:space="preserve">Wealth</w:t>
            </w:r>
          </w:p>
        </w:tc>
        <w:tc>
          <w:tcPr/>
          <w:p>
            <w:pPr>
              <w:pStyle w:val="Compact"/>
            </w:pPr>
            <w:r>
              <w:t xml:space="preserve">Adj. EPS</w:t>
            </w:r>
          </w:p>
        </w:tc>
      </w:tr>
      <w:tr>
        <w:tc>
          <w:tcPr/>
          <w:p>
            <w:pPr>
              <w:pStyle w:val="Compact"/>
            </w:pPr>
            <w:r>
              <w:t xml:space="preserve">Q1'25</w:t>
            </w:r>
          </w:p>
        </w:tc>
        <w:tc>
          <w:tcPr/>
          <w:p>
            <w:pPr>
              <w:pStyle w:val="Compact"/>
            </w:pPr>
            <w:r>
              <w:t xml:space="preserve">5%</w:t>
            </w:r>
          </w:p>
        </w:tc>
        <w:tc>
          <w:tcPr/>
          <w:p>
            <w:pPr>
              <w:pStyle w:val="Compact"/>
            </w:pPr>
            <w:r>
              <w:t xml:space="preserve">—</w:t>
            </w:r>
          </w:p>
        </w:tc>
        <w:tc>
          <w:tcPr/>
          <w:p>
            <w:pPr>
              <w:pStyle w:val="Compact"/>
            </w:pPr>
            <w:r>
              <w:t xml:space="preserve">—</w:t>
            </w:r>
          </w:p>
        </w:tc>
        <w:tc>
          <w:tcPr/>
          <w:p>
            <w:pPr>
              <w:pStyle w:val="Compact"/>
            </w:pPr>
            <w:r>
              <w:t xml:space="preserve">4%</w:t>
            </w:r>
          </w:p>
        </w:tc>
        <w:tc>
          <w:tcPr/>
          <w:p>
            <w:pPr>
              <w:pStyle w:val="Compact"/>
            </w:pPr>
            <w:r>
              <w:t xml:space="preserve">1%</w:t>
            </w:r>
          </w:p>
        </w:tc>
        <w:tc>
          <w:tcPr/>
          <w:p>
            <w:pPr>
              <w:pStyle w:val="Compact"/>
            </w:pPr>
            <w:r>
              <w:t xml:space="preserve">$5.67</w:t>
            </w:r>
          </w:p>
        </w:tc>
      </w:tr>
      <w:tr>
        <w:tc>
          <w:tcPr/>
          <w:p>
            <w:pPr>
              <w:pStyle w:val="Compact"/>
            </w:pPr>
            <w:r>
              <w:t xml:space="preserve">Q2'25</w:t>
            </w:r>
          </w:p>
        </w:tc>
        <w:tc>
          <w:tcPr/>
          <w:p>
            <w:pPr>
              <w:pStyle w:val="Compact"/>
            </w:pPr>
            <w:r>
              <w:t xml:space="preserve">6%</w:t>
            </w:r>
          </w:p>
        </w:tc>
        <w:tc>
          <w:tcPr/>
          <w:p>
            <w:pPr>
              <w:pStyle w:val="Compact"/>
            </w:pPr>
            <w:r>
              <w:t xml:space="preserve">6%</w:t>
            </w:r>
          </w:p>
        </w:tc>
        <w:tc>
          <w:tcPr/>
          <w:p>
            <w:pPr>
              <w:pStyle w:val="Compact"/>
            </w:pPr>
            <w:r>
              <w:t xml:space="preserve">6%</w:t>
            </w:r>
          </w:p>
        </w:tc>
        <w:tc>
          <w:tcPr/>
          <w:p>
            <w:pPr>
              <w:pStyle w:val="Compact"/>
            </w:pPr>
            <w:r>
              <w:t xml:space="preserve">6%</w:t>
            </w:r>
          </w:p>
        </w:tc>
        <w:tc>
          <w:tcPr/>
          <w:p>
            <w:pPr>
              <w:pStyle w:val="Compact"/>
            </w:pPr>
            <w:r>
              <w:t xml:space="preserve">3%</w:t>
            </w:r>
          </w:p>
        </w:tc>
        <w:tc>
          <w:tcPr/>
          <w:p>
            <w:pPr>
              <w:pStyle w:val="Compact"/>
            </w:pPr>
            <w:r>
              <w:t xml:space="preserve">$3.49</w:t>
            </w:r>
          </w:p>
        </w:tc>
      </w:tr>
      <w:tr>
        <w:tc>
          <w:tcPr/>
          <w:p>
            <w:pPr>
              <w:pStyle w:val="Compact"/>
            </w:pPr>
            <w:r>
              <w:t xml:space="preserve">Q3'25</w:t>
            </w:r>
          </w:p>
        </w:tc>
        <w:tc>
          <w:tcPr/>
          <w:p>
            <w:pPr>
              <w:pStyle w:val="Compact"/>
            </w:pPr>
            <w:r>
              <w:t xml:space="preserve">7%</w:t>
            </w:r>
          </w:p>
        </w:tc>
        <w:tc>
          <w:tcPr/>
          <w:p>
            <w:pPr>
              <w:pStyle w:val="Compact"/>
            </w:pPr>
            <w:r>
              <w:t xml:space="preserve">7%</w:t>
            </w:r>
          </w:p>
        </w:tc>
        <w:tc>
          <w:tcPr/>
          <w:p>
            <w:pPr>
              <w:pStyle w:val="Compact"/>
            </w:pPr>
            <w:r>
              <w:t xml:space="preserve">8%</w:t>
            </w:r>
          </w:p>
        </w:tc>
        <w:tc>
          <w:tcPr/>
          <w:p>
            <w:pPr>
              <w:pStyle w:val="Compact"/>
            </w:pPr>
            <w:r>
              <w:t xml:space="preserve">6%</w:t>
            </w:r>
          </w:p>
        </w:tc>
        <w:tc>
          <w:tcPr/>
          <w:p>
            <w:pPr>
              <w:pStyle w:val="Compact"/>
            </w:pPr>
            <w:r>
              <w:t xml:space="preserve">5%</w:t>
            </w:r>
          </w:p>
        </w:tc>
        <w:tc>
          <w:tcPr/>
          <w:p>
            <w:pPr>
              <w:pStyle w:val="Compact"/>
            </w:pPr>
            <w:r>
              <w:t xml:space="preserve">$3.05</w:t>
            </w:r>
          </w:p>
        </w:tc>
      </w:tr>
      <w:tr>
        <w:tc>
          <w:tcPr/>
          <w:p>
            <w:pPr>
              <w:pStyle w:val="Compact"/>
            </w:pPr>
            <w:r>
              <w:t xml:space="preserve">Q4'25</w:t>
            </w:r>
          </w:p>
        </w:tc>
        <w:tc>
          <w:tcPr/>
          <w:p>
            <w:pPr>
              <w:pStyle w:val="Compact"/>
            </w:pPr>
            <w:r>
              <w:t xml:space="preserve">5%</w:t>
            </w:r>
          </w:p>
        </w:tc>
        <w:tc>
          <w:tcPr/>
          <w:p>
            <w:pPr>
              <w:pStyle w:val="Compact"/>
            </w:pPr>
            <w:r>
              <w:t xml:space="preserve">6%</w:t>
            </w:r>
          </w:p>
        </w:tc>
        <w:tc>
          <w:tcPr/>
          <w:p>
            <w:pPr>
              <w:pStyle w:val="Compact"/>
            </w:pPr>
            <w:r>
              <w:t xml:space="preserve">8%</w:t>
            </w:r>
          </w:p>
        </w:tc>
        <w:tc>
          <w:tcPr/>
          <w:p>
            <w:pPr>
              <w:pStyle w:val="Compact"/>
            </w:pPr>
            <w:r>
              <w:t xml:space="preserve">2%</w:t>
            </w:r>
          </w:p>
        </w:tc>
        <w:tc>
          <w:tcPr/>
          <w:p>
            <w:pPr>
              <w:pStyle w:val="Compact"/>
            </w:pPr>
            <w:r>
              <w:t xml:space="preserve">2%</w:t>
            </w:r>
          </w:p>
        </w:tc>
        <w:tc>
          <w:tcPr/>
          <w:p>
            <w:pPr>
              <w:pStyle w:val="Compact"/>
            </w:pPr>
            <w:r>
              <w:t xml:space="preserve">$4.85</w:t>
            </w:r>
          </w:p>
        </w:tc>
      </w:tr>
      <w:tr>
        <w:tc>
          <w:tcPr/>
          <w:p>
            <w:pPr>
              <w:pStyle w:val="Compact"/>
            </w:pPr>
            <w:r>
              <w:rPr>
                <w:b/>
                <w:bCs/>
              </w:rPr>
              <w:t xml:space="preserve">Q1'26</w:t>
            </w:r>
          </w:p>
        </w:tc>
        <w:tc>
          <w:tcPr/>
          <w:p>
            <w:pPr>
              <w:pStyle w:val="Compact"/>
            </w:pPr>
            <w:r>
              <w:rPr>
                <w:b/>
                <w:bCs/>
              </w:rPr>
              <w:t xml:space="preserve">5%</w:t>
            </w:r>
          </w:p>
        </w:tc>
        <w:tc>
          <w:tcPr/>
          <w:p>
            <w:pPr>
              <w:pStyle w:val="Compact"/>
            </w:pPr>
            <w:r>
              <w:rPr>
                <w:b/>
                <w:bCs/>
              </w:rPr>
              <w:t xml:space="preserve">7%</w:t>
            </w:r>
          </w:p>
        </w:tc>
        <w:tc>
          <w:tcPr/>
          <w:p>
            <w:pPr>
              <w:pStyle w:val="Compact"/>
            </w:pPr>
            <w:r>
              <w:rPr>
                <w:b/>
                <w:bCs/>
              </w:rPr>
              <w:t xml:space="preserve">4%</w:t>
            </w:r>
          </w:p>
        </w:tc>
        <w:tc>
          <w:tcPr/>
          <w:p>
            <w:pPr>
              <w:pStyle w:val="Compact"/>
            </w:pPr>
            <w:r>
              <w:rPr>
                <w:b/>
                <w:bCs/>
              </w:rPr>
              <w:t xml:space="preserve">4%</w:t>
            </w:r>
          </w:p>
        </w:tc>
        <w:tc>
          <w:tcPr/>
          <w:p>
            <w:pPr>
              <w:pStyle w:val="Compact"/>
            </w:pPr>
            <w:r>
              <w:rPr>
                <w:b/>
                <w:bCs/>
              </w:rPr>
              <w:t xml:space="preserve">1%</w:t>
            </w:r>
          </w:p>
        </w:tc>
        <w:tc>
          <w:tcPr/>
          <w:p>
            <w:pPr>
              <w:pStyle w:val="Compact"/>
            </w:pPr>
            <w:r>
              <w:rPr>
                <w:b/>
                <w:bCs/>
              </w:rPr>
              <w:t xml:space="preserve">$6.48 (+14%)</w:t>
            </w:r>
          </w:p>
        </w:tc>
      </w:tr>
      <w:tr>
        <w:tc>
          <w:tcPr/>
          <w:p>
            <w:pPr>
              <w:pStyle w:val="Compact"/>
            </w:pPr>
            <w:r>
              <w:t xml:space="preserve">FY2025</w:t>
            </w:r>
          </w:p>
        </w:tc>
        <w:tc>
          <w:tcPr/>
          <w:p>
            <w:pPr>
              <w:pStyle w:val="Compact"/>
            </w:pPr>
            <w:r>
              <w:t xml:space="preserve">6%</w:t>
            </w:r>
          </w:p>
        </w:tc>
        <w:tc>
          <w:tcPr/>
          <w:p>
            <w:pPr>
              <w:pStyle w:val="Compact"/>
            </w:pPr>
            <w:r>
              <w:t xml:space="preserve">6%</w:t>
            </w:r>
          </w:p>
        </w:tc>
        <w:tc>
          <w:tcPr/>
          <w:p>
            <w:pPr>
              <w:pStyle w:val="Compact"/>
            </w:pPr>
            <w:r>
              <w:t xml:space="preserve">6%</w:t>
            </w:r>
          </w:p>
        </w:tc>
        <w:tc>
          <w:tcPr/>
          <w:p>
            <w:pPr>
              <w:pStyle w:val="Compact"/>
            </w:pPr>
            <w:r>
              <w:t xml:space="preserve">5%</w:t>
            </w:r>
          </w:p>
        </w:tc>
        <w:tc>
          <w:tcPr/>
          <w:p>
            <w:pPr>
              <w:pStyle w:val="Compact"/>
            </w:pPr>
            <w:r>
              <w:t xml:space="preserve">5%</w:t>
            </w:r>
          </w:p>
        </w:tc>
        <w:tc>
          <w:tcPr/>
          <w:p>
            <w:pPr>
              <w:pStyle w:val="Compact"/>
            </w:pPr>
            <w:r>
              <w:t xml:space="preserve">$17.07 (+9%)</w:t>
            </w:r>
          </w:p>
        </w:tc>
      </w:tr>
    </w:tbl>
    <w:p>
      <w:pPr>
        <w:pStyle w:val="BodyText"/>
      </w:pPr>
      <w:r>
        <w:t xml:space="preserve">Q1'26 delivered</w:t>
      </w:r>
      <w:r>
        <w:t xml:space="preserve"> </w:t>
      </w:r>
      <w:r>
        <w:rPr>
          <w:b/>
          <w:bCs/>
        </w:rPr>
        <w:t xml:space="preserve">5% organic, +70 bps adjusted margin expansion to 39.1%, adjusted EPS +14%, and FCF up 332%</w:t>
      </w:r>
      <w:r>
        <w:t xml:space="preserve"> </w:t>
      </w:r>
      <w:r>
        <w:t xml:space="preserve">to $363M, and management</w:t>
      </w:r>
      <w:r>
        <w:t xml:space="preserve"> </w:t>
      </w:r>
      <w:r>
        <w:rPr>
          <w:b/>
          <w:bCs/>
        </w:rPr>
        <w:t xml:space="preserve">reaffirmed</w:t>
      </w:r>
      <w:r>
        <w:t xml:space="preserve"> </w:t>
      </w:r>
      <w:r>
        <w:t xml:space="preserve">the full-year framework.</w:t>
      </w:r>
    </w:p>
    <w:p>
      <w:r>
        <w:pict>
          <v:rect style="width:0;height:1.5pt" o:hralign="center" o:hrstd="t" o:hr="t"/>
        </w:pict>
      </w:r>
    </w:p>
    <w:bookmarkEnd w:id="13"/>
    <w:bookmarkStart w:id="14" w:name="X463bd10d14d2fb25202dfb91b2c201f36454ee3"/>
    <w:p>
      <w:pPr>
        <w:pStyle w:val="Heading2"/>
      </w:pPr>
      <w:r>
        <w:t xml:space="preserve">Full-year 2026 guidance (the yardstick for the reaffirm)</w:t>
      </w:r>
    </w:p>
    <w:p>
      <w:pPr>
        <w:pStyle w:val="FirstParagraph"/>
      </w:pPr>
      <w:r>
        <w:t xml:space="preserve">Introduced in Jan '26 and reaffirmed at Q1:</w:t>
      </w:r>
    </w:p>
    <w:p>
      <w:pPr>
        <w:pStyle w:val="Compact"/>
        <w:numPr>
          <w:ilvl w:val="0"/>
          <w:numId w:val="1002"/>
        </w:numPr>
      </w:pPr>
      <w:r>
        <w:rPr>
          <w:b/>
          <w:bCs/>
        </w:rPr>
        <w:t xml:space="preserve">Mid-single-digit or greater organic revenue growth</w:t>
      </w:r>
    </w:p>
    <w:p>
      <w:pPr>
        <w:pStyle w:val="Compact"/>
        <w:numPr>
          <w:ilvl w:val="0"/>
          <w:numId w:val="1002"/>
        </w:numPr>
      </w:pPr>
      <w:r>
        <w:rPr>
          <w:b/>
          <w:bCs/>
        </w:rPr>
        <w:t xml:space="preserve">70–80 bps of adjusted operating margin expansion</w:t>
      </w:r>
    </w:p>
    <w:p>
      <w:pPr>
        <w:pStyle w:val="Compact"/>
        <w:numPr>
          <w:ilvl w:val="0"/>
          <w:numId w:val="1002"/>
        </w:numPr>
      </w:pPr>
      <w:r>
        <w:rPr>
          <w:b/>
          <w:bCs/>
        </w:rPr>
        <w:t xml:space="preserve">Strong adjusted EPS growth</w:t>
      </w:r>
    </w:p>
    <w:p>
      <w:pPr>
        <w:pStyle w:val="Compact"/>
        <w:numPr>
          <w:ilvl w:val="0"/>
          <w:numId w:val="1002"/>
        </w:numPr>
      </w:pPr>
      <w:r>
        <w:rPr>
          <w:b/>
          <w:bCs/>
        </w:rPr>
        <w:t xml:space="preserve">Double-digit free cash flow growth</w:t>
      </w:r>
    </w:p>
    <w:p>
      <w:pPr>
        <w:pStyle w:val="Compact"/>
        <w:numPr>
          <w:ilvl w:val="0"/>
          <w:numId w:val="1002"/>
        </w:numPr>
      </w:pPr>
      <w:r>
        <w:t xml:space="preserve">**At least</w:t>
      </w:r>
      <w:r>
        <w:t xml:space="preserve"> </w:t>
      </w:r>
      <m:oMath>
        <m:r>
          <m:t>1</m:t>
        </m:r>
        <m:r>
          <m:t>B</m:t>
        </m:r>
        <m:r>
          <m:t>i</m:t>
        </m:r>
        <m:r>
          <m:t>n</m:t>
        </m:r>
        <m:r>
          <m:t>s</m:t>
        </m:r>
        <m:r>
          <m:t>h</m:t>
        </m:r>
        <m:r>
          <m:t>a</m:t>
        </m:r>
        <m:r>
          <m:t>r</m:t>
        </m:r>
        <m:r>
          <m:t>e</m:t>
        </m:r>
        <m:r>
          <m:t>r</m:t>
        </m:r>
        <m:r>
          <m:t>e</m:t>
        </m:r>
        <m:r>
          <m:t>p</m:t>
        </m:r>
        <m:r>
          <m:t>u</m:t>
        </m:r>
        <m:r>
          <m:t>r</m:t>
        </m:r>
        <m:r>
          <m:t>c</m:t>
        </m:r>
        <m:r>
          <m:t>h</m:t>
        </m:r>
        <m:r>
          <m:t>a</m:t>
        </m:r>
        <m:r>
          <m:t>s</m:t>
        </m:r>
        <m:r>
          <m:t>e</m:t>
        </m:r>
        <m:r>
          <m:t>s</m:t>
        </m:r>
        <m:r>
          <m:rPr>
            <m:sty m:val="p"/>
          </m:rPr>
          <m:t>*</m:t>
        </m:r>
        <m:r>
          <m:rPr>
            <m:sty m:val="p"/>
          </m:rPr>
          <m:t>*</m:t>
        </m:r>
        <m:r>
          <m:rPr>
            <m:sty m:val="p"/>
          </m:rPr>
          <m:t>(</m:t>
        </m:r>
      </m:oMath>
      <w:r>
        <w:t xml:space="preserve">500M already done in Q1)</w:t>
      </w:r>
    </w:p>
    <w:p>
      <w:pPr>
        <w:pStyle w:val="FirstParagraph"/>
      </w:pPr>
      <w:r>
        <w:t xml:space="preserve">The key question isn't whether they reaffirm — it's whether Q2 momentum lets them</w:t>
      </w:r>
      <w:r>
        <w:t xml:space="preserve"> </w:t>
      </w:r>
      <w:r>
        <w:rPr>
          <w:b/>
          <w:bCs/>
        </w:rPr>
        <w:t xml:space="preserve">sound more confident about the "or greater"</w:t>
      </w:r>
      <w:r>
        <w:t xml:space="preserve"> </w:t>
      </w:r>
      <w:r>
        <w:t xml:space="preserve">on organic and the top of the margin range.</w:t>
      </w:r>
    </w:p>
    <w:p>
      <w:r>
        <w:pict>
          <v:rect style="width:0;height:1.5pt" o:hralign="center" o:hrstd="t" o:hr="t"/>
        </w:pict>
      </w:r>
    </w:p>
    <w:bookmarkEnd w:id="14"/>
    <w:bookmarkStart w:id="15" w:name="what-to-watch-by-segment"/>
    <w:p>
      <w:pPr>
        <w:pStyle w:val="Heading2"/>
      </w:pPr>
      <w:r>
        <w:t xml:space="preserve">What to watch by segment</w:t>
      </w:r>
    </w:p>
    <w:p>
      <w:pPr>
        <w:pStyle w:val="FirstParagraph"/>
      </w:pPr>
      <w:r>
        <w:rPr>
          <w:b/>
          <w:bCs/>
        </w:rPr>
        <w:t xml:space="preserve">Commercial Risk Solutions (the crown jewel right now)</w:t>
      </w:r>
      <w:r>
        <w:t xml:space="preserve"> </w:t>
      </w:r>
      <w:r>
        <w:t xml:space="preserve">— 7% organic in Q1'26 marked the</w:t>
      </w:r>
      <w:r>
        <w:t xml:space="preserve"> </w:t>
      </w:r>
      <w:r>
        <w:rPr>
          <w:b/>
          <w:bCs/>
        </w:rPr>
        <w:t xml:space="preserve">4th straight quarter ≥6%</w:t>
      </w:r>
      <w:r>
        <w:t xml:space="preserve">, with double-digit North America growth and broad-based strength (U.S. core P&amp;C, construction/data centers, M&amp;A services, MGAs). Q2 is</w:t>
      </w:r>
      <w:r>
        <w:t xml:space="preserve"> </w:t>
      </w:r>
      <w:r>
        <w:rPr>
          <w:b/>
          <w:bCs/>
        </w:rPr>
        <w:t xml:space="preserve">seasonally the biggest property quarter</w:t>
      </w:r>
      <w:r>
        <w:t xml:space="preserve">, and property rates are soft (down ~15%). Management insists net market impact stays within its 0–2 pt framework and that growth is "largely uncorrelated with pricing."</w:t>
      </w:r>
      <w:r>
        <w:t xml:space="preserve"> </w:t>
      </w:r>
      <w:r>
        <w:rPr>
          <w:b/>
          <w:bCs/>
        </w:rPr>
        <w:t xml:space="preserve">Watch whether the streak extends and whether softening P&amp;C/property pricing finally dents net-new growth.</w:t>
      </w:r>
    </w:p>
    <w:p>
      <w:pPr>
        <w:pStyle w:val="BodyText"/>
      </w:pPr>
      <w:r>
        <w:rPr>
          <w:b/>
          <w:bCs/>
        </w:rPr>
        <w:t xml:space="preserve">Reinsurance Solutions</w:t>
      </w:r>
      <w:r>
        <w:t xml:space="preserve"> </w:t>
      </w:r>
      <w:r>
        <w:t xml:space="preserve">— Q2 is seasonally the smallest reinsurance quarter (mid-year Florida renewals). Management flagged</w:t>
      </w:r>
      <w:r>
        <w:t xml:space="preserve"> </w:t>
      </w:r>
      <w:r>
        <w:rPr>
          <w:b/>
          <w:bCs/>
        </w:rPr>
        <w:t xml:space="preserve">April 1 renewal rates down 15–20% in the U.S. and Japan, partially offset by ~10% higher demand</w:t>
      </w:r>
      <w:r>
        <w:t xml:space="preserve">, and is counting on a</w:t>
      </w:r>
      <w:r>
        <w:t xml:space="preserve"> </w:t>
      </w:r>
      <w:r>
        <w:rPr>
          <w:b/>
          <w:bCs/>
        </w:rPr>
        <w:t xml:space="preserve">stronger H2</w:t>
      </w:r>
      <w:r>
        <w:t xml:space="preserve"> </w:t>
      </w:r>
      <w:r>
        <w:t xml:space="preserve">(facultative, Strategy &amp; Technology Group). A soft Q2 here is expected — the risk is if rate pressure outpaces new business/volume.</w:t>
      </w:r>
    </w:p>
    <w:p>
      <w:pPr>
        <w:pStyle w:val="BodyText"/>
      </w:pPr>
      <w:r>
        <w:rPr>
          <w:b/>
          <w:bCs/>
        </w:rPr>
        <w:t xml:space="preserve">Health Solutions</w:t>
      </w:r>
      <w:r>
        <w:t xml:space="preserve"> </w:t>
      </w:r>
      <w:r>
        <w:t xml:space="preserve">— 4% in Q1'26, with core health &amp; benefits solid but</w:t>
      </w:r>
      <w:r>
        <w:t xml:space="preserve"> </w:t>
      </w:r>
      <w:r>
        <w:rPr>
          <w:b/>
          <w:bCs/>
        </w:rPr>
        <w:t xml:space="preserve">Talent Solutions discretionary spend still weak</w:t>
      </w:r>
      <w:r>
        <w:t xml:space="preserve">. Guide is mid-single-digit for the year; watch whether Talent stabilizes.</w:t>
      </w:r>
    </w:p>
    <w:p>
      <w:pPr>
        <w:pStyle w:val="BodyText"/>
      </w:pPr>
      <w:r>
        <w:rPr>
          <w:b/>
          <w:bCs/>
        </w:rPr>
        <w:t xml:space="preserve">Wealth Solutions</w:t>
      </w:r>
      <w:r>
        <w:t xml:space="preserve"> </w:t>
      </w:r>
      <w:r>
        <w:t xml:space="preserve">— Only 1% in Q1'26 (depressed by the</w:t>
      </w:r>
      <w:r>
        <w:t xml:space="preserve"> </w:t>
      </w:r>
      <w:r>
        <w:rPr>
          <w:b/>
          <w:bCs/>
        </w:rPr>
        <w:t xml:space="preserve">NFP Wealth divestiture</w:t>
      </w:r>
      <w:r>
        <w:t xml:space="preserve">). Management guided</w:t>
      </w:r>
      <w:r>
        <w:t xml:space="preserve"> </w:t>
      </w:r>
      <w:r>
        <w:rPr>
          <w:b/>
          <w:bCs/>
        </w:rPr>
        <w:t xml:space="preserve">mid-single-digit for Q2</w:t>
      </w:r>
      <w:r>
        <w:t xml:space="preserve">, leaning on the strong</w:t>
      </w:r>
      <w:r>
        <w:t xml:space="preserve"> </w:t>
      </w:r>
      <w:r>
        <w:rPr>
          <w:b/>
          <w:bCs/>
        </w:rPr>
        <w:t xml:space="preserve">UK pension-risk-transfer</w:t>
      </w:r>
      <w:r>
        <w:t xml:space="preserve"> </w:t>
      </w:r>
      <w:r>
        <w:t xml:space="preserve">market where Aon leads. This should be the most-improved line sequentially.</w:t>
      </w:r>
    </w:p>
    <w:p>
      <w:r>
        <w:pict>
          <v:rect style="width:0;height:1.5pt" o:hralign="center" o:hrstd="t" o:hr="t"/>
        </w:pict>
      </w:r>
    </w:p>
    <w:bookmarkEnd w:id="15"/>
    <w:bookmarkStart w:id="16" w:name="X6f12ceec073259bbf07b65353a69ef62d5b22a6"/>
    <w:p>
      <w:pPr>
        <w:pStyle w:val="Heading2"/>
      </w:pPr>
      <w:r>
        <w:t xml:space="preserve">Reported-revenue optics: mind the divestiture drag</w:t>
      </w:r>
    </w:p>
    <w:p>
      <w:pPr>
        <w:pStyle w:val="FirstParagraph"/>
      </w:pPr>
      <w:r>
        <w:t xml:space="preserve">Unlike last year (when NFP was a big inorganic</w:t>
      </w:r>
      <w:r>
        <w:t xml:space="preserve"> </w:t>
      </w:r>
      <w:r>
        <w:rPr>
          <w:i/>
          <w:iCs/>
        </w:rPr>
        <w:t xml:space="preserve">tailwind</w:t>
      </w:r>
      <w:r>
        <w:t xml:space="preserve">), 2026 carries a</w:t>
      </w:r>
      <w:r>
        <w:t xml:space="preserve"> </w:t>
      </w:r>
      <w:r>
        <w:rPr>
          <w:b/>
          <w:bCs/>
        </w:rPr>
        <w:t xml:space="preserve">~3-point unfavorable drag from divestitures</w:t>
      </w:r>
      <w:r>
        <w:t xml:space="preserve"> </w:t>
      </w:r>
      <w:r>
        <w:t xml:space="preserve">(sales of</w:t>
      </w:r>
      <w:r>
        <w:t xml:space="preserve"> </w:t>
      </w:r>
      <w:r>
        <w:rPr>
          <w:b/>
          <w:bCs/>
        </w:rPr>
        <w:t xml:space="preserve">NFP Wealth</w:t>
      </w:r>
      <w:r>
        <w:t xml:space="preserve"> </w:t>
      </w:r>
      <w:r>
        <w:t xml:space="preserve">and</w:t>
      </w:r>
      <w:r>
        <w:t xml:space="preserve"> </w:t>
      </w:r>
      <w:r>
        <w:rPr>
          <w:b/>
          <w:bCs/>
        </w:rPr>
        <w:t xml:space="preserve">Stroz Friedberg</w:t>
      </w:r>
      <w:r>
        <w:t xml:space="preserve">). So</w:t>
      </w:r>
      <w:r>
        <w:t xml:space="preserve"> </w:t>
      </w:r>
      <w:r>
        <w:rPr>
          <w:b/>
          <w:bCs/>
        </w:rPr>
        <w:t xml:space="preserve">reported total revenue growth will substantially lag organic</w:t>
      </w:r>
      <w:r>
        <w:t xml:space="preserve"> </w:t>
      </w:r>
      <w:r>
        <w:t xml:space="preserve">— reported revenue could land roughly flat-to-modestly-up vs. the</w:t>
      </w:r>
      <w:r>
        <w:t xml:space="preserve"> </w:t>
      </w:r>
      <m:oMath>
        <m:r>
          <m:t>4</m:t>
        </m:r>
        <m:r>
          <m:rPr>
            <m:sty m:val="p"/>
          </m:rPr>
          <m:t>,</m:t>
        </m:r>
        <m:r>
          <m:t>155</m:t>
        </m:r>
        <m:r>
          <m:t>M</m:t>
        </m:r>
        <m:r>
          <m:t>y</m:t>
        </m:r>
        <m:r>
          <m:t>e</m:t>
        </m:r>
        <m:r>
          <m:t>a</m:t>
        </m:r>
        <m:r>
          <m:t>r</m:t>
        </m:r>
        <m:r>
          <m:rPr>
            <m:sty m:val="p"/>
          </m:rPr>
          <m:t>−</m:t>
        </m:r>
        <m:r>
          <m:t>a</m:t>
        </m:r>
        <m:r>
          <m:t>g</m:t>
        </m:r>
        <m:r>
          <m:t>o</m:t>
        </m:r>
        <m:r>
          <m:t>b</m:t>
        </m:r>
        <m:r>
          <m:t>a</m:t>
        </m:r>
        <m:r>
          <m:t>s</m:t>
        </m:r>
        <m:r>
          <m:t>e</m:t>
        </m:r>
        <m:r>
          <m:t>e</m:t>
        </m:r>
        <m:r>
          <m:t>v</m:t>
        </m:r>
        <m:r>
          <m:t>e</m:t>
        </m:r>
        <m:r>
          <m:t>n</m:t>
        </m:r>
        <m:r>
          <m:t>w</m:t>
        </m:r>
        <m:r>
          <m:t>i</m:t>
        </m:r>
        <m:r>
          <m:t>t</m:t>
        </m:r>
        <m:r>
          <m:t>h</m:t>
        </m:r>
        <m:r>
          <m:t> </m:t>
        </m:r>
        <m:r>
          <m:t>5</m:t>
        </m:r>
      </m:oMath>
      <w:r>
        <w:t xml:space="preserve">0.44 to adjusted EPS for the full year).</w:t>
      </w:r>
    </w:p>
    <w:p>
      <w:r>
        <w:pict>
          <v:rect style="width:0;height:1.5pt" o:hralign="center" o:hrstd="t" o:hr="t"/>
        </w:pict>
      </w:r>
    </w:p>
    <w:bookmarkEnd w:id="16"/>
    <w:bookmarkStart w:id="17" w:name="margins-cost-program-and-cash"/>
    <w:p>
      <w:pPr>
        <w:pStyle w:val="Heading2"/>
      </w:pPr>
      <w:r>
        <w:t xml:space="preserve">Margins, cost program, and cash</w:t>
      </w:r>
    </w:p>
    <w:p>
      <w:pPr>
        <w:pStyle w:val="Compact"/>
        <w:numPr>
          <w:ilvl w:val="0"/>
          <w:numId w:val="1003"/>
        </w:numPr>
      </w:pPr>
      <w:r>
        <w:rPr>
          <w:b/>
          <w:bCs/>
        </w:rPr>
        <w:t xml:space="preserve">Adjusted margin:</w:t>
      </w:r>
      <w:r>
        <w:t xml:space="preserve"> </w:t>
      </w:r>
      <w:r>
        <w:t xml:space="preserve">full-year +70–80 bps guide; Q2'25 base was 28.2%. ABS-driven efficiency plus</w:t>
      </w:r>
      <w:r>
        <w:t xml:space="preserve"> </w:t>
      </w:r>
      <w:r>
        <w:rPr>
          <w:b/>
          <w:bCs/>
        </w:rPr>
        <w:t xml:space="preserve">~$100M of 2026 restructuring savings</w:t>
      </w:r>
      <w:r>
        <w:t xml:space="preserve"> </w:t>
      </w:r>
      <w:r>
        <w:t xml:space="preserve">(Accelerating Aon United;</w:t>
      </w:r>
      <w:r>
        <w:t xml:space="preserve"> </w:t>
      </w:r>
      <m:oMath>
        <m:r>
          <m:t>25</m:t>
        </m:r>
        <m:r>
          <m:t>M</m:t>
        </m:r>
        <m:r>
          <m:t>r</m:t>
        </m:r>
        <m:r>
          <m:t>e</m:t>
        </m:r>
        <m:r>
          <m:t>a</m:t>
        </m:r>
        <m:r>
          <m:t>l</m:t>
        </m:r>
        <m:r>
          <m:t>i</m:t>
        </m:r>
        <m:r>
          <m:t>z</m:t>
        </m:r>
        <m:r>
          <m:t>e</m:t>
        </m:r>
        <m:r>
          <m:t>d</m:t>
        </m:r>
        <m:r>
          <m:t>i</m:t>
        </m:r>
        <m:r>
          <m:t>n</m:t>
        </m:r>
        <m:r>
          <m:t>Q</m:t>
        </m:r>
        <m:r>
          <m:t>1</m:t>
        </m:r>
        <m:r>
          <m:rPr>
            <m:sty m:val="p"/>
          </m:rPr>
          <m:t>)</m:t>
        </m:r>
        <m:r>
          <m:t>a</m:t>
        </m:r>
        <m:r>
          <m:t>r</m:t>
        </m:r>
        <m:r>
          <m:t>e</m:t>
        </m:r>
        <m:r>
          <m:t>t</m:t>
        </m:r>
        <m:r>
          <m:t>h</m:t>
        </m:r>
        <m:r>
          <m:t>e</m:t>
        </m:r>
        <m:r>
          <m:t>l</m:t>
        </m:r>
        <m:r>
          <m:t>e</m:t>
        </m:r>
        <m:r>
          <m:t>v</m:t>
        </m:r>
        <m:r>
          <m:t>e</m:t>
        </m:r>
        <m:r>
          <m:t>r</m:t>
        </m:r>
        <m:r>
          <m:t>s</m:t>
        </m:r>
        <m:r>
          <m:rPr>
            <m:sty m:val="p"/>
          </m:rPr>
          <m:t>.</m:t>
        </m:r>
        <m:r>
          <m:t>2026</m:t>
        </m:r>
        <m:r>
          <m:t>i</m:t>
        </m:r>
        <m:r>
          <m:t>s</m:t>
        </m:r>
        <m:r>
          <m:t>t</m:t>
        </m:r>
        <m:r>
          <m:t>h</m:t>
        </m:r>
        <m:r>
          <m:t>e</m:t>
        </m:r>
        <m:r>
          <m:rPr>
            <m:sty m:val="p"/>
          </m:rPr>
          <m:t>*</m:t>
        </m:r>
        <m:r>
          <m:rPr>
            <m:sty m:val="p"/>
          </m:rPr>
          <m:t>*</m:t>
        </m:r>
        <m:r>
          <m:t>f</m:t>
        </m:r>
        <m:r>
          <m:t>i</m:t>
        </m:r>
        <m:r>
          <m:t>n</m:t>
        </m:r>
        <m:r>
          <m:t>a</m:t>
        </m:r>
        <m:r>
          <m:t>l</m:t>
        </m:r>
        <m:r>
          <m:t>y</m:t>
        </m:r>
        <m:r>
          <m:t>e</m:t>
        </m:r>
        <m:r>
          <m:t>a</m:t>
        </m:r>
        <m:r>
          <m:t>r</m:t>
        </m:r>
        <m:r>
          <m:t>o</m:t>
        </m:r>
        <m:r>
          <m:t>f</m:t>
        </m:r>
        <m:r>
          <m:t>r</m:t>
        </m:r>
        <m:r>
          <m:t>e</m:t>
        </m:r>
        <m:r>
          <m:t>s</m:t>
        </m:r>
        <m:r>
          <m:t>t</m:t>
        </m:r>
        <m:r>
          <m:t>r</m:t>
        </m:r>
        <m:r>
          <m:t>u</m:t>
        </m:r>
        <m:r>
          <m:t>c</m:t>
        </m:r>
        <m:r>
          <m:t>t</m:t>
        </m:r>
        <m:r>
          <m:t>u</m:t>
        </m:r>
        <m:r>
          <m:t>r</m:t>
        </m:r>
        <m:r>
          <m:t>i</m:t>
        </m:r>
        <m:r>
          <m:t>n</m:t>
        </m:r>
        <m:r>
          <m:t>g</m:t>
        </m:r>
        <m:r>
          <m:t>i</m:t>
        </m:r>
        <m:r>
          <m:t>n</m:t>
        </m:r>
        <m:r>
          <m:t>v</m:t>
        </m:r>
        <m:r>
          <m:t>e</m:t>
        </m:r>
        <m:r>
          <m:t>s</m:t>
        </m:r>
        <m:r>
          <m:t>t</m:t>
        </m:r>
        <m:r>
          <m:t>m</m:t>
        </m:r>
        <m:r>
          <m:t>e</m:t>
        </m:r>
        <m:r>
          <m:t>n</m:t>
        </m:r>
        <m:r>
          <m:t>t</m:t>
        </m:r>
        <m:r>
          <m:rPr>
            <m:sty m:val="p"/>
          </m:rPr>
          <m:t>*</m:t>
        </m:r>
        <m:r>
          <m:rPr>
            <m:sty m:val="p"/>
          </m:rPr>
          <m:t>*</m:t>
        </m:r>
        <m:r>
          <m:rPr>
            <m:sty m:val="p"/>
          </m:rPr>
          <m:t>,</m:t>
        </m:r>
        <m:r>
          <m:t>w</m:t>
        </m:r>
        <m:r>
          <m:t>i</m:t>
        </m:r>
        <m:r>
          <m:t>t</m:t>
        </m:r>
        <m:r>
          <m:t>h</m:t>
        </m:r>
        <m:r>
          <m:t>a</m:t>
        </m:r>
        <m:r>
          <m:t>c</m:t>
        </m:r>
        <m:r>
          <m:t>u</m:t>
        </m:r>
        <m:r>
          <m:t>m</m:t>
        </m:r>
        <m:r>
          <m:t>u</m:t>
        </m:r>
        <m:r>
          <m:t>l</m:t>
        </m:r>
        <m:r>
          <m:t>a</m:t>
        </m:r>
        <m:r>
          <m:t>t</m:t>
        </m:r>
        <m:r>
          <m:t>i</m:t>
        </m:r>
        <m:r>
          <m:t>v</m:t>
        </m:r>
        <m:r>
          <m:t>e</m:t>
        </m:r>
        <m:r>
          <m:rPr>
            <m:sty m:val="p"/>
          </m:rPr>
          <m:t>*</m:t>
        </m:r>
        <m:r>
          <m:rPr>
            <m:sty m:val="p"/>
          </m:rPr>
          <m:t>*</m:t>
        </m:r>
      </m:oMath>
      <w:r>
        <w:t xml:space="preserve">450M savings target by 2027**. NFP integration costs are expected to</w:t>
      </w:r>
      <w:r>
        <w:t xml:space="preserve"> </w:t>
      </w:r>
      <w:r>
        <w:rPr>
          <w:b/>
          <w:bCs/>
        </w:rPr>
        <w:t xml:space="preserve">end in Q2'26</w:t>
      </w:r>
      <w:r>
        <w:t xml:space="preserve"> </w:t>
      </w:r>
      <w:r>
        <w:t xml:space="preserve">— a modest tailwind ahead.</w:t>
      </w:r>
    </w:p>
    <w:p>
      <w:pPr>
        <w:pStyle w:val="Compact"/>
        <w:numPr>
          <w:ilvl w:val="0"/>
          <w:numId w:val="1003"/>
        </w:numPr>
      </w:pPr>
      <w:r>
        <w:rPr>
          <w:b/>
          <w:bCs/>
        </w:rPr>
        <w:t xml:space="preserve">Capital return:</w:t>
      </w:r>
      <w:r>
        <w:t xml:space="preserve"> </w:t>
      </w:r>
      <m:oMath>
        <m:r>
          <m:t>500</m:t>
        </m:r>
        <m:r>
          <m:t>M</m:t>
        </m:r>
        <m:r>
          <m:t>b</m:t>
        </m:r>
        <m:r>
          <m:t>u</m:t>
        </m:r>
        <m:r>
          <m:t>y</m:t>
        </m:r>
        <m:r>
          <m:t>b</m:t>
        </m:r>
        <m:r>
          <m:t>a</m:t>
        </m:r>
        <m:r>
          <m:t>c</m:t>
        </m:r>
        <m:r>
          <m:t>k</m:t>
        </m:r>
        <m:r>
          <m:t>i</m:t>
        </m:r>
        <m:r>
          <m:t>n</m:t>
        </m:r>
        <m:r>
          <m:t>Q</m:t>
        </m:r>
        <m:r>
          <m:t>1</m:t>
        </m:r>
        <m:r>
          <m:rPr>
            <m:sty m:val="p"/>
          </m:rPr>
          <m:t>(</m:t>
        </m:r>
        <m:r>
          <m:t>a</m:t>
        </m:r>
        <m:r>
          <m:t>s</m:t>
        </m:r>
        <m:r>
          <m:t>t</m:t>
        </m:r>
        <m:r>
          <m:t>e</m:t>
        </m:r>
        <m:r>
          <m:t>p</m:t>
        </m:r>
        <m:r>
          <m:rPr>
            <m:sty m:val="p"/>
          </m:rPr>
          <m:t>−</m:t>
        </m:r>
        <m:r>
          <m:t>u</m:t>
        </m:r>
        <m:r>
          <m:t>p</m:t>
        </m:r>
        <m:r>
          <m:t>f</m:t>
        </m:r>
        <m:r>
          <m:t>r</m:t>
        </m:r>
        <m:r>
          <m:t>o</m:t>
        </m:r>
        <m:r>
          <m:t>m</m:t>
        </m:r>
        <m:r>
          <m:t>t</m:t>
        </m:r>
        <m:r>
          <m:t>h</m:t>
        </m:r>
        <m:r>
          <m:t>e</m:t>
        </m:r>
        <m:r>
          <m:t> </m:t>
        </m:r>
      </m:oMath>
      <w:r>
        <w:t xml:space="preserve">250M/quarter run-rate), dividend raised</w:t>
      </w:r>
      <w:r>
        <w:t xml:space="preserve"> </w:t>
      </w:r>
      <w:r>
        <w:rPr>
          <w:b/>
          <w:bCs/>
        </w:rPr>
        <w:t xml:space="preserve">10% to $0.82/quarter</w:t>
      </w:r>
      <w:r>
        <w:t xml:space="preserve"> </w:t>
      </w:r>
      <w:r>
        <w:t xml:space="preserve">(6th straight double-digit hike), leverage ~2.7x (target ≤2.9x). Watch whether they</w:t>
      </w:r>
      <w:r>
        <w:t xml:space="preserve"> </w:t>
      </w:r>
      <w:r>
        <w:rPr>
          <w:b/>
          <w:bCs/>
        </w:rPr>
        <w:t xml:space="preserve">raise the "at least $1B" buyback target</w:t>
      </w:r>
      <w:r>
        <w:t xml:space="preserve"> </w:t>
      </w:r>
      <w:r>
        <w:t xml:space="preserve">given the fast Q1 start and the M&amp;A pipeline (middle market, Japan, EMEA, LatAm).</w:t>
      </w:r>
    </w:p>
    <w:p>
      <w:pPr>
        <w:pStyle w:val="Compact"/>
        <w:numPr>
          <w:ilvl w:val="0"/>
          <w:numId w:val="1003"/>
        </w:numPr>
      </w:pPr>
      <w:r>
        <w:rPr>
          <w:b/>
          <w:bCs/>
        </w:rPr>
        <w:t xml:space="preserve">Modeling helpers from the Q1 call:</w:t>
      </w:r>
      <w:r>
        <w:t xml:space="preserve"> </w:t>
      </w:r>
      <w:r>
        <w:t xml:space="preserve">Q2 interest expense ~$180M; other expense $15–20M; FCF still guided to double-digit full-year growth (Q2 is seasonally a strong cash quarter — $732M year-ago).</w:t>
      </w:r>
    </w:p>
    <w:p>
      <w:r>
        <w:pict>
          <v:rect style="width:0;height:1.5pt" o:hralign="center" o:hrstd="t" o:hr="t"/>
        </w:pict>
      </w:r>
    </w:p>
    <w:bookmarkEnd w:id="17"/>
    <w:bookmarkStart w:id="18" w:name="key-risks--debate-points"/>
    <w:p>
      <w:pPr>
        <w:pStyle w:val="Heading2"/>
      </w:pPr>
      <w:r>
        <w:t xml:space="preserve">Key risks / debate points</w:t>
      </w:r>
    </w:p>
    <w:p>
      <w:pPr>
        <w:pStyle w:val="Compact"/>
        <w:numPr>
          <w:ilvl w:val="0"/>
          <w:numId w:val="1004"/>
        </w:numPr>
      </w:pPr>
      <w:r>
        <w:rPr>
          <w:b/>
          <w:bCs/>
        </w:rPr>
        <w:t xml:space="preserve">EPS comp distortion</w:t>
      </w:r>
      <w:r>
        <w:t xml:space="preserve"> </w:t>
      </w:r>
      <w:r>
        <w:t xml:space="preserve">from the 16.5% year-ago tax rate — the biggest source of potential "optically weak" headline growth.</w:t>
      </w:r>
    </w:p>
    <w:p>
      <w:pPr>
        <w:pStyle w:val="Compact"/>
        <w:numPr>
          <w:ilvl w:val="0"/>
          <w:numId w:val="1004"/>
        </w:numPr>
      </w:pPr>
      <w:r>
        <w:rPr>
          <w:b/>
          <w:bCs/>
        </w:rPr>
        <w:t xml:space="preserve">P&amp;C/reinsurance pricing softness</w:t>
      </w:r>
      <w:r>
        <w:t xml:space="preserve"> </w:t>
      </w:r>
      <w:r>
        <w:t xml:space="preserve">— property down ~15%, reinsurance April renewals down 15–20%; the bull case rests on volume/exposure and new business offsetting rate.</w:t>
      </w:r>
    </w:p>
    <w:p>
      <w:pPr>
        <w:pStyle w:val="Compact"/>
        <w:numPr>
          <w:ilvl w:val="0"/>
          <w:numId w:val="1004"/>
        </w:numPr>
      </w:pPr>
      <w:r>
        <w:rPr>
          <w:b/>
          <w:bCs/>
        </w:rPr>
        <w:t xml:space="preserve">Talent Solutions</w:t>
      </w:r>
      <w:r>
        <w:t xml:space="preserve"> </w:t>
      </w:r>
      <w:r>
        <w:t xml:space="preserve">discretionary weakness lingering into 2026.</w:t>
      </w:r>
    </w:p>
    <w:p>
      <w:pPr>
        <w:pStyle w:val="Compact"/>
        <w:numPr>
          <w:ilvl w:val="0"/>
          <w:numId w:val="1004"/>
        </w:numPr>
      </w:pPr>
      <w:r>
        <w:rPr>
          <w:b/>
          <w:bCs/>
        </w:rPr>
        <w:t xml:space="preserve">Elevated setup</w:t>
      </w:r>
      <w:r>
        <w:t xml:space="preserve"> </w:t>
      </w:r>
      <w:r>
        <w:t xml:space="preserve">— the stock's ~8% pre-print run leaves little room for disappointment.</w:t>
      </w:r>
    </w:p>
    <w:p>
      <w:pPr>
        <w:pStyle w:val="Compact"/>
        <w:numPr>
          <w:ilvl w:val="0"/>
          <w:numId w:val="1004"/>
        </w:numPr>
      </w:pPr>
      <w:r>
        <w:rPr>
          <w:b/>
          <w:bCs/>
        </w:rPr>
        <w:t xml:space="preserve">Macro/geopolitical</w:t>
      </w:r>
      <w:r>
        <w:t xml:space="preserve"> </w:t>
      </w:r>
      <w:r>
        <w:t xml:space="preserve">— Middle East conflict (small direct exposure, but a swing factor for energy prices/Asia GDP) and tariffs/FX.</w:t>
      </w:r>
    </w:p>
    <w:p>
      <w:pPr>
        <w:pStyle w:val="Compact"/>
        <w:numPr>
          <w:ilvl w:val="0"/>
          <w:numId w:val="1004"/>
        </w:numPr>
      </w:pPr>
      <w:r>
        <w:rPr>
          <w:b/>
          <w:bCs/>
        </w:rPr>
        <w:t xml:space="preserve">AI narrative</w:t>
      </w:r>
      <w:r>
        <w:t xml:space="preserve"> </w:t>
      </w:r>
      <w:r>
        <w:t xml:space="preserve">— expect heavy management emphasis on Aon Business Services, Broker/Claims Copilot, risk "analyzers," and data-center insurance (pipeline guided to ~3x last year). This is increasingly a revenue and margin story, not just cost — but it's also becoming a "show me the numbers" debate as peers build competing platforms.</w:t>
      </w:r>
    </w:p>
    <w:p>
      <w:r>
        <w:pict>
          <v:rect style="width:0;height:1.5pt" o:hralign="center" o:hrstd="t" o:hr="t"/>
        </w:pict>
      </w:r>
    </w:p>
    <w:bookmarkEnd w:id="18"/>
    <w:bookmarkStart w:id="19" w:name="bottom-line"/>
    <w:p>
      <w:pPr>
        <w:pStyle w:val="Heading2"/>
      </w:pPr>
      <w:r>
        <w:t xml:space="preserve">Bottom line</w:t>
      </w:r>
    </w:p>
    <w:p>
      <w:pPr>
        <w:pStyle w:val="FirstParagraph"/>
      </w:pPr>
      <w:r>
        <w:t xml:space="preserve">Fundamentally, Aon looks positioned to deliver</w:t>
      </w:r>
      <w:r>
        <w:t xml:space="preserve"> </w:t>
      </w:r>
      <w:r>
        <w:rPr>
          <w:b/>
          <w:bCs/>
        </w:rPr>
        <w:t xml:space="preserve">another ~5% organic quarter, continued margin expansion, and strong cash generation</w:t>
      </w:r>
      <w:r>
        <w:t xml:space="preserve">, with a likely</w:t>
      </w:r>
      <w:r>
        <w:t xml:space="preserve"> </w:t>
      </w:r>
      <w:r>
        <w:rPr>
          <w:b/>
          <w:bCs/>
        </w:rPr>
        <w:t xml:space="preserve">reaffirmation</w:t>
      </w:r>
      <w:r>
        <w:t xml:space="preserve"> </w:t>
      </w:r>
      <w:r>
        <w:t xml:space="preserve">of full-year guidance and probably firmer language on buybacks. The nuance for investors:</w:t>
      </w:r>
      <w:r>
        <w:t xml:space="preserve"> </w:t>
      </w:r>
      <w:r>
        <w:rPr>
          <w:b/>
          <w:bCs/>
        </w:rPr>
        <w:t xml:space="preserve">the headline adjusted-EPS growth rate will be optically muted by the tax comp and the divestiture drag on reported revenue</w:t>
      </w:r>
      <w:r>
        <w:t xml:space="preserve"> </w:t>
      </w:r>
      <w:r>
        <w:t xml:space="preserve">— so judge the quarter on</w:t>
      </w:r>
      <w:r>
        <w:t xml:space="preserve"> </w:t>
      </w:r>
      <w:r>
        <w:rPr>
          <w:b/>
          <w:bCs/>
        </w:rPr>
        <w:t xml:space="preserve">organic growth durability (especially Commercial Risk), net-market-impact resilience against soft pricing, and margin trajectory</w:t>
      </w:r>
      <w:r>
        <w:t xml:space="preserve">, not the EPS % change. With the stock rallying into the print, the risk/reward skews toward needing an</w:t>
      </w:r>
      <w:r>
        <w:t xml:space="preserve"> </w:t>
      </w:r>
      <w:r>
        <w:rPr>
          <w:b/>
          <w:bCs/>
        </w:rPr>
        <w:t xml:space="preserve">"or greater" organic tone and/or a raised capital-return commitment</w:t>
      </w:r>
      <w:r>
        <w:t xml:space="preserve"> </w:t>
      </w:r>
      <w:r>
        <w:t xml:space="preserve">to justify further upside.</w:t>
      </w:r>
    </w:p>
    <w:bookmarkEnd w:id="19"/>
    <w:bookmarkEnd w:id="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2026-07-29T02:48:20Z</dcterms:created>
  <dcterms:modified xsi:type="dcterms:W3CDTF">2026-07-29T02:48:20Z</dcterms:modified>
</cp:coreProperties>
</file>

<file path=docProps/custom.xml><?xml version="1.0" encoding="utf-8"?>
<Properties xmlns="http://schemas.openxmlformats.org/officeDocument/2006/custom-properties" xmlns:vt="http://schemas.openxmlformats.org/officeDocument/2006/docPropsVTypes"/>
</file>