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3" w:name="aon-plc-aon--q2-2026-earnings-preview"/>
    <w:p>
      <w:pPr>
        <w:pStyle w:val="Heading1"/>
      </w:pPr>
      <w:r>
        <w:t xml:space="preserve">Aon plc (AON) — Q2 2026 Earnings Preview</w:t>
      </w:r>
    </w:p>
    <w:p>
      <w:pPr>
        <w:pStyle w:val="FirstParagraph"/>
      </w:pPr>
      <w:r>
        <w:rPr>
          <w:b/>
          <w:bCs/>
        </w:rPr>
        <w:t xml:space="preserve">Report Date:</w:t>
      </w:r>
      <w:r>
        <w:t xml:space="preserve"> </w:t>
      </w:r>
      <w:r>
        <w:t xml:space="preserve">Wednesday, July 29, 2026 (before market open) |</w:t>
      </w:r>
      <w:r>
        <w:t xml:space="preserve"> </w:t>
      </w:r>
      <w:r>
        <w:rPr>
          <w:b/>
          <w:bCs/>
        </w:rPr>
        <w:t xml:space="preserve">Call:</w:t>
      </w:r>
      <w:r>
        <w:t xml:space="preserve"> </w:t>
      </w:r>
      <w:r>
        <w:t xml:space="preserve">2026Q2 Earnings Call</w:t>
      </w:r>
    </w:p>
    <w:p>
      <w:r>
        <w:pict>
          <v:rect style="width:0;height:1.5pt" o:hralign="center" o:hrstd="t" o:hr="t"/>
        </w:pict>
      </w:r>
    </w:p>
    <w:bookmarkStart w:id="9" w:name="setup-into-the-print"/>
    <w:p>
      <w:pPr>
        <w:pStyle w:val="Heading2"/>
      </w:pPr>
      <w:r>
        <w:t xml:space="preserve">Setup Into the Print</w:t>
      </w:r>
    </w:p>
    <w:p>
      <w:pPr>
        <w:pStyle w:val="FirstParagraph"/>
      </w:pPr>
      <w:r>
        <w:t xml:space="preserve">Aon shares have been on a strong run into earnings, closing at a fresh 52-week high near $381 on July 28 — a roughly 4% pop in the two sessions before the print — after having traded mostly in a</w:t>
      </w:r>
      <w:r>
        <w:t xml:space="preserve"> </w:t>
      </w:r>
      <m:oMath>
        <m:r>
          <m:t>310</m:t>
        </m:r>
        <m:r>
          <m:rPr>
            <m:sty m:val="p"/>
          </m:rPr>
          <m:t>–</m:t>
        </m:r>
      </m:oMath>
      <w:r>
        <w:t xml:space="preserve">370 range for most of 2026. Options markets are pricing in an outsized move around the release, with elevated implied volatility in near-dated contracts signaling investors expect a meaningful reaction either way.</w:t>
      </w:r>
    </w:p>
    <w:p>
      <w:pPr>
        <w:pStyle w:val="BodyText"/>
      </w:pPr>
      <w:r>
        <w:t xml:space="preserve">Sell-side sentiment has been split heading in. A wave of price-target increases in July (Cantor to $445, Mizuho to $426, JPMorgan to $412, UBS to $383, Barclays to $382) reflects broadly constructive positioning, while Piper Sandler downgraded the stock to Neutral from Overweight and BofA carries a Sell rating, both citing valuation, softening fiduciary investment income, and elevated interest expense as constraints on near-term upside.</w:t>
      </w:r>
    </w:p>
    <w:p>
      <w:pPr>
        <w:pStyle w:val="BodyText"/>
      </w:pPr>
      <w:r>
        <w:rPr>
          <w:b/>
          <w:bCs/>
        </w:rPr>
        <w:t xml:space="preserve">Consensus for Q2 2026:</w:t>
      </w:r>
      <w:r>
        <w:t xml:space="preserve"> </w:t>
      </w:r>
      <w:r>
        <w:t xml:space="preserve">Adjusted EPS of</w:t>
      </w:r>
      <w:r>
        <w:t xml:space="preserve"> </w:t>
      </w:r>
      <w:r>
        <w:rPr>
          <w:b/>
          <w:bCs/>
        </w:rPr>
        <w:t xml:space="preserve">$3.77</w:t>
      </w:r>
      <w:r>
        <w:t xml:space="preserve"> </w:t>
      </w:r>
      <w:r>
        <w:t xml:space="preserve">(+8% y/y vs.</w:t>
      </w:r>
      <w:r>
        <w:t xml:space="preserve"> </w:t>
      </w:r>
      <m:oMath>
        <m:r>
          <m:t>3.49</m:t>
        </m:r>
        <m:r>
          <m:t>i</m:t>
        </m:r>
        <m:r>
          <m:t>n</m:t>
        </m:r>
        <m:r>
          <m:t>Q</m:t>
        </m:r>
        <m:r>
          <m:t>2</m:t>
        </m:r>
        <m:r>
          <m:t>2025</m:t>
        </m:r>
        <m:r>
          <m:rPr>
            <m:sty m:val="p"/>
          </m:rPr>
          <m:t>)</m:t>
        </m:r>
        <m:r>
          <m:t>o</m:t>
        </m:r>
        <m:r>
          <m:t>n</m:t>
        </m:r>
        <m:r>
          <m:t>r</m:t>
        </m:r>
        <m:r>
          <m:t>e</m:t>
        </m:r>
        <m:r>
          <m:t>v</m:t>
        </m:r>
        <m:r>
          <m:t>e</m:t>
        </m:r>
        <m:r>
          <m:t>n</m:t>
        </m:r>
        <m:r>
          <m:t>u</m:t>
        </m:r>
        <m:r>
          <m:t>e</m:t>
        </m:r>
        <m:r>
          <m:t>o</m:t>
        </m:r>
        <m:r>
          <m:t>f</m:t>
        </m:r>
        <m:r>
          <m:t>r</m:t>
        </m:r>
        <m:r>
          <m:t>o</m:t>
        </m:r>
        <m:r>
          <m:t>u</m:t>
        </m:r>
        <m:r>
          <m:t>g</m:t>
        </m:r>
        <m:r>
          <m:t>h</m:t>
        </m:r>
        <m:r>
          <m:t>l</m:t>
        </m:r>
        <m:r>
          <m:t>y</m:t>
        </m:r>
        <m:r>
          <m:rPr>
            <m:sty m:val="p"/>
          </m:rPr>
          <m:t>*</m:t>
        </m:r>
        <m:r>
          <m:rPr>
            <m:sty m:val="p"/>
          </m:rPr>
          <m:t>*</m:t>
        </m:r>
      </m:oMath>
      <w:r>
        <w:t xml:space="preserve">4.26 billion**. Aon has beaten consensus EPS in each of the last four quarters, and the "Most Accurate Estimate" trend sits above the Zacks consensus, suggesting the sell-side skews toward another beat.</w:t>
      </w:r>
    </w:p>
    <w:p>
      <w:r>
        <w:pict>
          <v:rect style="width:0;height:1.5pt" o:hralign="center" o:hrstd="t" o:hr="t"/>
        </w:pict>
      </w:r>
    </w:p>
    <w:bookmarkEnd w:id="9"/>
    <w:bookmarkStart w:id="10" w:name="X223f82275284bcf981f24ae72d96762b39a7e0e"/>
    <w:p>
      <w:pPr>
        <w:pStyle w:val="Heading2"/>
      </w:pPr>
      <w:r>
        <w:t xml:space="preserve">What Happened Last Quarter (Q1 2026) — The Baseline</w:t>
      </w:r>
    </w:p>
    <w:p>
      <w:pPr>
        <w:pStyle w:val="FirstParagraph"/>
      </w:pPr>
      <w:r>
        <w:t xml:space="preserve">Aon's Q1 2026 was strong and management</w:t>
      </w:r>
      <w:r>
        <w:t xml:space="preserve"> </w:t>
      </w:r>
      <w:r>
        <w:rPr>
          <w:b/>
          <w:bCs/>
        </w:rPr>
        <w:t xml:space="preserve">reaffirmed full-year guidance</w:t>
      </w:r>
      <w:r>
        <w:t xml:space="preserve">, giving investors a clean read into Q2 expectations:</w:t>
      </w:r>
    </w:p>
    <w:p>
      <w:pPr>
        <w:pStyle w:val="Compact"/>
        <w:numPr>
          <w:ilvl w:val="0"/>
          <w:numId w:val="1001"/>
        </w:numPr>
      </w:pPr>
      <w:r>
        <w:t xml:space="preserve">Organic revenue growth of 5%, with total revenue up 6% to $5.0 billion, adjusted operating margin up 70bps to 39.1%, adjusted EPS up 14% to $6.48, and free cash flow up 332% to $363 million.</w:t>
      </w:r>
    </w:p>
    <w:p>
      <w:pPr>
        <w:pStyle w:val="Compact"/>
        <w:numPr>
          <w:ilvl w:val="0"/>
          <w:numId w:val="1001"/>
        </w:numPr>
      </w:pPr>
      <w:r>
        <w:t xml:space="preserve">Commercial Risk Solutions delivered 7% organic growth — the</w:t>
      </w:r>
      <w:r>
        <w:t xml:space="preserve"> </w:t>
      </w:r>
      <w:r>
        <w:rPr>
          <w:b/>
          <w:bCs/>
        </w:rPr>
        <w:t xml:space="preserve">fourth straight quarter at or above 6%</w:t>
      </w:r>
      <w:r>
        <w:t xml:space="preserve"> </w:t>
      </w:r>
      <w:r>
        <w:t xml:space="preserve">— with double-digit growth in North America.</w:t>
      </w:r>
    </w:p>
    <w:p>
      <w:pPr>
        <w:pStyle w:val="Compact"/>
        <w:numPr>
          <w:ilvl w:val="0"/>
          <w:numId w:val="1001"/>
        </w:numPr>
      </w:pPr>
      <w:r>
        <w:t xml:space="preserve">Reinsurance grew 4% organically, but management flagged</w:t>
      </w:r>
      <w:r>
        <w:t xml:space="preserve"> </w:t>
      </w:r>
      <w:r>
        <w:rPr>
          <w:b/>
          <w:bCs/>
        </w:rPr>
        <w:t xml:space="preserve">rate pressure of 15–20% at April 1 renewals</w:t>
      </w:r>
      <w:r>
        <w:t xml:space="preserve"> </w:t>
      </w:r>
      <w:r>
        <w:t xml:space="preserve">in the US and Japan, partially offset by ~10% higher demand — a dynamic that flows into Q2, historically the largest property renewal quarter of the year.</w:t>
      </w:r>
    </w:p>
    <w:p>
      <w:pPr>
        <w:pStyle w:val="Compact"/>
        <w:numPr>
          <w:ilvl w:val="0"/>
          <w:numId w:val="1001"/>
        </w:numPr>
      </w:pPr>
      <w:r>
        <w:t xml:space="preserve">Health Solutions grew 4%, dragged by soft discretionary Talent Solutions spend; Wealth grew just 1%, with softer US advisory demand offsetting UK/EMEA regulatory-driven work — though management guided to</w:t>
      </w:r>
      <w:r>
        <w:t xml:space="preserve"> </w:t>
      </w:r>
      <w:r>
        <w:rPr>
          <w:b/>
          <w:bCs/>
        </w:rPr>
        <w:t xml:space="preserve">mid-single-digit growth in Wealth for Q2</w:t>
      </w:r>
      <w:r>
        <w:t xml:space="preserve"> </w:t>
      </w:r>
      <w:r>
        <w:t xml:space="preserve">on continued strength in the UK pension risk transfer market, where Aon is the market leader.</w:t>
      </w:r>
    </w:p>
    <w:p>
      <w:pPr>
        <w:pStyle w:val="Compact"/>
        <w:numPr>
          <w:ilvl w:val="0"/>
          <w:numId w:val="1001"/>
        </w:numPr>
      </w:pPr>
      <w:r>
        <w:t xml:space="preserve">Management reaffirmed full-year 2026 guidance:</w:t>
      </w:r>
      <w:r>
        <w:t xml:space="preserve"> </w:t>
      </w:r>
      <w:r>
        <w:rPr>
          <w:b/>
          <w:bCs/>
        </w:rPr>
        <w:t xml:space="preserve">mid-single-digit-or-greater organic revenue growth, 70–80bps of adjusted operating margin expansion, strong adjusted EPS growth, and double-digit free cash flow growth.</w:t>
      </w:r>
    </w:p>
    <w:p>
      <w:r>
        <w:pict>
          <v:rect style="width:0;height:1.5pt" o:hralign="center" o:hrstd="t" o:hr="t"/>
        </w:pict>
      </w:r>
    </w:p>
    <w:bookmarkEnd w:id="10"/>
    <w:bookmarkStart w:id="19" w:name="key-things-to-watch-in-the-q2-print"/>
    <w:p>
      <w:pPr>
        <w:pStyle w:val="Heading2"/>
      </w:pPr>
      <w:r>
        <w:t xml:space="preserve">Key Things to Watch in the Q2 Print</w:t>
      </w:r>
    </w:p>
    <w:bookmarkStart w:id="11" w:name="X2536af6190d488d0efee6dcca8abd2672372b9f"/>
    <w:p>
      <w:pPr>
        <w:pStyle w:val="Heading3"/>
      </w:pPr>
      <w:r>
        <w:t xml:space="preserve">1. Commercial Risk momentum vs. a tougher property comp</w:t>
      </w:r>
    </w:p>
    <w:p>
      <w:pPr>
        <w:pStyle w:val="FirstParagraph"/>
      </w:pPr>
      <w:r>
        <w:t xml:space="preserve">Q2 is seasonally the industry's biggest property catastrophe renewal quarter. On the Q1 call, CFO Edmund Reese was pressed on whether investors should temper expectations, noting net market impact (pricing) has been running around 1 point of organic growth and is expected to stay there "throughout the rest of the year, including Q2," with property pricing down roughly 15% offset by growth in casualty, D&amp;O and cyber lines, and by management's ability to help clients increase limits and coverage. The read-through: watch whether the 6%+ Commercial Risk growth streak (now four consecutive quarters) extends to a fifth, and whether broad-based new business (9–11 points of contribution target) and construction/data-center strength offset softer property rate.</w:t>
      </w:r>
    </w:p>
    <w:bookmarkEnd w:id="11"/>
    <w:bookmarkStart w:id="12" w:name="Xb02f322d9fc8353aacc1a5f5e38cef0c04c0fc0"/>
    <w:p>
      <w:pPr>
        <w:pStyle w:val="Heading3"/>
      </w:pPr>
      <w:r>
        <w:t xml:space="preserve">2. Reinsurance pricing pressure</w:t>
      </w:r>
    </w:p>
    <w:p>
      <w:pPr>
        <w:pStyle w:val="FirstParagraph"/>
      </w:pPr>
      <w:r>
        <w:t xml:space="preserve">With April 1 renewals down 15–20% in the US/Japan, Reinsurance organic growth (4% in Q1) is a key line to monitor — is new business/facultative growth (which ran double-digit in Q1) enough to offset continued rate erosion?</w:t>
      </w:r>
    </w:p>
    <w:bookmarkEnd w:id="12"/>
    <w:bookmarkStart w:id="13" w:name="Xb73e87247081c8039a0296a698560194cb68219"/>
    <w:p>
      <w:pPr>
        <w:pStyle w:val="Heading3"/>
      </w:pPr>
      <w:r>
        <w:t xml:space="preserve">3. NFP integration cost roll-off</w:t>
      </w:r>
    </w:p>
    <w:p>
      <w:pPr>
        <w:pStyle w:val="FirstParagraph"/>
      </w:pPr>
      <w:r>
        <w:t xml:space="preserve">Aon's Q1 2026 filings note the company</w:t>
      </w:r>
      <w:r>
        <w:t xml:space="preserve"> </w:t>
      </w:r>
      <w:r>
        <w:rPr>
          <w:b/>
          <w:bCs/>
        </w:rPr>
        <w:t xml:space="preserve">expects to continue incurring NFP integration costs through the end of Q2 2026</w:t>
      </w:r>
      <w:r>
        <w:t xml:space="preserve"> </w:t>
      </w:r>
      <w:r>
        <w:t xml:space="preserve">— meaning this quarter should mark the last meaningful drag from that item, a potential tailwind to adjusted margins and a cleaner setup for H2.</w:t>
      </w:r>
    </w:p>
    <w:bookmarkEnd w:id="13"/>
    <w:bookmarkStart w:id="14" w:name="X3192591c1fe519b5e6b493e7ef29d955c3abdee"/>
    <w:p>
      <w:pPr>
        <w:pStyle w:val="Heading3"/>
      </w:pPr>
      <w:r>
        <w:t xml:space="preserve">4. Margin trajectory and AI/ABS productivity</w:t>
      </w:r>
    </w:p>
    <w:p>
      <w:pPr>
        <w:pStyle w:val="FirstParagraph"/>
      </w:pPr>
      <w:r>
        <w:t xml:space="preserve">Management has been vocal about $1.3 billion invested in talent and technology (Aon Business Services, AI-embedded "risk analyzers," Broker Copilot, Claims Copilot) driving both revenue (new business, retention) and cost efficiency. Restructuring savings are guided at $100 million for 2026 (part of a cumulative $450 million target by 2027), contributing 50bps to margin in Q1. Confirmation of continued margin expansion within the 70–80bps full-year band will be closely watched.</w:t>
      </w:r>
    </w:p>
    <w:bookmarkEnd w:id="14"/>
    <w:bookmarkStart w:id="15" w:name="Xa82e949beb5a940e9ab22a42eb7d4c40b62782e"/>
    <w:p>
      <w:pPr>
        <w:pStyle w:val="Heading3"/>
      </w:pPr>
      <w:r>
        <w:t xml:space="preserve">5. Capital allocation cadence</w:t>
      </w:r>
    </w:p>
    <w:p>
      <w:pPr>
        <w:pStyle w:val="FirstParagraph"/>
      </w:pPr>
      <w:r>
        <w:t xml:space="preserve">Aon stepped up buybacks materially in Q1 (</w:t>
      </w:r>
      <m:oMath>
        <m:r>
          <m:t>500</m:t>
        </m:r>
        <m:r>
          <m:t>m</m:t>
        </m:r>
        <m:r>
          <m:t>i</m:t>
        </m:r>
        <m:r>
          <m:t>l</m:t>
        </m:r>
        <m:r>
          <m:t>l</m:t>
        </m:r>
        <m:r>
          <m:t>i</m:t>
        </m:r>
        <m:r>
          <m:t>o</m:t>
        </m:r>
        <m:r>
          <m:t>n</m:t>
        </m:r>
        <m:r>
          <m:t>v</m:t>
        </m:r>
        <m:r>
          <m:t>s</m:t>
        </m:r>
        <m:r>
          <m:rPr>
            <m:sty m:val="p"/>
          </m:rPr>
          <m:t>.</m:t>
        </m:r>
        <m:r>
          <m:t>a</m:t>
        </m:r>
        <m:r>
          <m:t> </m:t>
        </m:r>
      </m:oMath>
      <w:r>
        <w:t xml:space="preserve">250 million/quarter run-rate over the prior eight quarters), citing opportunistic purchases at a discount to intrinsic value, while keeping the full-year guide at "at least $1 billion." Investors will want an update on: pace of repurchases (leverage was 2.7x vs. a 2.9x+ target, providing room), the M&amp;A pipeline (management's criteria: &gt;10% revenue growth after a year of ownership, 20%+ IRRs), and the dividend (a 10% increase to $0.82/share was announced in April, the sixth straight year of double-digit dividend growth).</w:t>
      </w:r>
    </w:p>
    <w:bookmarkEnd w:id="15"/>
    <w:bookmarkStart w:id="16" w:name="X19a5e274820395e0e307376ebc1c465f4c19ffa"/>
    <w:p>
      <w:pPr>
        <w:pStyle w:val="Heading3"/>
      </w:pPr>
      <w:r>
        <w:t xml:space="preserve">6. Interest expense, other expense, and tax rate guidance</w:t>
      </w:r>
    </w:p>
    <w:p>
      <w:pPr>
        <w:pStyle w:val="FirstParagraph"/>
      </w:pPr>
      <w:r>
        <w:t xml:space="preserve">Management guided Q2 2026 interest expense to approximately $180 million and other expense to a $15–20 million range, with the full-year effective tax rate guide unchanged at 19.5–20.5%. Watch for confirmation or revision of these, especially given Piper Sandler's downgrade thesis around elevated interest expense.</w:t>
      </w:r>
    </w:p>
    <w:bookmarkEnd w:id="16"/>
    <w:bookmarkStart w:id="17" w:name="Xd4774c452d53b3fcfdca28d30ff0377773f4402"/>
    <w:p>
      <w:pPr>
        <w:pStyle w:val="Heading3"/>
      </w:pPr>
      <w:r>
        <w:t xml:space="preserve">7. FX tailwind fading</w:t>
      </w:r>
    </w:p>
    <w:p>
      <w:pPr>
        <w:pStyle w:val="FirstParagraph"/>
      </w:pPr>
      <w:r>
        <w:t xml:space="preserve">Aon flagged a de minimis FX impact on adjusted EPS expected for Q2 2026 (versus a</w:t>
      </w:r>
      <w:r>
        <w:t xml:space="preserve"> </w:t>
      </w:r>
      <m:oMath>
        <m:r>
          <m:t>0.36</m:t>
        </m:r>
        <m:r>
          <m:t>f</m:t>
        </m:r>
        <m:r>
          <m:t>a</m:t>
        </m:r>
        <m:r>
          <m:t>v</m:t>
        </m:r>
        <m:r>
          <m:t>o</m:t>
        </m:r>
        <m:r>
          <m:t>r</m:t>
        </m:r>
        <m:r>
          <m:t>a</m:t>
        </m:r>
        <m:r>
          <m:t>b</m:t>
        </m:r>
        <m:r>
          <m:t>l</m:t>
        </m:r>
        <m:r>
          <m:t>e</m:t>
        </m:r>
        <m:r>
          <m:t>i</m:t>
        </m:r>
        <m:r>
          <m:t>m</m:t>
        </m:r>
        <m:r>
          <m:t>p</m:t>
        </m:r>
        <m:r>
          <m:t>a</m:t>
        </m:r>
        <m:r>
          <m:t>c</m:t>
        </m:r>
        <m:r>
          <m:t>t</m:t>
        </m:r>
        <m:r>
          <m:t>i</m:t>
        </m:r>
        <m:r>
          <m:t>n</m:t>
        </m:r>
        <m:r>
          <m:t>Q</m:t>
        </m:r>
        <m:r>
          <m:t>1</m:t>
        </m:r>
        <m:r>
          <m:rPr>
            <m:sty m:val="p"/>
          </m:rPr>
          <m:t>)</m:t>
        </m:r>
        <m:r>
          <m:rPr>
            <m:sty m:val="p"/>
          </m:rPr>
          <m:t>,</m:t>
        </m:r>
        <m:r>
          <m:t>w</m:t>
        </m:r>
        <m:r>
          <m:t>i</m:t>
        </m:r>
        <m:r>
          <m:t>t</m:t>
        </m:r>
        <m:r>
          <m:t>h</m:t>
        </m:r>
        <m:r>
          <m:t>a</m:t>
        </m:r>
        <m:r>
          <m:t>m</m:t>
        </m:r>
        <m:r>
          <m:t>o</m:t>
        </m:r>
        <m:r>
          <m:t>d</m:t>
        </m:r>
        <m:r>
          <m:t>e</m:t>
        </m:r>
        <m:r>
          <m:t>s</m:t>
        </m:r>
        <m:r>
          <m:t>t</m:t>
        </m:r>
        <m:r>
          <m:t> </m:t>
        </m:r>
      </m:oMath>
      <w:r>
        <w:t xml:space="preserve">0.44 full-year tailwind expected if rates hold — meaning Q2 EPS growth will be more organically driven than Q1's.</w:t>
      </w:r>
    </w:p>
    <w:bookmarkEnd w:id="17"/>
    <w:bookmarkStart w:id="18" w:name="X340e7901d2cd0349ad7f95435bd146c49cd2525"/>
    <w:p>
      <w:pPr>
        <w:pStyle w:val="Heading3"/>
      </w:pPr>
      <w:r>
        <w:t xml:space="preserve">8. Geopolitical/macro commentary</w:t>
      </w:r>
    </w:p>
    <w:p>
      <w:pPr>
        <w:pStyle w:val="FirstParagraph"/>
      </w:pPr>
      <w:r>
        <w:t xml:space="preserve">Expect continued commentary on the Middle East conflict (a small but growing part of Aon's book, described by management as generating double-digit regional growth so far) and any read-through to broader Asia-Pacific growth from energy-price volatility.</w:t>
      </w:r>
    </w:p>
    <w:p>
      <w:r>
        <w:pict>
          <v:rect style="width:0;height:1.5pt" o:hralign="center" o:hrstd="t" o:hr="t"/>
        </w:pict>
      </w:r>
    </w:p>
    <w:bookmarkEnd w:id="18"/>
    <w:bookmarkEnd w:id="19"/>
    <w:bookmarkStart w:id="20" w:name="sector-read-through-ahead-of-the-print"/>
    <w:p>
      <w:pPr>
        <w:pStyle w:val="Heading2"/>
      </w:pPr>
      <w:r>
        <w:t xml:space="preserve">Sector Read-Through Ahead of the Print</w:t>
      </w:r>
    </w:p>
    <w:p>
      <w:pPr>
        <w:pStyle w:val="FirstParagraph"/>
      </w:pPr>
      <w:r>
        <w:t xml:space="preserve">Peer results reporting just before Aon have been mixed, offering some cross-currents:</w:t>
      </w:r>
    </w:p>
    <w:p>
      <w:pPr>
        <w:pStyle w:val="Compact"/>
        <w:numPr>
          <w:ilvl w:val="0"/>
          <w:numId w:val="1002"/>
        </w:numPr>
      </w:pPr>
      <w:r>
        <w:rPr>
          <w:b/>
          <w:bCs/>
        </w:rPr>
        <w:t xml:space="preserve">Marsh McLennan (MMC)</w:t>
      </w:r>
      <w:r>
        <w:t xml:space="preserve"> </w:t>
      </w:r>
      <w:r>
        <w:t xml:space="preserve">posted a solid quarter, with revenue growth of 6% and underlying (organic) revenue growth of 5%, adjusted EPS up 9% to $2.96 — broadly in line with Aon's own mid-single-digit growth algorithm.</w:t>
      </w:r>
    </w:p>
    <w:p>
      <w:pPr>
        <w:pStyle w:val="Compact"/>
        <w:numPr>
          <w:ilvl w:val="0"/>
          <w:numId w:val="1002"/>
        </w:numPr>
      </w:pPr>
      <w:r>
        <w:rPr>
          <w:b/>
          <w:bCs/>
        </w:rPr>
        <w:t xml:space="preserve">Brown &amp; Brown (BRO)</w:t>
      </w:r>
      <w:r>
        <w:t xml:space="preserve"> </w:t>
      </w:r>
      <w:r>
        <w:t xml:space="preserve">disappointed, with EPS of $1.07 in line with estimates but organic revenue declining 0.7% versus consensus expectations for +0.5% growth — a potential yellow flag for smaller/middle-market-oriented brokers, though Aon's client mix skews more toward global/large accounts and Commercial Risk, which has been the standout segment.</w:t>
      </w:r>
    </w:p>
    <w:p>
      <w:r>
        <w:pict>
          <v:rect style="width:0;height:1.5pt" o:hralign="center" o:hrstd="t" o:hr="t"/>
        </w:pict>
      </w:r>
    </w:p>
    <w:bookmarkEnd w:id="20"/>
    <w:bookmarkStart w:id="21" w:name="bull--bear-framework"/>
    <w:p>
      <w:pPr>
        <w:pStyle w:val="Heading2"/>
      </w:pPr>
      <w:r>
        <w:t xml:space="preserve">Bull / Bear Framework</w:t>
      </w:r>
    </w:p>
    <w:p>
      <w:pPr>
        <w:pStyle w:val="FirstParagraph"/>
      </w:pPr>
      <w:r>
        <w:rPr>
          <w:b/>
          <w:bCs/>
        </w:rPr>
        <w:t xml:space="preserve">Bull case:</w:t>
      </w:r>
      <w:r>
        <w:t xml:space="preserve"> </w:t>
      </w:r>
      <w:r>
        <w:t xml:space="preserve">Fourth (potentially fifth) straight quarter of 6%+ Commercial Risk growth, data-center/construction pipeline running 3x last year's pace, NFP integration costs rolling off, restructuring savings compounding, buyback pace stepped up, and a long beat streak against consensus — all supporting reaffirmed full-year guidance of mid-single-digit+ organic growth, 70–80bps margin expansion, and double-digit free cash flow growth.</w:t>
      </w:r>
    </w:p>
    <w:p>
      <w:pPr>
        <w:pStyle w:val="BodyText"/>
      </w:pPr>
      <w:r>
        <w:rPr>
          <w:b/>
          <w:bCs/>
        </w:rPr>
        <w:t xml:space="preserve">Bear case:</w:t>
      </w:r>
      <w:r>
        <w:t xml:space="preserve"> </w:t>
      </w:r>
      <w:r>
        <w:t xml:space="preserve">Reinsurance and property pricing pressure (15–20% rate declines at April renewals) intensifying into Q2's peak property season, soft Talent Solutions and US Wealth advisory demand persisting, fiduciary investment income continuing to decline as rates come down, elevated interest expense, and a valuation that some sell-side analysts (Piper Sandler, BofA) view as already reflecting a lot of good news after the stock's run to 52-week highs into the print.</w:t>
      </w:r>
    </w:p>
    <w:p>
      <w:r>
        <w:pict>
          <v:rect style="width:0;height:1.5pt" o:hralign="center" o:hrstd="t" o:hr="t"/>
        </w:pict>
      </w:r>
    </w:p>
    <w:bookmarkEnd w:id="21"/>
    <w:bookmarkStart w:id="22" w:name="bottom-line"/>
    <w:p>
      <w:pPr>
        <w:pStyle w:val="Heading2"/>
      </w:pPr>
      <w:r>
        <w:t xml:space="preserve">Bottom Line</w:t>
      </w:r>
    </w:p>
    <w:p>
      <w:pPr>
        <w:pStyle w:val="FirstParagraph"/>
      </w:pPr>
      <w:r>
        <w:t xml:space="preserve">Going into tomorrow's report, the key question isn't whether Aon delivers "another good quarter" — the company has a clean track record of hitting its mid-single-digit organic growth algorithm and beating consensus EPS — but whether</w:t>
      </w:r>
      <w:r>
        <w:t xml:space="preserve"> </w:t>
      </w:r>
      <w:r>
        <w:rPr>
          <w:b/>
          <w:bCs/>
        </w:rPr>
        <w:t xml:space="preserve">margin expansion, Reinsurance/property pricing dynamics, and capital deployment commentary</w:t>
      </w:r>
      <w:r>
        <w:t xml:space="preserve"> </w:t>
      </w:r>
      <w:r>
        <w:t xml:space="preserve">are strong enough to justify a stock that has already re-rated meaningfully higher into the print. Watch Commercial Risk organic growth (sustaining 6%+), Reinsurance/property net market impact, buyback pace versus the "at least $1 billion" full-year target, and any update to full-year guidance for the real signal in the results.</w:t>
      </w:r>
    </w:p>
    <w:bookmarkEnd w:id="22"/>
    <w:bookmarkEnd w:id="23"/>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2026-07-29T00:47:33Z</dcterms:created>
  <dcterms:modified xsi:type="dcterms:W3CDTF">2026-07-29T00:47:33Z</dcterms:modified>
</cp:coreProperties>
</file>

<file path=docProps/custom.xml><?xml version="1.0" encoding="utf-8"?>
<Properties xmlns="http://schemas.openxmlformats.org/officeDocument/2006/custom-properties" xmlns:vt="http://schemas.openxmlformats.org/officeDocument/2006/docPropsVTypes"/>
</file>