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aon-nyse-aon--q2-2026-earnings-preview"/>
    <w:p>
      <w:pPr>
        <w:pStyle w:val="Heading1"/>
      </w:pPr>
      <w:r>
        <w:t xml:space="preserve">Aon (NYSE: AON) — Q2 2026 Earnings Preview</w:t>
      </w:r>
    </w:p>
    <w:p>
      <w:pPr>
        <w:pStyle w:val="BlockText"/>
      </w:pPr>
      <w:r>
        <w:rPr>
          <w:b/>
          <w:bCs/>
        </w:rPr>
        <w:t xml:space="preserve">Calendar note:</w:t>
      </w:r>
      <w:r>
        <w:t xml:space="preserve"> </w:t>
      </w:r>
      <w:r>
        <w:t xml:space="preserve">Aon’s official investor-relations calendar schedules the Q2 results and conference call for</w:t>
      </w:r>
      <w:r>
        <w:t xml:space="preserve"> </w:t>
      </w:r>
      <w:r>
        <w:rPr>
          <w:b/>
          <w:bCs/>
        </w:rPr>
        <w:t xml:space="preserve">Wednesday, July 29, 2026, at 8:30 a.m. ET</w:t>
      </w:r>
      <w:r>
        <w:t xml:space="preserve">. Relative to today’s date, the event is</w:t>
      </w:r>
      <w:r>
        <w:t xml:space="preserve"> </w:t>
      </w:r>
      <w:r>
        <w:rPr>
          <w:b/>
          <w:bCs/>
        </w:rPr>
        <w:t xml:space="preserve">today rather than tomorrow</w:t>
      </w:r>
      <w:r>
        <w:t xml:space="preserve">. (</w:t>
      </w:r>
      <w:hyperlink r:id="rId9">
        <w:r>
          <w:rPr>
            <w:rStyle w:val="Hyperlink"/>
          </w:rPr>
          <w:t xml:space="preserve">ir.aon.com</w:t>
        </w:r>
      </w:hyperlink>
      <w:r>
        <w:t xml:space="preserve">)</w:t>
      </w:r>
    </w:p>
    <w:bookmarkStart w:id="11" w:name="investment-view-going-into-the-report"/>
    <w:p>
      <w:pPr>
        <w:pStyle w:val="Heading2"/>
      </w:pPr>
      <w:r>
        <w:t xml:space="preserve">Investment view going into the report</w:t>
      </w:r>
    </w:p>
    <w:p>
      <w:pPr>
        <w:pStyle w:val="FirstParagraph"/>
      </w:pPr>
      <w:r>
        <w:t xml:space="preserve">Aon enters Q2 with considerable operating momentum—but also a meaningfully higher share price and, therefore, a higher bar.</w:t>
      </w:r>
    </w:p>
    <w:p>
      <w:pPr>
        <w:pStyle w:val="BodyText"/>
      </w:pPr>
      <w:r>
        <w:t xml:space="preserve">The core debate is not whether reported revenue will look strong. Divestitures, particularly the sale of NFP Wealth, will distort reported comparisons. The more important questions are:</w:t>
      </w:r>
    </w:p>
    <w:p>
      <w:pPr>
        <w:pStyle w:val="Compact"/>
        <w:numPr>
          <w:ilvl w:val="0"/>
          <w:numId w:val="1001"/>
        </w:numPr>
      </w:pPr>
      <w:r>
        <w:t xml:space="preserve">Can Aon sustain</w:t>
      </w:r>
      <w:r>
        <w:t xml:space="preserve"> </w:t>
      </w:r>
      <w:r>
        <w:rPr>
          <w:b/>
          <w:bCs/>
        </w:rPr>
        <w:t xml:space="preserve">mid-single-digit or better organic growth</w:t>
      </w:r>
      <w:r>
        <w:t xml:space="preserve"> </w:t>
      </w:r>
      <w:r>
        <w:t xml:space="preserve">despite softer commercial and reinsurance pricing?</w:t>
      </w:r>
    </w:p>
    <w:p>
      <w:pPr>
        <w:pStyle w:val="Compact"/>
        <w:numPr>
          <w:ilvl w:val="0"/>
          <w:numId w:val="1001"/>
        </w:numPr>
      </w:pPr>
      <w:r>
        <w:t xml:space="preserve">Can Commercial Risk remain above the industry’s underlying growth rate?</w:t>
      </w:r>
    </w:p>
    <w:p>
      <w:pPr>
        <w:pStyle w:val="Compact"/>
        <w:numPr>
          <w:ilvl w:val="0"/>
          <w:numId w:val="1001"/>
        </w:numPr>
      </w:pPr>
      <w:r>
        <w:t xml:space="preserve">Will restructuring, NFP integration and AI-enabled productivity continue to produce</w:t>
      </w:r>
      <w:r>
        <w:t xml:space="preserve"> </w:t>
      </w:r>
      <w:r>
        <w:rPr>
          <w:b/>
          <w:bCs/>
        </w:rPr>
        <w:t xml:space="preserve">70–80 basis points of annual margin expansion</w:t>
      </w:r>
      <w:r>
        <w:t xml:space="preserve">?</w:t>
      </w:r>
    </w:p>
    <w:p>
      <w:pPr>
        <w:pStyle w:val="Compact"/>
        <w:numPr>
          <w:ilvl w:val="0"/>
          <w:numId w:val="1001"/>
        </w:numPr>
      </w:pPr>
      <w:r>
        <w:t xml:space="preserve">Does free cash flow support continued acquisitions and buybacks?</w:t>
      </w:r>
    </w:p>
    <w:p>
      <w:pPr>
        <w:pStyle w:val="Compact"/>
        <w:numPr>
          <w:ilvl w:val="0"/>
          <w:numId w:val="1001"/>
        </w:numPr>
      </w:pPr>
      <w:r>
        <w:t xml:space="preserve">Does management provide a credible bridge from the final year of the 3x3 Plan into the next strategic phase?</w:t>
      </w:r>
    </w:p>
    <w:p>
      <w:pPr>
        <w:pStyle w:val="FirstParagraph"/>
      </w:pPr>
      <w:r>
        <w:t xml:space="preserve">The Q1 evidence was encouraging: 5% organic growth, 70 basis points of adjusted margin expansion, 14% adjusted EPS growth and sharply higher free cash flow. Aon subsequently reiterated at its June investor conference that its growth investments, retention and new-business trends remained strong. (</w:t>
      </w:r>
      <w:hyperlink r:id="rId10">
        <w:r>
          <w:rPr>
            <w:rStyle w:val="Hyperlink"/>
          </w:rPr>
          <w:t xml:space="preserve">ir.aon.com</w:t>
        </w:r>
      </w:hyperlink>
      <w:r>
        <w:t xml:space="preserve">)</w:t>
      </w:r>
    </w:p>
    <w:bookmarkEnd w:id="11"/>
    <w:bookmarkStart w:id="12" w:name="my-q2-scorecard"/>
    <w:p>
      <w:pPr>
        <w:pStyle w:val="Heading2"/>
      </w:pPr>
      <w:r>
        <w:t xml:space="preserve">My Q2 scorecard</w:t>
      </w:r>
    </w:p>
    <w:p>
      <w:pPr>
        <w:pStyle w:val="FirstParagraph"/>
      </w:pPr>
      <w:r>
        <w:t xml:space="preserve">These are operating benchmarks rather than third-party consensus estimates.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2025 baseline</w:t>
            </w:r>
          </w:p>
        </w:tc>
        <w:tc>
          <w:tcPr/>
          <w:p>
            <w:pPr>
              <w:pStyle w:val="Compact"/>
              <w:jc w:val="right"/>
            </w:pPr>
            <w:r>
              <w:t xml:space="preserve">Constructive Q2 2026 outcome</w:t>
            </w:r>
          </w:p>
        </w:tc>
      </w:tr>
      <w:tr>
        <w:tc>
          <w:tcPr/>
          <w:p>
            <w:pPr>
              <w:pStyle w:val="Compact"/>
            </w:pPr>
            <w:r>
              <w:t xml:space="preserve">Organic revenue growth</w:t>
            </w:r>
          </w:p>
        </w:tc>
        <w:tc>
          <w:tcPr/>
          <w:p>
            <w:pPr>
              <w:pStyle w:val="Compact"/>
              <w:jc w:val="right"/>
            </w:pPr>
            <w:r>
              <w:t xml:space="preserve">6%</w:t>
            </w:r>
          </w:p>
        </w:tc>
        <w:tc>
          <w:tcPr/>
          <w:p>
            <w:pPr>
              <w:pStyle w:val="Compact"/>
              <w:jc w:val="right"/>
            </w:pPr>
            <w:r>
              <w:rPr>
                <w:b/>
                <w:bCs/>
              </w:rPr>
              <w:t xml:space="preserve">5% or better</w:t>
            </w:r>
          </w:p>
        </w:tc>
      </w:tr>
      <w:tr>
        <w:tc>
          <w:tcPr/>
          <w:p>
            <w:pPr>
              <w:pStyle w:val="Compact"/>
            </w:pPr>
            <w:r>
              <w:t xml:space="preserve">Commercial Risk organic growth</w:t>
            </w:r>
          </w:p>
        </w:tc>
        <w:tc>
          <w:tcPr/>
          <w:p>
            <w:pPr>
              <w:pStyle w:val="Compact"/>
              <w:jc w:val="right"/>
            </w:pPr>
            <w:r>
              <w:t xml:space="preserve">6%</w:t>
            </w:r>
          </w:p>
        </w:tc>
        <w:tc>
          <w:tcPr/>
          <w:p>
            <w:pPr>
              <w:pStyle w:val="Compact"/>
              <w:jc w:val="right"/>
            </w:pPr>
            <w:r>
              <w:rPr>
                <w:b/>
                <w:bCs/>
              </w:rPr>
              <w:t xml:space="preserve">6%+</w:t>
            </w:r>
          </w:p>
        </w:tc>
      </w:tr>
      <w:tr>
        <w:tc>
          <w:tcPr/>
          <w:p>
            <w:pPr>
              <w:pStyle w:val="Compact"/>
            </w:pPr>
            <w:r>
              <w:t xml:space="preserve">Reinsurance organic growth</w:t>
            </w:r>
          </w:p>
        </w:tc>
        <w:tc>
          <w:tcPr/>
          <w:p>
            <w:pPr>
              <w:pStyle w:val="Compact"/>
              <w:jc w:val="right"/>
            </w:pPr>
            <w:r>
              <w:t xml:space="preserve">6%</w:t>
            </w:r>
          </w:p>
        </w:tc>
        <w:tc>
          <w:tcPr/>
          <w:p>
            <w:pPr>
              <w:pStyle w:val="Compact"/>
              <w:jc w:val="right"/>
            </w:pPr>
            <w:r>
              <w:rPr>
                <w:b/>
                <w:bCs/>
              </w:rPr>
              <w:t xml:space="preserve">3–5%</w:t>
            </w:r>
            <w:r>
              <w:t xml:space="preserve">, with supportive H2 commentary</w:t>
            </w:r>
          </w:p>
        </w:tc>
      </w:tr>
      <w:tr>
        <w:tc>
          <w:tcPr/>
          <w:p>
            <w:pPr>
              <w:pStyle w:val="Compact"/>
            </w:pPr>
            <w:r>
              <w:t xml:space="preserve">Health organic growth</w:t>
            </w:r>
          </w:p>
        </w:tc>
        <w:tc>
          <w:tcPr/>
          <w:p>
            <w:pPr>
              <w:pStyle w:val="Compact"/>
              <w:jc w:val="right"/>
            </w:pPr>
            <w:r>
              <w:t xml:space="preserve">6%</w:t>
            </w:r>
          </w:p>
        </w:tc>
        <w:tc>
          <w:tcPr/>
          <w:p>
            <w:pPr>
              <w:pStyle w:val="Compact"/>
              <w:jc w:val="right"/>
            </w:pPr>
            <w:r>
              <w:rPr>
                <w:b/>
                <w:bCs/>
              </w:rPr>
              <w:t xml:space="preserve">4–6%</w:t>
            </w:r>
          </w:p>
        </w:tc>
      </w:tr>
      <w:tr>
        <w:tc>
          <w:tcPr/>
          <w:p>
            <w:pPr>
              <w:pStyle w:val="Compact"/>
            </w:pPr>
            <w:r>
              <w:t xml:space="preserve">Wealth organic growth</w:t>
            </w:r>
          </w:p>
        </w:tc>
        <w:tc>
          <w:tcPr/>
          <w:p>
            <w:pPr>
              <w:pStyle w:val="Compact"/>
              <w:jc w:val="right"/>
            </w:pPr>
            <w:r>
              <w:t xml:space="preserve">3%</w:t>
            </w:r>
          </w:p>
        </w:tc>
        <w:tc>
          <w:tcPr/>
          <w:p>
            <w:pPr>
              <w:pStyle w:val="Compact"/>
              <w:jc w:val="right"/>
            </w:pPr>
            <w:r>
              <w:rPr>
                <w:b/>
                <w:bCs/>
              </w:rPr>
              <w:t xml:space="preserve">Mid-single digits</w:t>
            </w:r>
            <w:r>
              <w:t xml:space="preserve">, as management previously indicated</w:t>
            </w:r>
          </w:p>
        </w:tc>
      </w:tr>
      <w:tr>
        <w:tc>
          <w:tcPr/>
          <w:p>
            <w:pPr>
              <w:pStyle w:val="Compact"/>
            </w:pPr>
            <w:r>
              <w:t xml:space="preserve">Adjusted operating margin</w:t>
            </w:r>
          </w:p>
        </w:tc>
        <w:tc>
          <w:tcPr/>
          <w:p>
            <w:pPr>
              <w:pStyle w:val="Compact"/>
              <w:jc w:val="right"/>
            </w:pPr>
            <w:r>
              <w:t xml:space="preserve">28.2%</w:t>
            </w:r>
          </w:p>
        </w:tc>
        <w:tc>
          <w:tcPr/>
          <w:p>
            <w:pPr>
              <w:pStyle w:val="Compact"/>
              <w:jc w:val="right"/>
            </w:pPr>
            <w:r>
              <w:t xml:space="preserve">Approximately</w:t>
            </w:r>
            <w:r>
              <w:t xml:space="preserve"> </w:t>
            </w:r>
            <w:r>
              <w:rPr>
                <w:b/>
                <w:bCs/>
              </w:rPr>
              <w:t xml:space="preserve">28.9–29.0% or better</w:t>
            </w:r>
          </w:p>
        </w:tc>
      </w:tr>
      <w:tr>
        <w:tc>
          <w:tcPr/>
          <w:p>
            <w:pPr>
              <w:pStyle w:val="Compact"/>
            </w:pPr>
            <w:r>
              <w:t xml:space="preserve">H1 free cash flow</w:t>
            </w:r>
          </w:p>
        </w:tc>
        <w:tc>
          <w:tcPr/>
          <w:p>
            <w:pPr>
              <w:pStyle w:val="Compact"/>
              <w:jc w:val="right"/>
            </w:pPr>
            <w:r>
              <w:t xml:space="preserve">$816 million</w:t>
            </w:r>
          </w:p>
        </w:tc>
        <w:tc>
          <w:tcPr/>
          <w:p>
            <w:pPr>
              <w:pStyle w:val="Compact"/>
              <w:jc w:val="right"/>
            </w:pPr>
            <w:r>
              <w:t xml:space="preserve">Roughly</w:t>
            </w:r>
            <w:r>
              <w:t xml:space="preserve"> </w:t>
            </w:r>
            <w:r>
              <w:rPr>
                <w:b/>
                <w:bCs/>
              </w:rPr>
              <w:t xml:space="preserve">$900 million or better</w:t>
            </w:r>
          </w:p>
        </w:tc>
      </w:tr>
      <w:tr>
        <w:tc>
          <w:tcPr/>
          <w:p>
            <w:pPr>
              <w:pStyle w:val="Compact"/>
            </w:pPr>
            <w:r>
              <w:t xml:space="preserve">FY organic-growth outlook</w:t>
            </w:r>
          </w:p>
        </w:tc>
        <w:tc>
          <w:tcPr/>
          <w:p>
            <w:pPr>
              <w:pStyle w:val="Compact"/>
              <w:jc w:val="right"/>
            </w:pPr>
            <w:r>
              <w:t xml:space="preserve">Mid-single-digit or greater</w:t>
            </w:r>
          </w:p>
        </w:tc>
        <w:tc>
          <w:tcPr/>
          <w:p>
            <w:pPr>
              <w:pStyle w:val="Compact"/>
              <w:jc w:val="right"/>
            </w:pPr>
            <w:r>
              <w:rPr>
                <w:b/>
                <w:bCs/>
              </w:rPr>
              <w:t xml:space="preserve">Reaffirmed</w:t>
            </w:r>
          </w:p>
        </w:tc>
      </w:tr>
      <w:tr>
        <w:tc>
          <w:tcPr/>
          <w:p>
            <w:pPr>
              <w:pStyle w:val="Compact"/>
            </w:pPr>
            <w:r>
              <w:t xml:space="preserve">FY margin-expansion outlook</w:t>
            </w:r>
          </w:p>
        </w:tc>
        <w:tc>
          <w:tcPr/>
          <w:p>
            <w:pPr>
              <w:pStyle w:val="Compact"/>
              <w:jc w:val="right"/>
            </w:pPr>
            <w:r>
              <w:t xml:space="preserve">70–80 bps</w:t>
            </w:r>
          </w:p>
        </w:tc>
        <w:tc>
          <w:tcPr/>
          <w:p>
            <w:pPr>
              <w:pStyle w:val="Compact"/>
              <w:jc w:val="right"/>
            </w:pPr>
            <w:r>
              <w:rPr>
                <w:b/>
                <w:bCs/>
              </w:rPr>
              <w:t xml:space="preserve">Reaffirmed</w:t>
            </w:r>
          </w:p>
        </w:tc>
      </w:tr>
      <w:tr>
        <w:tc>
          <w:tcPr/>
          <w:p>
            <w:pPr>
              <w:pStyle w:val="Compact"/>
            </w:pPr>
            <w:r>
              <w:t xml:space="preserve">FY free-cash-flow outlook</w:t>
            </w:r>
          </w:p>
        </w:tc>
        <w:tc>
          <w:tcPr/>
          <w:p>
            <w:pPr>
              <w:pStyle w:val="Compact"/>
              <w:jc w:val="right"/>
            </w:pPr>
            <w:r>
              <w:t xml:space="preserve">Double-digit growth</w:t>
            </w:r>
          </w:p>
        </w:tc>
        <w:tc>
          <w:tcPr/>
          <w:p>
            <w:pPr>
              <w:pStyle w:val="Compact"/>
              <w:jc w:val="right"/>
            </w:pPr>
            <w:r>
              <w:rPr>
                <w:b/>
                <w:bCs/>
              </w:rPr>
              <w:t xml:space="preserve">Reaffirmed</w:t>
            </w:r>
          </w:p>
        </w:tc>
      </w:tr>
    </w:tbl>
    <w:p>
      <w:pPr>
        <w:pStyle w:val="BodyText"/>
      </w:pPr>
      <w:r>
        <w:t xml:space="preserve">A 5% organic result accompanied by solid margins and unchanged guidance would be acceptable. A 6% result with strength across Commercial Risk and Human Capital would constitute a cleaner beat.</w:t>
      </w:r>
    </w:p>
    <w:bookmarkEnd w:id="12"/>
    <w:bookmarkStart w:id="18" w:name="the-five-issues-that-matter-most"/>
    <w:p>
      <w:pPr>
        <w:pStyle w:val="Heading2"/>
      </w:pPr>
      <w:r>
        <w:t xml:space="preserve">The five issues that matter most</w:t>
      </w:r>
    </w:p>
    <w:bookmarkStart w:id="13" w:name="Xc7a3488887d15de42f75cc5690a20509e779b53"/>
    <w:p>
      <w:pPr>
        <w:pStyle w:val="Heading3"/>
      </w:pPr>
      <w:r>
        <w:t xml:space="preserve">1. Commercial Risk must remain the growth engine</w:t>
      </w:r>
    </w:p>
    <w:p>
      <w:pPr>
        <w:pStyle w:val="FirstParagraph"/>
      </w:pPr>
      <w:r>
        <w:t xml:space="preserve">Commercial Risk was the standout in Q1:</w:t>
      </w:r>
    </w:p>
    <w:p>
      <w:pPr>
        <w:pStyle w:val="Compact"/>
        <w:numPr>
          <w:ilvl w:val="0"/>
          <w:numId w:val="1002"/>
        </w:numPr>
      </w:pPr>
      <w:r>
        <w:t xml:space="preserve">7% organic growth.</w:t>
      </w:r>
    </w:p>
    <w:p>
      <w:pPr>
        <w:pStyle w:val="Compact"/>
        <w:numPr>
          <w:ilvl w:val="0"/>
          <w:numId w:val="1002"/>
        </w:numPr>
      </w:pPr>
      <w:r>
        <w:t xml:space="preserve">Fourth consecutive quarter at 6% or better.</w:t>
      </w:r>
    </w:p>
    <w:p>
      <w:pPr>
        <w:pStyle w:val="Compact"/>
        <w:numPr>
          <w:ilvl w:val="0"/>
          <w:numId w:val="1002"/>
        </w:numPr>
      </w:pPr>
      <w:r>
        <w:t xml:space="preserve">Double-digit North American growth.</w:t>
      </w:r>
    </w:p>
    <w:p>
      <w:pPr>
        <w:pStyle w:val="Compact"/>
        <w:numPr>
          <w:ilvl w:val="0"/>
          <w:numId w:val="1002"/>
        </w:numPr>
      </w:pPr>
      <w:r>
        <w:t xml:space="preserve">More than 12 percentage points of new-business contribution.</w:t>
      </w:r>
    </w:p>
    <w:p>
      <w:pPr>
        <w:pStyle w:val="Compact"/>
        <w:numPr>
          <w:ilvl w:val="0"/>
          <w:numId w:val="1002"/>
        </w:numPr>
      </w:pPr>
      <w:r>
        <w:t xml:space="preserve">Strength in core property and casualty, construction, M&amp;A services and specialty programs.</w:t>
      </w:r>
    </w:p>
    <w:p>
      <w:pPr>
        <w:pStyle w:val="FirstParagraph"/>
      </w:pPr>
      <w:r>
        <w:t xml:space="preserve">Management has attributed this performance to new revenue-producing hires, better client retention, expanded mandates and its analytical tools—not simply higher insurance pricing. That distinction is important because large-property rates have been falling.</w:t>
      </w:r>
    </w:p>
    <w:p>
      <w:pPr>
        <w:pStyle w:val="BodyText"/>
      </w:pPr>
      <w:r>
        <w:t xml:space="preserve">The central Q2 test is whether Commercial Risk can again produce approximately 6–7% organic growth despite:</w:t>
      </w:r>
    </w:p>
    <w:p>
      <w:pPr>
        <w:pStyle w:val="Compact"/>
        <w:numPr>
          <w:ilvl w:val="0"/>
          <w:numId w:val="1003"/>
        </w:numPr>
      </w:pPr>
      <w:r>
        <w:t xml:space="preserve">Lower commercial-property pricing.</w:t>
      </w:r>
    </w:p>
    <w:p>
      <w:pPr>
        <w:pStyle w:val="Compact"/>
        <w:numPr>
          <w:ilvl w:val="0"/>
          <w:numId w:val="1003"/>
        </w:numPr>
      </w:pPr>
      <w:r>
        <w:t xml:space="preserve">Tougher comparisons following 6% growth in Q2 2025.</w:t>
      </w:r>
    </w:p>
    <w:p>
      <w:pPr>
        <w:pStyle w:val="Compact"/>
        <w:numPr>
          <w:ilvl w:val="0"/>
          <w:numId w:val="1003"/>
        </w:numPr>
      </w:pPr>
      <w:r>
        <w:t xml:space="preserve">Potential normalization in M&amp;A-related revenue.</w:t>
      </w:r>
    </w:p>
    <w:p>
      <w:pPr>
        <w:pStyle w:val="Compact"/>
        <w:numPr>
          <w:ilvl w:val="0"/>
          <w:numId w:val="1003"/>
        </w:numPr>
      </w:pPr>
      <w:r>
        <w:t xml:space="preserve">The possibility that rate pressure reduces commissions faster than exposure and new-business growth can compensate.</w:t>
      </w:r>
    </w:p>
    <w:p>
      <w:pPr>
        <w:pStyle w:val="FirstParagraph"/>
      </w:pPr>
      <w:r>
        <w:t xml:space="preserve">A result below 5% would raise questions about whether Q1’s outperformance was sustainable. Another 6%+ result would reinforce management’s claim that Aon is gaining share through talent, analytics and deeper client penetration.</w:t>
      </w:r>
    </w:p>
    <w:bookmarkEnd w:id="13"/>
    <w:bookmarkStart w:id="14" w:name="X129325a7dae879e7f41cc8ecc7cf3ce52552f1e"/>
    <w:p>
      <w:pPr>
        <w:pStyle w:val="Heading3"/>
      </w:pPr>
      <w:r>
        <w:t xml:space="preserve">2. Reinsurance is the principal near-term risk</w:t>
      </w:r>
    </w:p>
    <w:p>
      <w:pPr>
        <w:pStyle w:val="FirstParagraph"/>
      </w:pPr>
      <w:r>
        <w:t xml:space="preserve">Reinsurance grew 4% organically in Q1, but management warned that April renewals showed approximately:</w:t>
      </w:r>
    </w:p>
    <w:p>
      <w:pPr>
        <w:pStyle w:val="Compact"/>
        <w:numPr>
          <w:ilvl w:val="0"/>
          <w:numId w:val="1004"/>
        </w:numPr>
      </w:pPr>
      <w:r>
        <w:rPr>
          <w:b/>
          <w:bCs/>
        </w:rPr>
        <w:t xml:space="preserve">15–20% rate declines</w:t>
      </w:r>
      <w:r>
        <w:t xml:space="preserve"> </w:t>
      </w:r>
      <w:r>
        <w:t xml:space="preserve">in the U.S. and Japan.</w:t>
      </w:r>
    </w:p>
    <w:p>
      <w:pPr>
        <w:pStyle w:val="Compact"/>
        <w:numPr>
          <w:ilvl w:val="0"/>
          <w:numId w:val="1004"/>
        </w:numPr>
      </w:pPr>
      <w:r>
        <w:t xml:space="preserve">Roughly</w:t>
      </w:r>
      <w:r>
        <w:t xml:space="preserve"> </w:t>
      </w:r>
      <w:r>
        <w:rPr>
          <w:b/>
          <w:bCs/>
        </w:rPr>
        <w:t xml:space="preserve">10% higher client demand</w:t>
      </w:r>
      <w:r>
        <w:t xml:space="preserve">.</w:t>
      </w:r>
    </w:p>
    <w:p>
      <w:pPr>
        <w:pStyle w:val="Compact"/>
        <w:numPr>
          <w:ilvl w:val="0"/>
          <w:numId w:val="1004"/>
        </w:numPr>
      </w:pPr>
      <w:r>
        <w:t xml:space="preserve">Continued pressure on treaty revenue, partly offset by new accounts, facultative placements and insurance-linked securities.</w:t>
      </w:r>
    </w:p>
    <w:p>
      <w:pPr>
        <w:pStyle w:val="FirstParagraph"/>
      </w:pPr>
      <w:r>
        <w:t xml:space="preserve">This makes Reinsurance the most likely drag in Q2. The quarter also faces a demanding comparison against 6% organic growth last year.</w:t>
      </w:r>
    </w:p>
    <w:p>
      <w:pPr>
        <w:pStyle w:val="BodyText"/>
      </w:pPr>
      <w:r>
        <w:t xml:space="preserve">Investors should not necessarily treat low-single-digit Q2 growth as a thesis break. Management previously signaled that the business would be more dependent on a stronger second half, including international facultative placements and Strategy and Technology Group demand.</w:t>
      </w:r>
    </w:p>
    <w:p>
      <w:pPr>
        <w:pStyle w:val="BodyText"/>
      </w:pPr>
      <w:r>
        <w:t xml:space="preserve">What would be more concerning is:</w:t>
      </w:r>
    </w:p>
    <w:p>
      <w:pPr>
        <w:pStyle w:val="Compact"/>
        <w:numPr>
          <w:ilvl w:val="0"/>
          <w:numId w:val="1005"/>
        </w:numPr>
      </w:pPr>
      <w:r>
        <w:t xml:space="preserve">Organic growth near zero.</w:t>
      </w:r>
    </w:p>
    <w:p>
      <w:pPr>
        <w:pStyle w:val="Compact"/>
        <w:numPr>
          <w:ilvl w:val="0"/>
          <w:numId w:val="1005"/>
        </w:numPr>
      </w:pPr>
      <w:r>
        <w:t xml:space="preserve">Weaker new-business wins.</w:t>
      </w:r>
    </w:p>
    <w:p>
      <w:pPr>
        <w:pStyle w:val="Compact"/>
        <w:numPr>
          <w:ilvl w:val="0"/>
          <w:numId w:val="1005"/>
        </w:numPr>
      </w:pPr>
      <w:r>
        <w:t xml:space="preserve">A reduction in full-year Reinsurance expectations.</w:t>
      </w:r>
    </w:p>
    <w:p>
      <w:pPr>
        <w:pStyle w:val="Compact"/>
        <w:numPr>
          <w:ilvl w:val="0"/>
          <w:numId w:val="1005"/>
        </w:numPr>
      </w:pPr>
      <w:r>
        <w:t xml:space="preserve">Evidence that pricing pressure is spreading beyond treaty renewals.</w:t>
      </w:r>
    </w:p>
    <w:p>
      <w:pPr>
        <w:pStyle w:val="Compact"/>
        <w:numPr>
          <w:ilvl w:val="0"/>
          <w:numId w:val="1005"/>
        </w:numPr>
      </w:pPr>
      <w:r>
        <w:t xml:space="preserve">Commentary suggesting the expected H2 acceleration has been delayed.</w:t>
      </w:r>
    </w:p>
    <w:p>
      <w:pPr>
        <w:pStyle w:val="FirstParagraph"/>
      </w:pPr>
      <w:r>
        <w:t xml:space="preserve">Conversely, 5% or better growth would be a meaningful upside surprise.</w:t>
      </w:r>
    </w:p>
    <w:bookmarkEnd w:id="14"/>
    <w:bookmarkStart w:id="15" w:name="X1fae54f8929f6c8cb5ecd86f2b477cdace2c91f"/>
    <w:p>
      <w:pPr>
        <w:pStyle w:val="Heading3"/>
      </w:pPr>
      <w:r>
        <w:t xml:space="preserve">3. Human Capital needs to improve</w:t>
      </w:r>
    </w:p>
    <w:p>
      <w:pPr>
        <w:pStyle w:val="FirstParagraph"/>
      </w:pPr>
      <w:r>
        <w:t xml:space="preserve">Human Capital was mixed in Q1:</w:t>
      </w:r>
    </w:p>
    <w:p>
      <w:pPr>
        <w:pStyle w:val="Compact"/>
        <w:numPr>
          <w:ilvl w:val="0"/>
          <w:numId w:val="1006"/>
        </w:numPr>
      </w:pPr>
      <w:r>
        <w:rPr>
          <w:b/>
          <w:bCs/>
        </w:rPr>
        <w:t xml:space="preserve">Health:</w:t>
      </w:r>
      <w:r>
        <w:t xml:space="preserve"> </w:t>
      </w:r>
      <w:r>
        <w:t xml:space="preserve">4% organic growth.</w:t>
      </w:r>
    </w:p>
    <w:p>
      <w:pPr>
        <w:pStyle w:val="Compact"/>
        <w:numPr>
          <w:ilvl w:val="0"/>
          <w:numId w:val="1006"/>
        </w:numPr>
      </w:pPr>
      <w:r>
        <w:rPr>
          <w:b/>
          <w:bCs/>
        </w:rPr>
        <w:t xml:space="preserve">Wealth:</w:t>
      </w:r>
      <w:r>
        <w:t xml:space="preserve"> </w:t>
      </w:r>
      <w:r>
        <w:t xml:space="preserve">1% organic growth.</w:t>
      </w:r>
    </w:p>
    <w:p>
      <w:pPr>
        <w:pStyle w:val="Compact"/>
        <w:numPr>
          <w:ilvl w:val="0"/>
          <w:numId w:val="1006"/>
        </w:numPr>
      </w:pPr>
      <w:r>
        <w:t xml:space="preserve">Reported Wealth revenue fell sharply because of the NFP Wealth divestiture.</w:t>
      </w:r>
    </w:p>
    <w:p>
      <w:pPr>
        <w:pStyle w:val="FirstParagraph"/>
      </w:pPr>
      <w:r>
        <w:t xml:space="preserve">Health’s core benefits business remained healthy, particularly internationally, but discretionary Talent Solutions spending was soft. The key question is whether workforce transformation, benefits inflation and analytics demand are beginning to offset that weakness.</w:t>
      </w:r>
    </w:p>
    <w:p>
      <w:pPr>
        <w:pStyle w:val="BodyText"/>
      </w:pPr>
      <w:r>
        <w:t xml:space="preserve">For Wealth, management specifically expected</w:t>
      </w:r>
      <w:r>
        <w:t xml:space="preserve"> </w:t>
      </w:r>
      <w:r>
        <w:rPr>
          <w:b/>
          <w:bCs/>
        </w:rPr>
        <w:t xml:space="preserve">mid-single-digit Q2 organic growth</w:t>
      </w:r>
      <w:r>
        <w:t xml:space="preserve">, supported by the U.K. pension risk-transfer market. Failure to reach that range would be notable because Q1 growth was only 1%.</w:t>
      </w:r>
    </w:p>
    <w:p>
      <w:pPr>
        <w:pStyle w:val="BodyText"/>
      </w:pPr>
      <w:r>
        <w:t xml:space="preserve">Investors should distinguish carefully between:</w:t>
      </w:r>
    </w:p>
    <w:p>
      <w:pPr>
        <w:pStyle w:val="Compact"/>
        <w:numPr>
          <w:ilvl w:val="0"/>
          <w:numId w:val="1007"/>
        </w:numPr>
      </w:pPr>
      <w:r>
        <w:rPr>
          <w:b/>
          <w:bCs/>
        </w:rPr>
        <w:t xml:space="preserve">Reported revenue</w:t>
      </w:r>
      <w:r>
        <w:t xml:space="preserve">, which will be depressed by the NFP Wealth sale; and</w:t>
      </w:r>
    </w:p>
    <w:p>
      <w:pPr>
        <w:pStyle w:val="Compact"/>
        <w:numPr>
          <w:ilvl w:val="0"/>
          <w:numId w:val="1007"/>
        </w:numPr>
      </w:pPr>
      <w:r>
        <w:rPr>
          <w:b/>
          <w:bCs/>
        </w:rPr>
        <w:t xml:space="preserve">Organic growth</w:t>
      </w:r>
      <w:r>
        <w:t xml:space="preserve">, which better reflects the continuing operation.</w:t>
      </w:r>
    </w:p>
    <w:p>
      <w:pPr>
        <w:pStyle w:val="FirstParagraph"/>
      </w:pPr>
      <w:r>
        <w:t xml:space="preserve">A decline in reported Human Capital revenue would not necessarily indicate deteriorating fundamentals.</w:t>
      </w:r>
    </w:p>
    <w:bookmarkEnd w:id="15"/>
    <w:bookmarkStart w:id="16" w:name="Xbf75bc3d1fd466a69795f3a6ad14912104a8b31"/>
    <w:p>
      <w:pPr>
        <w:pStyle w:val="Heading3"/>
      </w:pPr>
      <w:r>
        <w:t xml:space="preserve">4. Margin execution may matter more than the revenue headline</w:t>
      </w:r>
    </w:p>
    <w:p>
      <w:pPr>
        <w:pStyle w:val="FirstParagraph"/>
      </w:pPr>
      <w:r>
        <w:t xml:space="preserve">Aon’s Q1 adjusted operating margin increased 70 basis points to 39.1%, matching the low end of its 70–80 basis-point full-year objective. Q2 2025 adjusted margin was 28.2%, providing a straightforward benchmark.</w:t>
      </w:r>
    </w:p>
    <w:p>
      <w:pPr>
        <w:pStyle w:val="BodyText"/>
      </w:pPr>
      <w:r>
        <w:t xml:space="preserve">The components to watch are:</w:t>
      </w:r>
    </w:p>
    <w:p>
      <w:pPr>
        <w:pStyle w:val="Compact"/>
        <w:numPr>
          <w:ilvl w:val="0"/>
          <w:numId w:val="1008"/>
        </w:numPr>
      </w:pPr>
      <w:r>
        <w:t xml:space="preserve">Incremental restructuring savings.</w:t>
      </w:r>
    </w:p>
    <w:p>
      <w:pPr>
        <w:pStyle w:val="Compact"/>
        <w:numPr>
          <w:ilvl w:val="0"/>
          <w:numId w:val="1008"/>
        </w:numPr>
      </w:pPr>
      <w:r>
        <w:t xml:space="preserve">NFP integration benefits.</w:t>
      </w:r>
    </w:p>
    <w:p>
      <w:pPr>
        <w:pStyle w:val="Compact"/>
        <w:numPr>
          <w:ilvl w:val="0"/>
          <w:numId w:val="1008"/>
        </w:numPr>
      </w:pPr>
      <w:r>
        <w:t xml:space="preserve">Lower technology and operational unit costs through Aon Business Services.</w:t>
      </w:r>
    </w:p>
    <w:p>
      <w:pPr>
        <w:pStyle w:val="Compact"/>
        <w:numPr>
          <w:ilvl w:val="0"/>
          <w:numId w:val="1008"/>
        </w:numPr>
      </w:pPr>
      <w:r>
        <w:t xml:space="preserve">Compensation expense relative to organic growth.</w:t>
      </w:r>
    </w:p>
    <w:p>
      <w:pPr>
        <w:pStyle w:val="Compact"/>
        <w:numPr>
          <w:ilvl w:val="0"/>
          <w:numId w:val="1008"/>
        </w:numPr>
      </w:pPr>
      <w:r>
        <w:t xml:space="preserve">Continued investment in revenue-producing personnel.</w:t>
      </w:r>
    </w:p>
    <w:p>
      <w:pPr>
        <w:pStyle w:val="Compact"/>
        <w:numPr>
          <w:ilvl w:val="0"/>
          <w:numId w:val="1008"/>
        </w:numPr>
      </w:pPr>
      <w:r>
        <w:t xml:space="preserve">AI infrastructure and development costs.</w:t>
      </w:r>
    </w:p>
    <w:p>
      <w:pPr>
        <w:pStyle w:val="Compact"/>
        <w:numPr>
          <w:ilvl w:val="0"/>
          <w:numId w:val="1008"/>
        </w:numPr>
      </w:pPr>
      <w:r>
        <w:t xml:space="preserve">Lower fiduciary investment income.</w:t>
      </w:r>
    </w:p>
    <w:p>
      <w:pPr>
        <w:pStyle w:val="FirstParagraph"/>
      </w:pPr>
      <w:r>
        <w:t xml:space="preserve">Management expects $100 million of restructuring savings in 2026 and $450 million cumulatively by 2027. It has also said that 2026 is the final year of restructuring investment and that NFP integration costs should continue through the end of Q2.</w:t>
      </w:r>
    </w:p>
    <w:p>
      <w:pPr>
        <w:pStyle w:val="BodyText"/>
      </w:pPr>
      <w:r>
        <w:t xml:space="preserve">That creates the potential for a cleaner expense base in the second half. Investors will want confirmation that savings are structural—not dependent on unusually low spending or favorable one-time items.</w:t>
      </w:r>
    </w:p>
    <w:p>
      <w:pPr>
        <w:pStyle w:val="BodyText"/>
      </w:pPr>
      <w:r>
        <w:t xml:space="preserve">Approximately 70–80 basis points of Q2 expansion would keep the full-year framework intact. Organic growth below 5% could still be tolerated if margin expansion and guidance remain strong.</w:t>
      </w:r>
    </w:p>
    <w:bookmarkEnd w:id="16"/>
    <w:bookmarkStart w:id="17" w:name="X83b340c0b660a2686df8d40c3b69b613a45bfab"/>
    <w:p>
      <w:pPr>
        <w:pStyle w:val="Heading3"/>
      </w:pPr>
      <w:r>
        <w:t xml:space="preserve">5. Free cash flow and capital allocation are increasingly important</w:t>
      </w:r>
    </w:p>
    <w:p>
      <w:pPr>
        <w:pStyle w:val="FirstParagraph"/>
      </w:pPr>
      <w:r>
        <w:t xml:space="preserve">Aon generated $363 million of Q1 free cash flow, versus $84 million in the prior-year quarter, and reiterated double-digit full-year growth.</w:t>
      </w:r>
    </w:p>
    <w:p>
      <w:pPr>
        <w:pStyle w:val="BodyText"/>
      </w:pPr>
      <w:r>
        <w:t xml:space="preserve">The Q2 comparison is more demanding:</w:t>
      </w:r>
    </w:p>
    <w:p>
      <w:pPr>
        <w:pStyle w:val="Compact"/>
        <w:numPr>
          <w:ilvl w:val="0"/>
          <w:numId w:val="1009"/>
        </w:numPr>
      </w:pPr>
      <w:r>
        <w:t xml:space="preserve">Q2 2025 free cash flow:</w:t>
      </w:r>
      <w:r>
        <w:t xml:space="preserve"> </w:t>
      </w:r>
      <w:r>
        <w:rPr>
          <w:b/>
          <w:bCs/>
        </w:rPr>
        <w:t xml:space="preserve">$732 million</w:t>
      </w:r>
      <w:r>
        <w:t xml:space="preserve">.</w:t>
      </w:r>
    </w:p>
    <w:p>
      <w:pPr>
        <w:pStyle w:val="Compact"/>
        <w:numPr>
          <w:ilvl w:val="0"/>
          <w:numId w:val="1009"/>
        </w:numPr>
      </w:pPr>
      <w:r>
        <w:t xml:space="preserve">H1 2025 free cash flow:</w:t>
      </w:r>
      <w:r>
        <w:t xml:space="preserve"> </w:t>
      </w:r>
      <w:r>
        <w:rPr>
          <w:b/>
          <w:bCs/>
        </w:rPr>
        <w:t xml:space="preserve">$816 million</w:t>
      </w:r>
      <w:r>
        <w:t xml:space="preserve">.</w:t>
      </w:r>
    </w:p>
    <w:p>
      <w:pPr>
        <w:pStyle w:val="FirstParagraph"/>
      </w:pPr>
      <w:r>
        <w:t xml:space="preserve">To produce at least 10% first-half growth, Aon would need approximately</w:t>
      </w:r>
      <w:r>
        <w:t xml:space="preserve"> </w:t>
      </w:r>
      <w:r>
        <w:rPr>
          <w:b/>
          <w:bCs/>
        </w:rPr>
        <w:t xml:space="preserve">$900 million of H1 free cash flow</w:t>
      </w:r>
      <w:r>
        <w:t xml:space="preserve">, implying roughly $535 million or more in Q2. Working-capital timing can produce quarterly volatility, so management’s explanation and full-year confidence will be as important as the reported figure.</w:t>
      </w:r>
    </w:p>
    <w:p>
      <w:pPr>
        <w:pStyle w:val="BodyText"/>
      </w:pPr>
      <w:r>
        <w:t xml:space="preserve">Capital allocation will also receive scrutiny. In Q1, Aon:</w:t>
      </w:r>
    </w:p>
    <w:p>
      <w:pPr>
        <w:pStyle w:val="Compact"/>
        <w:numPr>
          <w:ilvl w:val="0"/>
          <w:numId w:val="1010"/>
        </w:numPr>
      </w:pPr>
      <w:r>
        <w:t xml:space="preserve">Repurchased $500 million of shares.</w:t>
      </w:r>
    </w:p>
    <w:p>
      <w:pPr>
        <w:pStyle w:val="Compact"/>
        <w:numPr>
          <w:ilvl w:val="0"/>
          <w:numId w:val="1010"/>
        </w:numPr>
      </w:pPr>
      <w:r>
        <w:t xml:space="preserve">Spent $349 million on acquisitions.</w:t>
      </w:r>
    </w:p>
    <w:p>
      <w:pPr>
        <w:pStyle w:val="Compact"/>
        <w:numPr>
          <w:ilvl w:val="0"/>
          <w:numId w:val="1010"/>
        </w:numPr>
      </w:pPr>
      <w:r>
        <w:t xml:space="preserve">Increased its quarterly dividend by 10%.</w:t>
      </w:r>
    </w:p>
    <w:p>
      <w:pPr>
        <w:pStyle w:val="Compact"/>
        <w:numPr>
          <w:ilvl w:val="0"/>
          <w:numId w:val="1010"/>
        </w:numPr>
      </w:pPr>
      <w:r>
        <w:t xml:space="preserve">Reiterated at least $1 billion of 2026 repurchases.</w:t>
      </w:r>
    </w:p>
    <w:p>
      <w:pPr>
        <w:pStyle w:val="FirstParagraph"/>
      </w:pPr>
      <w:r>
        <w:t xml:space="preserve">Management has described the balance sheet as having significant capacity, while emphasizing that acquisitions must meet demanding growth, return and ROIC thresholds.</w:t>
      </w:r>
    </w:p>
    <w:p>
      <w:pPr>
        <w:pStyle w:val="BodyText"/>
      </w:pPr>
      <w:r>
        <w:t xml:space="preserve">The key question is whether the recent share-price recovery changes the mix between repurchases and M&amp;A. Aon could moderate the buyback pace while remaining comfortably above its $1 billion annual commitment.</w:t>
      </w:r>
    </w:p>
    <w:bookmarkEnd w:id="17"/>
    <w:bookmarkEnd w:id="18"/>
    <w:bookmarkStart w:id="20" w:name="Xd9a12f84c15a1aaafc3e35ee55db5c8fb0a3ae4"/>
    <w:p>
      <w:pPr>
        <w:pStyle w:val="Heading2"/>
      </w:pPr>
      <w:r>
        <w:t xml:space="preserve">AI: investors need evidence, not another strategic presentation</w:t>
      </w:r>
    </w:p>
    <w:p>
      <w:pPr>
        <w:pStyle w:val="FirstParagraph"/>
      </w:pPr>
      <w:r>
        <w:t xml:space="preserve">AI has become central to Aon’s equity narrative. Management argues that its technology investments can deliver three separate benefits:</w:t>
      </w:r>
    </w:p>
    <w:p>
      <w:pPr>
        <w:pStyle w:val="Compact"/>
        <w:numPr>
          <w:ilvl w:val="0"/>
          <w:numId w:val="1011"/>
        </w:numPr>
      </w:pPr>
      <w:r>
        <w:rPr>
          <w:b/>
          <w:bCs/>
        </w:rPr>
        <w:t xml:space="preserve">Revenue:</w:t>
      </w:r>
      <w:r>
        <w:t xml:space="preserve"> </w:t>
      </w:r>
      <w:r>
        <w:t xml:space="preserve">Better analytical products, higher win rates and new markets such as data-center insurance.</w:t>
      </w:r>
    </w:p>
    <w:p>
      <w:pPr>
        <w:pStyle w:val="Compact"/>
        <w:numPr>
          <w:ilvl w:val="0"/>
          <w:numId w:val="1011"/>
        </w:numPr>
      </w:pPr>
      <w:r>
        <w:rPr>
          <w:b/>
          <w:bCs/>
        </w:rPr>
        <w:t xml:space="preserve">Retention:</w:t>
      </w:r>
      <w:r>
        <w:t xml:space="preserve"> </w:t>
      </w:r>
      <w:r>
        <w:t xml:space="preserve">Better client outcomes and service.</w:t>
      </w:r>
    </w:p>
    <w:p>
      <w:pPr>
        <w:pStyle w:val="Compact"/>
        <w:numPr>
          <w:ilvl w:val="0"/>
          <w:numId w:val="1011"/>
        </w:numPr>
      </w:pPr>
      <w:r>
        <w:rPr>
          <w:b/>
          <w:bCs/>
        </w:rPr>
        <w:t xml:space="preserve">Margins:</w:t>
      </w:r>
      <w:r>
        <w:t xml:space="preserve"> </w:t>
      </w:r>
      <w:r>
        <w:t xml:space="preserve">Lower processing costs in invoicing, policy checks, certificates and claims management.</w:t>
      </w:r>
    </w:p>
    <w:p>
      <w:pPr>
        <w:pStyle w:val="FirstParagraph"/>
      </w:pPr>
      <w:r>
        <w:t xml:space="preserve">Aon has provided tangible operational examples, including sharply shorter processing times. It has also expanded its data-center insurance program to $3.5 billion of capacity and described data centers as an early-stage growth opportunity. (</w:t>
      </w:r>
      <w:hyperlink r:id="rId19">
        <w:r>
          <w:rPr>
            <w:rStyle w:val="Hyperlink"/>
          </w:rPr>
          <w:t xml:space="preserve">ir.aon.com</w:t>
        </w:r>
      </w:hyperlink>
      <w:r>
        <w:t xml:space="preserve">)</w:t>
      </w:r>
    </w:p>
    <w:p>
      <w:pPr>
        <w:pStyle w:val="BodyText"/>
      </w:pPr>
      <w:r>
        <w:t xml:space="preserve">The Q2 call should be judged on measurable evidence:</w:t>
      </w:r>
    </w:p>
    <w:p>
      <w:pPr>
        <w:pStyle w:val="Compact"/>
        <w:numPr>
          <w:ilvl w:val="0"/>
          <w:numId w:val="1012"/>
        </w:numPr>
      </w:pPr>
      <w:r>
        <w:t xml:space="preserve">How much did technology-enabled products contribute to new business?</w:t>
      </w:r>
    </w:p>
    <w:p>
      <w:pPr>
        <w:pStyle w:val="Compact"/>
        <w:numPr>
          <w:ilvl w:val="0"/>
          <w:numId w:val="1012"/>
        </w:numPr>
      </w:pPr>
      <w:r>
        <w:t xml:space="preserve">Are win and retention rates still improving?</w:t>
      </w:r>
    </w:p>
    <w:p>
      <w:pPr>
        <w:pStyle w:val="Compact"/>
        <w:numPr>
          <w:ilvl w:val="0"/>
          <w:numId w:val="1012"/>
        </w:numPr>
      </w:pPr>
      <w:r>
        <w:t xml:space="preserve">Is data-center revenue becoming material or remaining mostly pipeline?</w:t>
      </w:r>
    </w:p>
    <w:p>
      <w:pPr>
        <w:pStyle w:val="Compact"/>
        <w:numPr>
          <w:ilvl w:val="0"/>
          <w:numId w:val="1012"/>
        </w:numPr>
      </w:pPr>
      <w:r>
        <w:t xml:space="preserve">Are productivity benefits falling to the margin, or being fully reinvested?</w:t>
      </w:r>
    </w:p>
    <w:p>
      <w:pPr>
        <w:pStyle w:val="Compact"/>
        <w:numPr>
          <w:ilvl w:val="0"/>
          <w:numId w:val="1012"/>
        </w:numPr>
      </w:pPr>
      <w:r>
        <w:t xml:space="preserve">How quickly are analytical tools being deployed beyond U.S. Commercial Risk?</w:t>
      </w:r>
    </w:p>
    <w:p>
      <w:pPr>
        <w:pStyle w:val="Compact"/>
        <w:numPr>
          <w:ilvl w:val="0"/>
          <w:numId w:val="1012"/>
        </w:numPr>
      </w:pPr>
      <w:r>
        <w:t xml:space="preserve">Can Aon quantify the expected return on its $1.3 billion 3x3 investment?</w:t>
      </w:r>
    </w:p>
    <w:p>
      <w:pPr>
        <w:pStyle w:val="FirstParagraph"/>
      </w:pPr>
      <w:r>
        <w:t xml:space="preserve">The strongest outcome would be proof that AI is improving both organic growth and margins. Productivity anecdotes without financial attribution would be less compelling now that investors have heard the strategy repeatedly.</w:t>
      </w:r>
    </w:p>
    <w:bookmarkEnd w:id="20"/>
    <w:bookmarkStart w:id="23" w:name="Xc89f75dd21204a6a1a147085ab465f39353f7c1"/>
    <w:p>
      <w:pPr>
        <w:pStyle w:val="Heading2"/>
      </w:pPr>
      <w:r>
        <w:t xml:space="preserve">Guidance: reaffirmation is necessary but may not be sufficient</w:t>
      </w:r>
    </w:p>
    <w:p>
      <w:pPr>
        <w:pStyle w:val="FirstParagraph"/>
      </w:pPr>
      <w:r>
        <w:t xml:space="preserve">Aon’s current 2026 framework calls for:</w:t>
      </w:r>
    </w:p>
    <w:p>
      <w:pPr>
        <w:pStyle w:val="Compact"/>
        <w:numPr>
          <w:ilvl w:val="0"/>
          <w:numId w:val="1013"/>
        </w:numPr>
      </w:pPr>
      <w:r>
        <w:t xml:space="preserve">Mid-single-digit or greater organic revenue growth.</w:t>
      </w:r>
    </w:p>
    <w:p>
      <w:pPr>
        <w:pStyle w:val="Compact"/>
        <w:numPr>
          <w:ilvl w:val="0"/>
          <w:numId w:val="1013"/>
        </w:numPr>
      </w:pPr>
      <w:r>
        <w:t xml:space="preserve">70–80 basis points of adjusted operating-margin expansion.</w:t>
      </w:r>
    </w:p>
    <w:p>
      <w:pPr>
        <w:pStyle w:val="Compact"/>
        <w:numPr>
          <w:ilvl w:val="0"/>
          <w:numId w:val="1013"/>
        </w:numPr>
      </w:pPr>
      <w:r>
        <w:t xml:space="preserve">Strong adjusted EPS growth.</w:t>
      </w:r>
    </w:p>
    <w:p>
      <w:pPr>
        <w:pStyle w:val="Compact"/>
        <w:numPr>
          <w:ilvl w:val="0"/>
          <w:numId w:val="1013"/>
        </w:numPr>
      </w:pPr>
      <w:r>
        <w:t xml:space="preserve">Double-digit free-cash-flow growth.</w:t>
      </w:r>
    </w:p>
    <w:p>
      <w:pPr>
        <w:pStyle w:val="Compact"/>
        <w:numPr>
          <w:ilvl w:val="0"/>
          <w:numId w:val="1013"/>
        </w:numPr>
      </w:pPr>
      <w:r>
        <w:t xml:space="preserve">At least $1 billion of share repurchases.</w:t>
      </w:r>
    </w:p>
    <w:p>
      <w:pPr>
        <w:pStyle w:val="Compact"/>
        <w:numPr>
          <w:ilvl w:val="0"/>
          <w:numId w:val="1013"/>
        </w:numPr>
      </w:pPr>
      <w:r>
        <w:t xml:space="preserve">A 19.5–20.5% effective tax rate.</w:t>
      </w:r>
    </w:p>
    <w:p>
      <w:pPr>
        <w:pStyle w:val="FirstParagraph"/>
      </w:pPr>
      <w:r>
        <w:t xml:space="preserve">A simple reiteration should be expected. The more meaningful signal will be management’s language around the probability of landing at the upper or lower ends.</w:t>
      </w:r>
    </w:p>
    <w:bookmarkStart w:id="21" w:name="bullish-wording"/>
    <w:p>
      <w:pPr>
        <w:pStyle w:val="Heading3"/>
      </w:pPr>
      <w:r>
        <w:t xml:space="preserve">Bullish wording</w:t>
      </w:r>
    </w:p>
    <w:p>
      <w:pPr>
        <w:pStyle w:val="Compact"/>
        <w:numPr>
          <w:ilvl w:val="0"/>
          <w:numId w:val="1014"/>
        </w:numPr>
      </w:pPr>
      <w:r>
        <w:t xml:space="preserve">Commercial Risk remains at 6% or better.</w:t>
      </w:r>
    </w:p>
    <w:p>
      <w:pPr>
        <w:pStyle w:val="Compact"/>
        <w:numPr>
          <w:ilvl w:val="0"/>
          <w:numId w:val="1014"/>
        </w:numPr>
      </w:pPr>
      <w:r>
        <w:t xml:space="preserve">Reinsurance is tracking to a stronger second half.</w:t>
      </w:r>
    </w:p>
    <w:p>
      <w:pPr>
        <w:pStyle w:val="Compact"/>
        <w:numPr>
          <w:ilvl w:val="0"/>
          <w:numId w:val="1014"/>
        </w:numPr>
      </w:pPr>
      <w:r>
        <w:t xml:space="preserve">Human Capital is accelerating.</w:t>
      </w:r>
    </w:p>
    <w:p>
      <w:pPr>
        <w:pStyle w:val="Compact"/>
        <w:numPr>
          <w:ilvl w:val="0"/>
          <w:numId w:val="1014"/>
        </w:numPr>
      </w:pPr>
      <w:r>
        <w:t xml:space="preserve">Revenue-producing hires are contributing more than Q1’s 75 basis points.</w:t>
      </w:r>
    </w:p>
    <w:p>
      <w:pPr>
        <w:pStyle w:val="Compact"/>
        <w:numPr>
          <w:ilvl w:val="0"/>
          <w:numId w:val="1014"/>
        </w:numPr>
      </w:pPr>
      <w:r>
        <w:t xml:space="preserve">Restructuring and NFP integration are on or ahead of schedule.</w:t>
      </w:r>
    </w:p>
    <w:p>
      <w:pPr>
        <w:pStyle w:val="Compact"/>
        <w:numPr>
          <w:ilvl w:val="0"/>
          <w:numId w:val="1014"/>
        </w:numPr>
      </w:pPr>
      <w:r>
        <w:t xml:space="preserve">Free-cash-flow conversion is exceeding plan.</w:t>
      </w:r>
    </w:p>
    <w:p>
      <w:pPr>
        <w:pStyle w:val="Compact"/>
        <w:numPr>
          <w:ilvl w:val="0"/>
          <w:numId w:val="1014"/>
        </w:numPr>
      </w:pPr>
      <w:r>
        <w:t xml:space="preserve">Organic growth can remain above 5% in a softer pricing environment.</w:t>
      </w:r>
    </w:p>
    <w:bookmarkEnd w:id="21"/>
    <w:bookmarkStart w:id="22" w:name="cautious-wording"/>
    <w:p>
      <w:pPr>
        <w:pStyle w:val="Heading3"/>
      </w:pPr>
      <w:r>
        <w:t xml:space="preserve">Cautious wording</w:t>
      </w:r>
    </w:p>
    <w:p>
      <w:pPr>
        <w:pStyle w:val="Compact"/>
        <w:numPr>
          <w:ilvl w:val="0"/>
          <w:numId w:val="1015"/>
        </w:numPr>
      </w:pPr>
      <w:r>
        <w:t xml:space="preserve">Reinsurance improvement is pushed into late 2026.</w:t>
      </w:r>
    </w:p>
    <w:p>
      <w:pPr>
        <w:pStyle w:val="Compact"/>
        <w:numPr>
          <w:ilvl w:val="0"/>
          <w:numId w:val="1015"/>
        </w:numPr>
      </w:pPr>
      <w:r>
        <w:t xml:space="preserve">Talent Solutions weakness spreads.</w:t>
      </w:r>
    </w:p>
    <w:p>
      <w:pPr>
        <w:pStyle w:val="Compact"/>
        <w:numPr>
          <w:ilvl w:val="0"/>
          <w:numId w:val="1015"/>
        </w:numPr>
      </w:pPr>
      <w:r>
        <w:t xml:space="preserve">New-business contribution declines materially.</w:t>
      </w:r>
    </w:p>
    <w:p>
      <w:pPr>
        <w:pStyle w:val="Compact"/>
        <w:numPr>
          <w:ilvl w:val="0"/>
          <w:numId w:val="1015"/>
        </w:numPr>
      </w:pPr>
      <w:r>
        <w:t xml:space="preserve">Retention begins to normalize.</w:t>
      </w:r>
    </w:p>
    <w:p>
      <w:pPr>
        <w:pStyle w:val="Compact"/>
        <w:numPr>
          <w:ilvl w:val="0"/>
          <w:numId w:val="1015"/>
        </w:numPr>
      </w:pPr>
      <w:r>
        <w:t xml:space="preserve">Productivity savings are absorbed by higher technology spending.</w:t>
      </w:r>
    </w:p>
    <w:p>
      <w:pPr>
        <w:pStyle w:val="Compact"/>
        <w:numPr>
          <w:ilvl w:val="0"/>
          <w:numId w:val="1015"/>
        </w:numPr>
      </w:pPr>
      <w:r>
        <w:t xml:space="preserve">Acquisition activity reduces expected buybacks.</w:t>
      </w:r>
    </w:p>
    <w:p>
      <w:pPr>
        <w:pStyle w:val="Compact"/>
        <w:numPr>
          <w:ilvl w:val="0"/>
          <w:numId w:val="1015"/>
        </w:numPr>
      </w:pPr>
      <w:r>
        <w:t xml:space="preserve">Management emphasizes full-year timing without providing support for H2 acceleration.</w:t>
      </w:r>
    </w:p>
    <w:bookmarkEnd w:id="22"/>
    <w:bookmarkEnd w:id="23"/>
    <w:bookmarkStart w:id="24" w:name="stock-setup-and-likely-reaction"/>
    <w:p>
      <w:pPr>
        <w:pStyle w:val="Heading2"/>
      </w:pPr>
      <w:r>
        <w:t xml:space="preserve">Stock setup and likely reaction</w:t>
      </w:r>
    </w:p>
    <w:p>
      <w:pPr>
        <w:pStyle w:val="FirstParagraph"/>
      </w:pPr>
      <w:r>
        <w:t xml:space="preserve">Aon closed at</w:t>
      </w:r>
      <w:r>
        <w:t xml:space="preserve"> </w:t>
      </w:r>
      <w:r>
        <w:rPr>
          <w:b/>
          <w:bCs/>
        </w:rPr>
        <w:t xml:space="preserve">$381.30 on July 28</w:t>
      </w:r>
      <w:r>
        <w:t xml:space="preserve">, approximately:</w:t>
      </w:r>
    </w:p>
    <w:p>
      <w:pPr>
        <w:pStyle w:val="Compact"/>
        <w:numPr>
          <w:ilvl w:val="0"/>
          <w:numId w:val="1016"/>
        </w:numPr>
      </w:pPr>
      <w:r>
        <w:rPr>
          <w:b/>
          <w:bCs/>
        </w:rPr>
        <w:t xml:space="preserve">11% above</w:t>
      </w:r>
      <w:r>
        <w:t xml:space="preserve"> </w:t>
      </w:r>
      <w:r>
        <w:t xml:space="preserve">its January 2 close.</w:t>
      </w:r>
    </w:p>
    <w:p>
      <w:pPr>
        <w:pStyle w:val="Compact"/>
        <w:numPr>
          <w:ilvl w:val="0"/>
          <w:numId w:val="1016"/>
        </w:numPr>
      </w:pPr>
      <w:r>
        <w:rPr>
          <w:b/>
          <w:bCs/>
        </w:rPr>
        <w:t xml:space="preserve">22% above</w:t>
      </w:r>
      <w:r>
        <w:t xml:space="preserve"> </w:t>
      </w:r>
      <w:r>
        <w:t xml:space="preserve">its May 1 close following the Q1 report.</w:t>
      </w:r>
    </w:p>
    <w:p>
      <w:pPr>
        <w:pStyle w:val="Compact"/>
        <w:numPr>
          <w:ilvl w:val="0"/>
          <w:numId w:val="1016"/>
        </w:numPr>
      </w:pPr>
      <w:r>
        <w:rPr>
          <w:b/>
          <w:bCs/>
        </w:rPr>
        <w:t xml:space="preserve">15% above</w:t>
      </w:r>
      <w:r>
        <w:t xml:space="preserve"> </w:t>
      </w:r>
      <w:r>
        <w:t xml:space="preserve">its June 30 close.</w:t>
      </w:r>
    </w:p>
    <w:p>
      <w:pPr>
        <w:pStyle w:val="FirstParagraph"/>
      </w:pPr>
      <w:r>
        <w:t xml:space="preserve">The sharp recovery means a routine guidance reaffirmation may already be reflected in the shares. The stock probably needs some combination of:</w:t>
      </w:r>
    </w:p>
    <w:p>
      <w:pPr>
        <w:pStyle w:val="Compact"/>
        <w:numPr>
          <w:ilvl w:val="0"/>
          <w:numId w:val="1017"/>
        </w:numPr>
      </w:pPr>
      <w:r>
        <w:t xml:space="preserve">6% organic growth.</w:t>
      </w:r>
    </w:p>
    <w:p>
      <w:pPr>
        <w:pStyle w:val="Compact"/>
        <w:numPr>
          <w:ilvl w:val="0"/>
          <w:numId w:val="1017"/>
        </w:numPr>
      </w:pPr>
      <w:r>
        <w:t xml:space="preserve">Commercial Risk at 6–7%.</w:t>
      </w:r>
    </w:p>
    <w:p>
      <w:pPr>
        <w:pStyle w:val="Compact"/>
        <w:numPr>
          <w:ilvl w:val="0"/>
          <w:numId w:val="1017"/>
        </w:numPr>
      </w:pPr>
      <w:r>
        <w:t xml:space="preserve">Better-than-feared Reinsurance.</w:t>
      </w:r>
    </w:p>
    <w:p>
      <w:pPr>
        <w:pStyle w:val="Compact"/>
        <w:numPr>
          <w:ilvl w:val="0"/>
          <w:numId w:val="1017"/>
        </w:numPr>
      </w:pPr>
      <w:r>
        <w:t xml:space="preserve">At least 70–80 basis points of margin expansion.</w:t>
      </w:r>
    </w:p>
    <w:p>
      <w:pPr>
        <w:pStyle w:val="Compact"/>
        <w:numPr>
          <w:ilvl w:val="0"/>
          <w:numId w:val="1017"/>
        </w:numPr>
      </w:pPr>
      <w:r>
        <w:t xml:space="preserve">Strong first-half cash flow.</w:t>
      </w:r>
    </w:p>
    <w:p>
      <w:pPr>
        <w:pStyle w:val="Compact"/>
        <w:numPr>
          <w:ilvl w:val="0"/>
          <w:numId w:val="1017"/>
        </w:numPr>
      </w:pPr>
      <w:r>
        <w:t xml:space="preserve">Confident H2 commentary.</w:t>
      </w:r>
    </w:p>
    <w:p>
      <w:pPr>
        <w:pStyle w:val="FirstParagraph"/>
      </w:pPr>
      <w:r>
        <w:t xml:space="preserve">A 5% organic result with good margins could still be fundamentally sound, but the immediate reaction may be muted given the stronger setup.</w:t>
      </w:r>
    </w:p>
    <w:bookmarkEnd w:id="24"/>
    <w:bookmarkStart w:id="28" w:name="scenario-analysis"/>
    <w:p>
      <w:pPr>
        <w:pStyle w:val="Heading2"/>
      </w:pPr>
      <w:r>
        <w:t xml:space="preserve">Scenario analysis</w:t>
      </w:r>
    </w:p>
    <w:bookmarkStart w:id="25" w:name="bull-case"/>
    <w:p>
      <w:pPr>
        <w:pStyle w:val="Heading3"/>
      </w:pPr>
      <w:r>
        <w:t xml:space="preserve">Bull case</w:t>
      </w:r>
    </w:p>
    <w:p>
      <w:pPr>
        <w:pStyle w:val="Compact"/>
        <w:numPr>
          <w:ilvl w:val="0"/>
          <w:numId w:val="1018"/>
        </w:numPr>
      </w:pPr>
      <w:r>
        <w:t xml:space="preserve">Organic growth of 6% or better.</w:t>
      </w:r>
    </w:p>
    <w:p>
      <w:pPr>
        <w:pStyle w:val="Compact"/>
        <w:numPr>
          <w:ilvl w:val="0"/>
          <w:numId w:val="1018"/>
        </w:numPr>
      </w:pPr>
      <w:r>
        <w:t xml:space="preserve">Commercial Risk remains at least 7%.</w:t>
      </w:r>
    </w:p>
    <w:p>
      <w:pPr>
        <w:pStyle w:val="Compact"/>
        <w:numPr>
          <w:ilvl w:val="0"/>
          <w:numId w:val="1018"/>
        </w:numPr>
      </w:pPr>
      <w:r>
        <w:t xml:space="preserve">Reinsurance holds near 5% despite renewal pressure.</w:t>
      </w:r>
    </w:p>
    <w:p>
      <w:pPr>
        <w:pStyle w:val="Compact"/>
        <w:numPr>
          <w:ilvl w:val="0"/>
          <w:numId w:val="1018"/>
        </w:numPr>
      </w:pPr>
      <w:r>
        <w:t xml:space="preserve">Health and Wealth both improve.</w:t>
      </w:r>
    </w:p>
    <w:p>
      <w:pPr>
        <w:pStyle w:val="Compact"/>
        <w:numPr>
          <w:ilvl w:val="0"/>
          <w:numId w:val="1018"/>
        </w:numPr>
      </w:pPr>
      <w:r>
        <w:t xml:space="preserve">Margin expands more than 80 basis points.</w:t>
      </w:r>
    </w:p>
    <w:p>
      <w:pPr>
        <w:pStyle w:val="Compact"/>
        <w:numPr>
          <w:ilvl w:val="0"/>
          <w:numId w:val="1018"/>
        </w:numPr>
      </w:pPr>
      <w:r>
        <w:t xml:space="preserve">H1 free cash flow exceeds $900 million.</w:t>
      </w:r>
    </w:p>
    <w:p>
      <w:pPr>
        <w:pStyle w:val="Compact"/>
        <w:numPr>
          <w:ilvl w:val="0"/>
          <w:numId w:val="1018"/>
        </w:numPr>
      </w:pPr>
      <w:r>
        <w:t xml:space="preserve">Management signals upside potential to one or more full-year objectives.</w:t>
      </w:r>
    </w:p>
    <w:p>
      <w:pPr>
        <w:pStyle w:val="FirstParagraph"/>
      </w:pPr>
      <w:r>
        <w:rPr>
          <w:b/>
          <w:bCs/>
        </w:rPr>
        <w:t xml:space="preserve">Likely interpretation:</w:t>
      </w:r>
      <w:r>
        <w:t xml:space="preserve"> </w:t>
      </w:r>
      <w:r>
        <w:t xml:space="preserve">Aon is taking share and demonstrating that its growth is not dependent on pricing.</w:t>
      </w:r>
    </w:p>
    <w:bookmarkEnd w:id="25"/>
    <w:bookmarkStart w:id="26" w:name="base-case"/>
    <w:p>
      <w:pPr>
        <w:pStyle w:val="Heading3"/>
      </w:pPr>
      <w:r>
        <w:t xml:space="preserve">Base case</w:t>
      </w:r>
    </w:p>
    <w:p>
      <w:pPr>
        <w:pStyle w:val="Compact"/>
        <w:numPr>
          <w:ilvl w:val="0"/>
          <w:numId w:val="1019"/>
        </w:numPr>
      </w:pPr>
      <w:r>
        <w:t xml:space="preserve">Organic growth of approximately 5%.</w:t>
      </w:r>
    </w:p>
    <w:p>
      <w:pPr>
        <w:pStyle w:val="Compact"/>
        <w:numPr>
          <w:ilvl w:val="0"/>
          <w:numId w:val="1019"/>
        </w:numPr>
      </w:pPr>
      <w:r>
        <w:t xml:space="preserve">Commercial Risk at 6%.</w:t>
      </w:r>
    </w:p>
    <w:p>
      <w:pPr>
        <w:pStyle w:val="Compact"/>
        <w:numPr>
          <w:ilvl w:val="0"/>
          <w:numId w:val="1019"/>
        </w:numPr>
      </w:pPr>
      <w:r>
        <w:t xml:space="preserve">Reinsurance at 3–4%.</w:t>
      </w:r>
    </w:p>
    <w:p>
      <w:pPr>
        <w:pStyle w:val="Compact"/>
        <w:numPr>
          <w:ilvl w:val="0"/>
          <w:numId w:val="1019"/>
        </w:numPr>
      </w:pPr>
      <w:r>
        <w:t xml:space="preserve">Human Capital improves modestly.</w:t>
      </w:r>
    </w:p>
    <w:p>
      <w:pPr>
        <w:pStyle w:val="Compact"/>
        <w:numPr>
          <w:ilvl w:val="0"/>
          <w:numId w:val="1019"/>
        </w:numPr>
      </w:pPr>
      <w:r>
        <w:t xml:space="preserve">Margin expands 70–80 basis points.</w:t>
      </w:r>
    </w:p>
    <w:p>
      <w:pPr>
        <w:pStyle w:val="Compact"/>
        <w:numPr>
          <w:ilvl w:val="0"/>
          <w:numId w:val="1019"/>
        </w:numPr>
      </w:pPr>
      <w:r>
        <w:t xml:space="preserve">All full-year guidance is reaffirmed.</w:t>
      </w:r>
    </w:p>
    <w:p>
      <w:pPr>
        <w:pStyle w:val="FirstParagraph"/>
      </w:pPr>
      <w:r>
        <w:rPr>
          <w:b/>
          <w:bCs/>
        </w:rPr>
        <w:t xml:space="preserve">Likely interpretation:</w:t>
      </w:r>
      <w:r>
        <w:t xml:space="preserve"> </w:t>
      </w:r>
      <w:r>
        <w:t xml:space="preserve">The strategy remains on track, although much of the good news may already be priced in.</w:t>
      </w:r>
    </w:p>
    <w:bookmarkEnd w:id="26"/>
    <w:bookmarkStart w:id="27" w:name="bear-case"/>
    <w:p>
      <w:pPr>
        <w:pStyle w:val="Heading3"/>
      </w:pPr>
      <w:r>
        <w:t xml:space="preserve">Bear case</w:t>
      </w:r>
    </w:p>
    <w:p>
      <w:pPr>
        <w:pStyle w:val="Compact"/>
        <w:numPr>
          <w:ilvl w:val="0"/>
          <w:numId w:val="1020"/>
        </w:numPr>
      </w:pPr>
      <w:r>
        <w:t xml:space="preserve">Organic growth below 4%.</w:t>
      </w:r>
    </w:p>
    <w:p>
      <w:pPr>
        <w:pStyle w:val="Compact"/>
        <w:numPr>
          <w:ilvl w:val="0"/>
          <w:numId w:val="1020"/>
        </w:numPr>
      </w:pPr>
      <w:r>
        <w:t xml:space="preserve">Commercial Risk falls below 5%.</w:t>
      </w:r>
    </w:p>
    <w:p>
      <w:pPr>
        <w:pStyle w:val="Compact"/>
        <w:numPr>
          <w:ilvl w:val="0"/>
          <w:numId w:val="1020"/>
        </w:numPr>
      </w:pPr>
      <w:r>
        <w:t xml:space="preserve">Reinsurance is near zero.</w:t>
      </w:r>
    </w:p>
    <w:p>
      <w:pPr>
        <w:pStyle w:val="Compact"/>
        <w:numPr>
          <w:ilvl w:val="0"/>
          <w:numId w:val="1020"/>
        </w:numPr>
      </w:pPr>
      <w:r>
        <w:t xml:space="preserve">Wealth misses management’s mid-single-digit expectation.</w:t>
      </w:r>
    </w:p>
    <w:p>
      <w:pPr>
        <w:pStyle w:val="Compact"/>
        <w:numPr>
          <w:ilvl w:val="0"/>
          <w:numId w:val="1020"/>
        </w:numPr>
      </w:pPr>
      <w:r>
        <w:t xml:space="preserve">Margin expansion falls short of 70 basis points.</w:t>
      </w:r>
    </w:p>
    <w:p>
      <w:pPr>
        <w:pStyle w:val="Compact"/>
        <w:numPr>
          <w:ilvl w:val="0"/>
          <w:numId w:val="1020"/>
        </w:numPr>
      </w:pPr>
      <w:r>
        <w:t xml:space="preserve">Free cash flow is weak without a timing explanation.</w:t>
      </w:r>
    </w:p>
    <w:p>
      <w:pPr>
        <w:pStyle w:val="Compact"/>
        <w:numPr>
          <w:ilvl w:val="0"/>
          <w:numId w:val="1020"/>
        </w:numPr>
      </w:pPr>
      <w:r>
        <w:t xml:space="preserve">Management becomes less confident about H2.</w:t>
      </w:r>
    </w:p>
    <w:p>
      <w:pPr>
        <w:pStyle w:val="FirstParagraph"/>
      </w:pPr>
      <w:r>
        <w:rPr>
          <w:b/>
          <w:bCs/>
        </w:rPr>
        <w:t xml:space="preserve">Likely interpretation:</w:t>
      </w:r>
      <w:r>
        <w:t xml:space="preserve"> </w:t>
      </w:r>
      <w:r>
        <w:t xml:space="preserve">Pricing pressure and weaker discretionary demand are beginning to overwhelm Aon’s self-help initiatives.</w:t>
      </w:r>
    </w:p>
    <w:bookmarkEnd w:id="27"/>
    <w:bookmarkEnd w:id="28"/>
    <w:bookmarkStart w:id="29" w:name="bottom-line"/>
    <w:p>
      <w:pPr>
        <w:pStyle w:val="Heading2"/>
      </w:pPr>
      <w:r>
        <w:t xml:space="preserve">Bottom line</w:t>
      </w:r>
    </w:p>
    <w:p>
      <w:pPr>
        <w:pStyle w:val="FirstParagraph"/>
      </w:pPr>
      <w:r>
        <w:t xml:space="preserve">The most important Q2 number is</w:t>
      </w:r>
      <w:r>
        <w:t xml:space="preserve"> </w:t>
      </w:r>
      <w:r>
        <w:rPr>
          <w:b/>
          <w:bCs/>
        </w:rPr>
        <w:t xml:space="preserve">organic revenue growth</w:t>
      </w:r>
      <w:r>
        <w:t xml:space="preserve">, with</w:t>
      </w:r>
      <w:r>
        <w:t xml:space="preserve"> </w:t>
      </w:r>
      <w:r>
        <w:rPr>
          <w:b/>
          <w:bCs/>
        </w:rPr>
        <w:t xml:space="preserve">5% the minimum clean result and 6% the stronger confirmation of share gains</w:t>
      </w:r>
      <w:r>
        <w:t xml:space="preserve">. Within that figure, Commercial Risk needs to remain resilient, while Reinsurance only needs to avoid a major deterioration if management can substantiate its expected second-half recovery.</w:t>
      </w:r>
    </w:p>
    <w:p>
      <w:pPr>
        <w:pStyle w:val="BodyText"/>
      </w:pPr>
      <w:r>
        <w:t xml:space="preserve">Margins and cash flow are nearly as important. Aon has built its case around a compounding model of organic growth, productivity, reinvestment and capital return. Q2 must show that the model works when insurance pricing becomes less favorable—not only when market conditions provide a tailwind.</w:t>
      </w:r>
    </w:p>
    <w:p>
      <w:pPr>
        <w:pStyle w:val="BodyText"/>
      </w:pPr>
      <w:r>
        <w:t xml:space="preserve">The ideal report would combine</w:t>
      </w:r>
      <w:r>
        <w:t xml:space="preserve"> </w:t>
      </w:r>
      <w:r>
        <w:rPr>
          <w:b/>
          <w:bCs/>
        </w:rPr>
        <w:t xml:space="preserve">6% organic growth, 70–80+ basis points of margin expansion, approximately $900 million or more of first-half free cash flow and confident H2 commentary</w:t>
      </w:r>
      <w:r>
        <w:t xml:space="preserve">. Anything materially weaker would be more difficult for the shares to absorb after their strong recovery into the announcement.</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r.aon.com/?ver=4.3.1&amp;utm_source=openai" TargetMode="External" /><Relationship Type="http://schemas.openxmlformats.org/officeDocument/2006/relationships/hyperlink" Id="rId10" Target="https://ir.aon.com/search-results?l=10&amp;o=0&amp;query=2&amp;utm_source=openai" TargetMode="External" /><Relationship Type="http://schemas.openxmlformats.org/officeDocument/2006/relationships/hyperlink" Id="rId19" Target="https://ir.aon.com/search-results?l=50&amp;o=0&amp;query=3&amp;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r.aon.com/?ver=4.3.1&amp;utm_source=openai" TargetMode="External" /><Relationship Type="http://schemas.openxmlformats.org/officeDocument/2006/relationships/hyperlink" Id="rId10" Target="https://ir.aon.com/search-results?l=10&amp;o=0&amp;query=2&amp;utm_source=openai" TargetMode="External" /><Relationship Type="http://schemas.openxmlformats.org/officeDocument/2006/relationships/hyperlink" Id="rId19" Target="https://ir.aon.com/search-results?l=50&amp;o=0&amp;query=3&amp;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2026-07-29T00:41:55Z</dcterms:created>
  <dcterms:modified xsi:type="dcterms:W3CDTF">2026-07-29T00:41:55Z</dcterms:modified>
</cp:coreProperties>
</file>

<file path=docProps/custom.xml><?xml version="1.0" encoding="utf-8"?>
<Properties xmlns="http://schemas.openxmlformats.org/officeDocument/2006/custom-properties" xmlns:vt="http://schemas.openxmlformats.org/officeDocument/2006/docPropsVTypes"/>
</file>