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on-earnings-predictions--2026-07-29"/>
    <w:p>
      <w:pPr>
        <w:pStyle w:val="Heading1"/>
      </w:pPr>
      <w:r>
        <w:t xml:space="preserve">AON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~$3.72 vs. cons $3.58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~6.0% vs. cons 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~34.0% vs. cons 33.8%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~5.0% vs. cons 5.0%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operating-margin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~75 bps vs. cons 75 bps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free-cash-flow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~11.0% vs. cons 11.0%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Second-half Reinsurance organic growth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~6.0% vs. cons 5.0%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+2.3% (FOLLOW-THROUGH)</w:t>
            </w:r>
          </w:p>
        </w:tc>
        <w:tc>
          <w:tcPr/>
          <w:p>
            <w:pPr>
              <w:pStyle w:val="Compact"/>
            </w:pPr>
            <w:r>
              <w:t xml:space="preserve">pred ~6.0% organic growth vs. cons 5.0% and implied 2H26 Reinsurance growth of ~6.0% vs. cons 5.0% support modest out-period EPS revisions despite FY26 organic-growth guidance remaining ~5.0% vs. cons 5.0%.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2026-07-29T00:41:13Z</dcterms:created>
  <dcterms:modified xsi:type="dcterms:W3CDTF">2026-07-29T00:41:13Z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