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aon-nyse-aon--2q26-earnings-preview"/>
    <w:p>
      <w:pPr>
        <w:pStyle w:val="Heading1"/>
      </w:pPr>
      <w:r>
        <w:t xml:space="preserve">Aon (NYSE: AON) — 2Q26 Earnings Preview</w:t>
      </w:r>
    </w:p>
    <w:p>
      <w:pPr>
        <w:pStyle w:val="BlockText"/>
      </w:pPr>
      <w:r>
        <w:rPr>
          <w:b/>
          <w:bCs/>
        </w:rPr>
        <w:t xml:space="preserve">Date clarification:</w:t>
      </w:r>
      <w:r>
        <w:t xml:space="preserve"> </w:t>
      </w:r>
      <w:r>
        <w:t xml:space="preserve">The scheduled</w:t>
      </w:r>
      <w:r>
        <w:t xml:space="preserve"> </w:t>
      </w:r>
      <w:r>
        <w:rPr>
          <w:b/>
          <w:bCs/>
        </w:rPr>
        <w:t xml:space="preserve">2026Q2 earnings call is today, Wednesday, July 29, 2026</w:t>
      </w:r>
      <w:r>
        <w:t xml:space="preserve">, not tomorrow. This preview reflects information available through the July 28 market close.</w:t>
      </w:r>
    </w:p>
    <w:bookmarkStart w:id="9" w:name="X5833b20651541fd0c8496148369fae5fe03b9a5"/>
    <w:p>
      <w:pPr>
        <w:pStyle w:val="Heading2"/>
      </w:pPr>
      <w:r>
        <w:t xml:space="preserve">Investment view: the bar is centered on durability, not merely a quarterly beat</w:t>
      </w:r>
    </w:p>
    <w:p>
      <w:pPr>
        <w:pStyle w:val="FirstParagraph"/>
      </w:pPr>
      <w:r>
        <w:t xml:space="preserve">Aon enters 2Q with a favorable operating setup: its first-quarter execution was solid across organic growth, margin expansion, cash conversion, and capital deployment. The key issue for investors is whether the company can</w:t>
      </w:r>
      <w:r>
        <w:t xml:space="preserve"> </w:t>
      </w:r>
      <w:r>
        <w:rPr>
          <w:b/>
          <w:bCs/>
        </w:rPr>
        <w:t xml:space="preserve">sustain mid-single-digit-or-better organic growth while commercial-insurance and reinsurance pricing soften</w:t>
      </w:r>
      <w:r>
        <w:t xml:space="preserve">—and do so while preserving its full-year margin and cash-flow commitments.</w:t>
      </w:r>
    </w:p>
    <w:p>
      <w:pPr>
        <w:pStyle w:val="BodyText"/>
      </w:pPr>
      <w:r>
        <w:t xml:space="preserve">The share-price setup suggests expectations have improved. AON closed at</w:t>
      </w:r>
      <w:r>
        <w:t xml:space="preserve"> </w:t>
      </w:r>
      <w:r>
        <w:rPr>
          <w:b/>
          <w:bCs/>
        </w:rPr>
        <w:t xml:space="preserve">$381.30 on July 28</w:t>
      </w:r>
      <w:r>
        <w:t xml:space="preserve">, up roughly</w:t>
      </w:r>
      <w:r>
        <w:t xml:space="preserve"> </w:t>
      </w:r>
      <w:r>
        <w:rPr>
          <w:b/>
          <w:bCs/>
        </w:rPr>
        <w:t xml:space="preserve">15.0% since June 30</w:t>
      </w:r>
      <w:r>
        <w:t xml:space="preserve"> </w:t>
      </w:r>
      <w:r>
        <w:t xml:space="preserve">and</w:t>
      </w:r>
      <w:r>
        <w:t xml:space="preserve"> </w:t>
      </w:r>
      <w:r>
        <w:rPr>
          <w:b/>
          <w:bCs/>
        </w:rPr>
        <w:t xml:space="preserve">10.8% year to date</w:t>
      </w:r>
      <w:r>
        <w:t xml:space="preserve">. That makes the quality of forward commentary—particularly around Commercial Risk, Reinsurance, and the AI/ABS productivity agenda—at least as important as reported EPS.</w:t>
      </w:r>
    </w:p>
    <w:bookmarkEnd w:id="9"/>
    <w:bookmarkStart w:id="15" w:name="what-management-needs-to-prove"/>
    <w:p>
      <w:pPr>
        <w:pStyle w:val="Heading2"/>
      </w:pPr>
      <w:r>
        <w:t xml:space="preserve">What management needs to prove</w:t>
      </w:r>
    </w:p>
    <w:bookmarkStart w:id="10" w:name="X03d290ae598bb1533d908fd6fa25a7f0afd9cf3"/>
    <w:p>
      <w:pPr>
        <w:pStyle w:val="Heading3"/>
      </w:pPr>
      <w:r>
        <w:t xml:space="preserve">1. Organic growth remains resilient as pricing becomes less supportive</w:t>
      </w:r>
    </w:p>
    <w:p>
      <w:pPr>
        <w:pStyle w:val="FirstParagraph"/>
      </w:pPr>
      <w:r>
        <w:t xml:space="preserve">Aon reaffirmed FY26 guidance after 1Q for</w:t>
      </w:r>
      <w:r>
        <w:t xml:space="preserve"> </w:t>
      </w:r>
      <w:r>
        <w:rPr>
          <w:b/>
          <w:bCs/>
        </w:rPr>
        <w:t xml:space="preserve">mid-single-digit or greater organic revenue growth</w:t>
      </w:r>
      <w:r>
        <w:t xml:space="preserve">. In 1Q, organic growth was 5%, supported by: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1Q26 organic growth</w:t>
            </w:r>
          </w:p>
        </w:tc>
        <w:tc>
          <w:tcPr/>
          <w:p>
            <w:pPr>
              <w:pStyle w:val="Compact"/>
              <w:jc w:val="right"/>
            </w:pPr>
            <w:r>
              <w:t xml:space="preserve">Read-through for 2Q</w:t>
            </w:r>
          </w:p>
        </w:tc>
      </w:tr>
      <w:tr>
        <w:tc>
          <w:tcPr/>
          <w:p>
            <w:pPr>
              <w:pStyle w:val="Compact"/>
            </w:pPr>
            <w:r>
              <w:t xml:space="preserve">Commercial Risk Solutions</w:t>
            </w:r>
          </w:p>
        </w:tc>
        <w:tc>
          <w:tcPr/>
          <w:p>
            <w:pPr>
              <w:pStyle w:val="Compact"/>
              <w:jc w:val="right"/>
            </w:pPr>
            <w:r>
              <w:rPr>
                <w:b/>
                <w:bCs/>
              </w:rPr>
              <w:t xml:space="preserve">7%</w:t>
            </w:r>
          </w:p>
        </w:tc>
      </w:tr>
      <w:tr>
        <w:tc>
          <w:tcPr/>
          <w:p>
            <w:pPr>
              <w:pStyle w:val="Compact"/>
            </w:pPr>
            <w:r>
              <w:t xml:space="preserve">Reinsurance Solutions</w:t>
            </w:r>
          </w:p>
        </w:tc>
        <w:tc>
          <w:tcPr/>
          <w:p>
            <w:pPr>
              <w:pStyle w:val="Compact"/>
              <w:jc w:val="right"/>
            </w:pPr>
            <w:r>
              <w:rPr>
                <w:b/>
                <w:bCs/>
              </w:rPr>
              <w:t xml:space="preserve">4%</w:t>
            </w:r>
          </w:p>
        </w:tc>
      </w:tr>
      <w:tr>
        <w:tc>
          <w:tcPr/>
          <w:p>
            <w:pPr>
              <w:pStyle w:val="Compact"/>
            </w:pPr>
            <w:r>
              <w:t xml:space="preserve">Health Solutions</w:t>
            </w:r>
          </w:p>
        </w:tc>
        <w:tc>
          <w:tcPr/>
          <w:p>
            <w:pPr>
              <w:pStyle w:val="Compact"/>
              <w:jc w:val="right"/>
            </w:pPr>
            <w:r>
              <w:rPr>
                <w:b/>
                <w:bCs/>
              </w:rPr>
              <w:t xml:space="preserve">4%</w:t>
            </w:r>
          </w:p>
        </w:tc>
      </w:tr>
      <w:tr>
        <w:tc>
          <w:tcPr/>
          <w:p>
            <w:pPr>
              <w:pStyle w:val="Compact"/>
            </w:pPr>
            <w:r>
              <w:t xml:space="preserve">Wealth Solutions</w:t>
            </w:r>
          </w:p>
        </w:tc>
        <w:tc>
          <w:tcPr/>
          <w:p>
            <w:pPr>
              <w:pStyle w:val="Compact"/>
              <w:jc w:val="right"/>
            </w:pPr>
            <w:r>
              <w:rPr>
                <w:b/>
                <w:bCs/>
              </w:rPr>
              <w:t xml:space="preserve">1%</w:t>
            </w:r>
          </w:p>
        </w:tc>
      </w:tr>
      <w:tr>
        <w:tc>
          <w:tcPr/>
          <w:p>
            <w:pPr>
              <w:pStyle w:val="Compact"/>
            </w:pPr>
            <w:r>
              <w:rPr>
                <w:b/>
                <w:bCs/>
              </w:rPr>
              <w:t xml:space="preserve">Total Aon</w:t>
            </w:r>
          </w:p>
        </w:tc>
        <w:tc>
          <w:tcPr/>
          <w:p>
            <w:pPr>
              <w:pStyle w:val="Compact"/>
              <w:jc w:val="right"/>
            </w:pPr>
            <w:r>
              <w:rPr>
                <w:b/>
                <w:bCs/>
              </w:rPr>
              <w:t xml:space="preserve">5%</w:t>
            </w:r>
          </w:p>
        </w:tc>
      </w:tr>
    </w:tbl>
    <w:p>
      <w:pPr>
        <w:pStyle w:val="BodyText"/>
      </w:pPr>
      <w:r>
        <w:t xml:space="preserve">The central debate is the extent to which new business, retention, larger limits/coverage, specialty solutions, and international growth can offset falling insurance rates.</w:t>
      </w:r>
    </w:p>
    <w:p>
      <w:pPr>
        <w:pStyle w:val="BodyText"/>
      </w:pPr>
      <w:r>
        <w:t xml:space="preserve">Management highlighted property pricing pressure and expected lower April 1 reinsurance renewal rates—down approximately 15%–20% in the U.S. and Japan—partially offset by higher demand. That makes the</w:t>
      </w:r>
      <w:r>
        <w:t xml:space="preserve"> </w:t>
      </w:r>
      <w:r>
        <w:rPr>
          <w:b/>
          <w:bCs/>
        </w:rPr>
        <w:t xml:space="preserve">net market-impact contribution</w:t>
      </w:r>
      <w:r>
        <w:t xml:space="preserve"> </w:t>
      </w:r>
      <w:r>
        <w:t xml:space="preserve">and the health of new-business production pivotal metrics.</w:t>
      </w:r>
    </w:p>
    <w:p>
      <w:pPr>
        <w:pStyle w:val="BodyText"/>
      </w:pPr>
      <w:r>
        <w:rPr>
          <w:b/>
          <w:bCs/>
        </w:rPr>
        <w:t xml:space="preserve">What would be constructive:</w:t>
      </w:r>
      <w:r>
        <w:t xml:space="preserve"> </w:t>
      </w:r>
      <w:r>
        <w:t xml:space="preserve">Commercial Risk growth holding around the company’s mid-single-digit objective despite property-market softness; Reinsurance remaining solidly positive despite rate pressure.</w:t>
      </w:r>
    </w:p>
    <w:p>
      <w:pPr>
        <w:pStyle w:val="BodyText"/>
      </w:pPr>
      <w:r>
        <w:rPr>
          <w:b/>
          <w:bCs/>
        </w:rPr>
        <w:t xml:space="preserve">What would concern investors:</w:t>
      </w:r>
      <w:r>
        <w:t xml:space="preserve"> </w:t>
      </w:r>
      <w:r>
        <w:t xml:space="preserve">A meaningful deceleration in Commercial Risk, or Reinsurance growth slipping toward flat as price declines overwhelm volume, new-business wins, and facultative-placement momentum.</w:t>
      </w:r>
    </w:p>
    <w:p>
      <w:r>
        <w:pict>
          <v:rect style="width:0;height:1.5pt" o:hralign="center" o:hrstd="t" o:hr="t"/>
        </w:pict>
      </w:r>
    </w:p>
    <w:bookmarkEnd w:id="10"/>
    <w:bookmarkStart w:id="11" w:name="Xe1bcd56cee475ad397ddf09f26cf4da56c3c706"/>
    <w:p>
      <w:pPr>
        <w:pStyle w:val="Heading3"/>
      </w:pPr>
      <w:r>
        <w:t xml:space="preserve">2. Commercial Risk is the most important operational KPI</w:t>
      </w:r>
    </w:p>
    <w:p>
      <w:pPr>
        <w:pStyle w:val="FirstParagraph"/>
      </w:pPr>
      <w:r>
        <w:t xml:space="preserve">Commercial Risk drove 1Q upside with 7% organic growth, including double-digit growth in North America. Aon attributed the performance to broad-based new business, high retention, priority talent hiring, construction, M&amp;A services, and expanding technology-enabled client solutions.</w:t>
      </w:r>
    </w:p>
    <w:p>
      <w:pPr>
        <w:pStyle w:val="BodyText"/>
      </w:pPr>
      <w:r>
        <w:t xml:space="preserve">Investors should focus on:</w:t>
      </w:r>
    </w:p>
    <w:p>
      <w:pPr>
        <w:pStyle w:val="Compact"/>
        <w:numPr>
          <w:ilvl w:val="0"/>
          <w:numId w:val="1001"/>
        </w:numPr>
      </w:pPr>
      <w:r>
        <w:rPr>
          <w:b/>
          <w:bCs/>
        </w:rPr>
        <w:t xml:space="preserve">New business and retention:</w:t>
      </w:r>
      <w:r>
        <w:t xml:space="preserve"> </w:t>
      </w:r>
      <w:r>
        <w:t xml:space="preserve">In 1Q, total new business added 9 points to Aon organic growth, while retention was in the mid-90s. Commercial Risk new business contributed more than 12 points.</w:t>
      </w:r>
    </w:p>
    <w:p>
      <w:pPr>
        <w:pStyle w:val="Compact"/>
        <w:numPr>
          <w:ilvl w:val="0"/>
          <w:numId w:val="1001"/>
        </w:numPr>
      </w:pPr>
      <w:r>
        <w:rPr>
          <w:b/>
          <w:bCs/>
        </w:rPr>
        <w:t xml:space="preserve">Construction and data centers:</w:t>
      </w:r>
      <w:r>
        <w:t xml:space="preserve"> </w:t>
      </w:r>
      <w:r>
        <w:t xml:space="preserve">Aon has positioned data-center risk as an emerging growth vector, with a claimed pipeline running about 3x above the prior year at the time of the 1Q call. It is unlikely to be the sole driver of 2Q results, but management’s qualitative update on wins, capacity, and conversion is important.</w:t>
      </w:r>
    </w:p>
    <w:p>
      <w:pPr>
        <w:pStyle w:val="Compact"/>
        <w:numPr>
          <w:ilvl w:val="0"/>
          <w:numId w:val="1001"/>
        </w:numPr>
      </w:pPr>
      <w:r>
        <w:rPr>
          <w:b/>
          <w:bCs/>
        </w:rPr>
        <w:t xml:space="preserve">Net market impact:</w:t>
      </w:r>
      <w:r>
        <w:t xml:space="preserve"> </w:t>
      </w:r>
      <w:r>
        <w:t xml:space="preserve">Management previously framed a 0–2 point contribution for FY26. Maintaining roughly one point despite a softer rate environment would reinforce the argument that growth is increasingly driven by share gains and client demand rather than pricing.</w:t>
      </w:r>
    </w:p>
    <w:p>
      <w:pPr>
        <w:pStyle w:val="FirstParagraph"/>
      </w:pPr>
      <w:r>
        <w:t xml:space="preserve">The bull case is that Aon’s analytics-led approach is making brokerage revenue more insulated from insurance-rate cycles. The bear case is that 1Q Commercial Risk momentum benefited from favorable timing in M&amp;A services and construction, and that 2Q property renewals expose more pronounced market-rate headwinds.</w:t>
      </w:r>
    </w:p>
    <w:p>
      <w:r>
        <w:pict>
          <v:rect style="width:0;height:1.5pt" o:hralign="center" o:hrstd="t" o:hr="t"/>
        </w:pict>
      </w:r>
    </w:p>
    <w:bookmarkEnd w:id="11"/>
    <w:bookmarkStart w:id="12" w:name="Xa65ea1980bc53762fcf7eb065a37537312ab147"/>
    <w:p>
      <w:pPr>
        <w:pStyle w:val="Heading3"/>
      </w:pPr>
      <w:r>
        <w:t xml:space="preserve">3. Reinsurance needs to navigate a tougher price/volume equation</w:t>
      </w:r>
    </w:p>
    <w:p>
      <w:pPr>
        <w:pStyle w:val="FirstParagraph"/>
      </w:pPr>
      <w:r>
        <w:t xml:space="preserve">Reinsurance grew 4% organically in 1Q, with treaty placements and double-digit facultative growth offsetting rate pressure. Management expected a stronger second half, supported by international facultative placements and Strategy &amp; Technology Group solutions.</w:t>
      </w:r>
    </w:p>
    <w:p>
      <w:pPr>
        <w:pStyle w:val="BodyText"/>
      </w:pPr>
      <w:r>
        <w:t xml:space="preserve">For 2Q, investors should assess:</w:t>
      </w:r>
    </w:p>
    <w:p>
      <w:pPr>
        <w:pStyle w:val="Compact"/>
        <w:numPr>
          <w:ilvl w:val="0"/>
          <w:numId w:val="1002"/>
        </w:numPr>
      </w:pPr>
      <w:r>
        <w:t xml:space="preserve">Treaty-placement growth against the lower April 1 pricing backdrop;</w:t>
      </w:r>
    </w:p>
    <w:p>
      <w:pPr>
        <w:pStyle w:val="Compact"/>
        <w:numPr>
          <w:ilvl w:val="0"/>
          <w:numId w:val="1002"/>
        </w:numPr>
      </w:pPr>
      <w:r>
        <w:t xml:space="preserve">Facultative growth and international demand;</w:t>
      </w:r>
    </w:p>
    <w:p>
      <w:pPr>
        <w:pStyle w:val="Compact"/>
        <w:numPr>
          <w:ilvl w:val="0"/>
          <w:numId w:val="1002"/>
        </w:numPr>
      </w:pPr>
      <w:r>
        <w:t xml:space="preserve">New-logo production and retention;</w:t>
      </w:r>
    </w:p>
    <w:p>
      <w:pPr>
        <w:pStyle w:val="Compact"/>
        <w:numPr>
          <w:ilvl w:val="0"/>
          <w:numId w:val="1002"/>
        </w:numPr>
      </w:pPr>
      <w:r>
        <w:t xml:space="preserve">ILS/capital-markets momentum—the company cited $61 billion of outstanding ILS volumes in 1Q;</w:t>
      </w:r>
    </w:p>
    <w:p>
      <w:pPr>
        <w:pStyle w:val="Compact"/>
        <w:numPr>
          <w:ilvl w:val="0"/>
          <w:numId w:val="1002"/>
        </w:numPr>
      </w:pPr>
      <w:r>
        <w:t xml:space="preserve">Whether management’s confidence in a stronger second half remains intact.</w:t>
      </w:r>
    </w:p>
    <w:p>
      <w:pPr>
        <w:pStyle w:val="FirstParagraph"/>
      </w:pPr>
      <w:r>
        <w:t xml:space="preserve">Reinsurance does not need to match Commercial Risk growth to support the broader thesis, but a sharp slowdown could challenge the credibility of Aon’s full-year organic-growth guidance.</w:t>
      </w:r>
    </w:p>
    <w:p>
      <w:r>
        <w:pict>
          <v:rect style="width:0;height:1.5pt" o:hralign="center" o:hrstd="t" o:hr="t"/>
        </w:pict>
      </w:r>
    </w:p>
    <w:bookmarkEnd w:id="12"/>
    <w:bookmarkStart w:id="13" w:name="X97f842ae784df6e88143e780b46aafab5113deb"/>
    <w:p>
      <w:pPr>
        <w:pStyle w:val="Heading3"/>
      </w:pPr>
      <w:r>
        <w:t xml:space="preserve">4. Margin delivery should remain on track—but the quality matters</w:t>
      </w:r>
    </w:p>
    <w:p>
      <w:pPr>
        <w:pStyle w:val="FirstParagraph"/>
      </w:pPr>
      <w:r>
        <w:t xml:space="preserve">Aon delivered</w:t>
      </w:r>
      <w:r>
        <w:t xml:space="preserve"> </w:t>
      </w:r>
      <w:r>
        <w:rPr>
          <w:b/>
          <w:bCs/>
        </w:rPr>
        <w:t xml:space="preserve">70 bps of adjusted operating-margin expansion</w:t>
      </w:r>
      <w:r>
        <w:t xml:space="preserve"> </w:t>
      </w:r>
      <w:r>
        <w:t xml:space="preserve">in 1Q, to</w:t>
      </w:r>
      <w:r>
        <w:t xml:space="preserve"> </w:t>
      </w:r>
      <w:r>
        <w:rPr>
          <w:b/>
          <w:bCs/>
        </w:rPr>
        <w:t xml:space="preserve">39.1%</w:t>
      </w:r>
      <w:r>
        <w:t xml:space="preserve">, and reaffirmed its FY26 target of</w:t>
      </w:r>
      <w:r>
        <w:t xml:space="preserve"> </w:t>
      </w:r>
      <w:r>
        <w:rPr>
          <w:b/>
          <w:bCs/>
        </w:rPr>
        <w:t xml:space="preserve">70–80 bps</w:t>
      </w:r>
      <w:r>
        <w:t xml:space="preserve">. The company expects its restructuring program to generate</w:t>
      </w:r>
      <w:r>
        <w:t xml:space="preserve"> </w:t>
      </w:r>
      <w:r>
        <w:rPr>
          <w:b/>
          <w:bCs/>
        </w:rPr>
        <w:t xml:space="preserve">$100 million of savings in 2026</w:t>
      </w:r>
      <w:r>
        <w:t xml:space="preserve">, progressing toward $450 million cumulatively by 2027.</w:t>
      </w:r>
    </w:p>
    <w:p>
      <w:pPr>
        <w:pStyle w:val="BodyText"/>
      </w:pPr>
      <w:r>
        <w:t xml:space="preserve">The near-term question is whether 2Q demonstrates that margin expansion is coming from sustainable operating leverage—not simply lower integration costs, lower amortization, or discrete items.</w:t>
      </w:r>
    </w:p>
    <w:p>
      <w:pPr>
        <w:pStyle w:val="BodyText"/>
      </w:pPr>
      <w:r>
        <w:t xml:space="preserve">Key things to watch:</w:t>
      </w:r>
    </w:p>
    <w:p>
      <w:pPr>
        <w:pStyle w:val="Compact"/>
        <w:numPr>
          <w:ilvl w:val="0"/>
          <w:numId w:val="1003"/>
        </w:numPr>
      </w:pPr>
      <w:r>
        <w:t xml:space="preserve">Adjusted operating-margin progression versus the 70–80 bps full-year target;</w:t>
      </w:r>
    </w:p>
    <w:p>
      <w:pPr>
        <w:pStyle w:val="Compact"/>
        <w:numPr>
          <w:ilvl w:val="0"/>
          <w:numId w:val="1003"/>
        </w:numPr>
      </w:pPr>
      <w:r>
        <w:t xml:space="preserve">Compensation expense growth relative to revenue growth;</w:t>
      </w:r>
    </w:p>
    <w:p>
      <w:pPr>
        <w:pStyle w:val="Compact"/>
        <w:numPr>
          <w:ilvl w:val="0"/>
          <w:numId w:val="1003"/>
        </w:numPr>
      </w:pPr>
      <w:r>
        <w:t xml:space="preserve">Restructuring savings realization and remaining program costs;</w:t>
      </w:r>
    </w:p>
    <w:p>
      <w:pPr>
        <w:pStyle w:val="Compact"/>
        <w:numPr>
          <w:ilvl w:val="0"/>
          <w:numId w:val="1003"/>
        </w:numPr>
      </w:pPr>
      <w:r>
        <w:t xml:space="preserve">Continued investment in technology, analytics, and revenue-generating talent;</w:t>
      </w:r>
    </w:p>
    <w:p>
      <w:pPr>
        <w:pStyle w:val="Compact"/>
        <w:numPr>
          <w:ilvl w:val="0"/>
          <w:numId w:val="1003"/>
        </w:numPr>
      </w:pPr>
      <w:r>
        <w:t xml:space="preserve">Whether lower fiduciary investment income becomes a more material drag as rates decline.</w:t>
      </w:r>
    </w:p>
    <w:p>
      <w:pPr>
        <w:pStyle w:val="FirstParagraph"/>
      </w:pPr>
      <w:r>
        <w:t xml:space="preserve">Aon has emphasized that it is reinvesting productivity gains into client-facing growth, rather than maximizing short-term margins. That is strategically sensible, but it raises the threshold: investors will want evidence that spending on AI-enabled tools is lifting win rates, retention, and revenue productivity in parallel with margin expansion.</w:t>
      </w:r>
    </w:p>
    <w:p>
      <w:r>
        <w:pict>
          <v:rect style="width:0;height:1.5pt" o:hralign="center" o:hrstd="t" o:hr="t"/>
        </w:pict>
      </w:r>
    </w:p>
    <w:bookmarkEnd w:id="13"/>
    <w:bookmarkStart w:id="14" w:name="Xf30e804556699b15b7b19129bc9888373237e07"/>
    <w:p>
      <w:pPr>
        <w:pStyle w:val="Heading3"/>
      </w:pPr>
      <w:r>
        <w:t xml:space="preserve">5. AI and Aon Business Services: investors need measurable proof points</w:t>
      </w:r>
    </w:p>
    <w:p>
      <w:pPr>
        <w:pStyle w:val="FirstParagraph"/>
      </w:pPr>
      <w:r>
        <w:t xml:space="preserve">The company’s strategic narrative increasingly rests on Aon Business Services, proprietary data, analytics, and AI-enabled tools such as Broker Copilot, Claims Copilot, and risk analyzers. Management has cited tangible internal productivity improvements—faster invoicing, certificates of insurance, and policy checks—and has tied the tools to higher win rates and retention.</w:t>
      </w:r>
    </w:p>
    <w:p>
      <w:pPr>
        <w:pStyle w:val="BodyText"/>
      </w:pPr>
      <w:r>
        <w:t xml:space="preserve">For this quarter, the most useful disclosures would be:</w:t>
      </w:r>
    </w:p>
    <w:p>
      <w:pPr>
        <w:pStyle w:val="Compact"/>
        <w:numPr>
          <w:ilvl w:val="0"/>
          <w:numId w:val="1004"/>
        </w:numPr>
      </w:pPr>
      <w:r>
        <w:t xml:space="preserve">Broader deployment of risk analyzers and Broker Copilot across regions and solution lines;</w:t>
      </w:r>
    </w:p>
    <w:p>
      <w:pPr>
        <w:pStyle w:val="Compact"/>
        <w:numPr>
          <w:ilvl w:val="0"/>
          <w:numId w:val="1004"/>
        </w:numPr>
      </w:pPr>
      <w:r>
        <w:t xml:space="preserve">Evidence of improved new-business conversion or client retention;</w:t>
      </w:r>
    </w:p>
    <w:p>
      <w:pPr>
        <w:pStyle w:val="Compact"/>
        <w:numPr>
          <w:ilvl w:val="0"/>
          <w:numId w:val="1004"/>
        </w:numPr>
      </w:pPr>
      <w:r>
        <w:t xml:space="preserve">Quantified productivity savings and how much is being reinvested;</w:t>
      </w:r>
    </w:p>
    <w:p>
      <w:pPr>
        <w:pStyle w:val="Compact"/>
        <w:numPr>
          <w:ilvl w:val="0"/>
          <w:numId w:val="1004"/>
        </w:numPr>
      </w:pPr>
      <w:r>
        <w:t xml:space="preserve">Updates on data-center insurance capacity and pipeline conversion;</w:t>
      </w:r>
    </w:p>
    <w:p>
      <w:pPr>
        <w:pStyle w:val="Compact"/>
        <w:numPr>
          <w:ilvl w:val="0"/>
          <w:numId w:val="1004"/>
        </w:numPr>
      </w:pPr>
      <w:r>
        <w:t xml:space="preserve">Any refinement to the roughly</w:t>
      </w:r>
      <w:r>
        <w:t xml:space="preserve"> </w:t>
      </w:r>
      <w:r>
        <w:rPr>
          <w:b/>
          <w:bCs/>
        </w:rPr>
        <w:t xml:space="preserve">$1.3 billion</w:t>
      </w:r>
      <w:r>
        <w:t xml:space="preserve"> </w:t>
      </w:r>
      <w:r>
        <w:t xml:space="preserve">multiyear talent-and-technology investment framing.</w:t>
      </w:r>
    </w:p>
    <w:p>
      <w:pPr>
        <w:pStyle w:val="FirstParagraph"/>
      </w:pPr>
      <w:r>
        <w:t xml:space="preserve">The opportunity is meaningful: Aon argues that better analytics can expand the insurable-risk market and increase access to alternative capital. But investors should distinguish between promising operational demonstrations and revenue that is already material to consolidated growth.</w:t>
      </w:r>
    </w:p>
    <w:p>
      <w:r>
        <w:pict>
          <v:rect style="width:0;height:1.5pt" o:hralign="center" o:hrstd="t" o:hr="t"/>
        </w:pict>
      </w:r>
    </w:p>
    <w:bookmarkEnd w:id="14"/>
    <w:bookmarkEnd w:id="15"/>
    <w:bookmarkStart w:id="17" w:name="X4038fd5236a02aeeaa7bdfad766dbda0f5dcf76"/>
    <w:p>
      <w:pPr>
        <w:pStyle w:val="Heading2"/>
      </w:pPr>
      <w:r>
        <w:t xml:space="preserve">Guidance, below-the-line items, and capital allocation</w:t>
      </w:r>
    </w:p>
    <w:bookmarkStart w:id="16" w:name="full-year-framework-entering-the-release"/>
    <w:p>
      <w:pPr>
        <w:pStyle w:val="Heading3"/>
      </w:pPr>
      <w:r>
        <w:t xml:space="preserve">Full-year framework entering the release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FY26 objective / outlook</w:t>
            </w:r>
          </w:p>
        </w:tc>
        <w:tc>
          <w:tcPr/>
          <w:p>
            <w:pPr>
              <w:pStyle w:val="Compact"/>
            </w:pPr>
            <w:r>
              <w:t xml:space="preserve">Investor implication</w:t>
            </w:r>
          </w:p>
        </w:tc>
      </w:tr>
      <w:tr>
        <w:tc>
          <w:tcPr/>
          <w:p>
            <w:pPr>
              <w:pStyle w:val="Compact"/>
            </w:pPr>
            <w:r>
              <w:t xml:space="preserve">Mid-single-digit or greater organic growth</w:t>
            </w:r>
          </w:p>
        </w:tc>
        <w:tc>
          <w:tcPr/>
          <w:p>
            <w:pPr>
              <w:pStyle w:val="Compact"/>
            </w:pPr>
            <w:r>
              <w:t xml:space="preserve">Must remain intact despite insurance-rate pressure</w:t>
            </w:r>
          </w:p>
        </w:tc>
      </w:tr>
      <w:tr>
        <w:tc>
          <w:tcPr/>
          <w:p>
            <w:pPr>
              <w:pStyle w:val="Compact"/>
            </w:pPr>
            <w:r>
              <w:t xml:space="preserve">70–80 bps adjusted operating-margin expansion</w:t>
            </w:r>
          </w:p>
        </w:tc>
        <w:tc>
          <w:tcPr/>
          <w:p>
            <w:pPr>
              <w:pStyle w:val="Compact"/>
            </w:pPr>
            <w:r>
              <w:t xml:space="preserve">Requires sustained cost leverage alongside growth investment</w:t>
            </w:r>
          </w:p>
        </w:tc>
      </w:tr>
      <w:tr>
        <w:tc>
          <w:tcPr/>
          <w:p>
            <w:pPr>
              <w:pStyle w:val="Compact"/>
            </w:pPr>
            <w:r>
              <w:t xml:space="preserve">Strong adjusted EPS growth</w:t>
            </w:r>
          </w:p>
        </w:tc>
        <w:tc>
          <w:tcPr/>
          <w:p>
            <w:pPr>
              <w:pStyle w:val="Compact"/>
            </w:pPr>
            <w:r>
              <w:t xml:space="preserve">Dependent on operating performance, lower share count, tax, and below-the-line items</w:t>
            </w:r>
          </w:p>
        </w:tc>
      </w:tr>
      <w:tr>
        <w:tc>
          <w:tcPr/>
          <w:p>
            <w:pPr>
              <w:pStyle w:val="Compact"/>
            </w:pPr>
            <w:r>
              <w:t xml:space="preserve">Double-digit free-cash-flow growth</w:t>
            </w:r>
          </w:p>
        </w:tc>
        <w:tc>
          <w:tcPr/>
          <w:p>
            <w:pPr>
              <w:pStyle w:val="Compact"/>
            </w:pPr>
            <w:r>
              <w:t xml:space="preserve">Important validation of earnings quality and capital-return capacity</w:t>
            </w:r>
          </w:p>
        </w:tc>
      </w:tr>
      <w:tr>
        <w:tc>
          <w:tcPr/>
          <w:p>
            <w:pPr>
              <w:pStyle w:val="Compact"/>
            </w:pPr>
            <w:r>
              <w:t xml:space="preserve">At least $1 billion of share repurchases</w:t>
            </w:r>
          </w:p>
        </w:tc>
        <w:tc>
          <w:tcPr/>
          <w:p>
            <w:pPr>
              <w:pStyle w:val="Compact"/>
            </w:pPr>
            <w:r>
              <w:t xml:space="preserve">The floor now appears conservative given the new authorization</w:t>
            </w:r>
          </w:p>
        </w:tc>
      </w:tr>
    </w:tbl>
    <w:p>
      <w:pPr>
        <w:pStyle w:val="BodyText"/>
      </w:pPr>
      <w:r>
        <w:t xml:space="preserve">Management previously guided to approximately</w:t>
      </w:r>
      <w:r>
        <w:t xml:space="preserve"> </w:t>
      </w:r>
      <m:oMath>
        <m:r>
          <m:t>180</m:t>
        </m:r>
        <m:r>
          <m:t>m</m:t>
        </m:r>
        <m:r>
          <m:t>i</m:t>
        </m:r>
        <m:r>
          <m:t>l</m:t>
        </m:r>
        <m:r>
          <m:t>l</m:t>
        </m:r>
        <m:r>
          <m:t>i</m:t>
        </m:r>
        <m:r>
          <m:t>o</m:t>
        </m:r>
        <m:r>
          <m:t>n</m:t>
        </m:r>
        <m:r>
          <m:t>o</m:t>
        </m:r>
        <m:r>
          <m:t>f</m:t>
        </m:r>
        <m:r>
          <m:t>2</m:t>
        </m:r>
        <m:r>
          <m:t>Q</m:t>
        </m:r>
        <m:r>
          <m:t>i</m:t>
        </m:r>
        <m:r>
          <m:t>n</m:t>
        </m:r>
        <m:r>
          <m:t>t</m:t>
        </m:r>
        <m:r>
          <m:t>e</m:t>
        </m:r>
        <m:r>
          <m:t>r</m:t>
        </m:r>
        <m:r>
          <m:t>e</m:t>
        </m:r>
        <m:r>
          <m:t>s</m:t>
        </m:r>
        <m:r>
          <m:t>t</m:t>
        </m:r>
        <m:r>
          <m:t>e</m:t>
        </m:r>
        <m:r>
          <m:t>x</m:t>
        </m:r>
        <m:r>
          <m:t>p</m:t>
        </m:r>
        <m:r>
          <m:t>e</m:t>
        </m:r>
        <m:r>
          <m:t>n</m:t>
        </m:r>
        <m:r>
          <m:t>s</m:t>
        </m:r>
        <m:r>
          <m:t>e</m:t>
        </m:r>
        <m:r>
          <m:rPr>
            <m:sty m:val="p"/>
          </m:rPr>
          <m:t>*</m:t>
        </m:r>
        <m:r>
          <m:rPr>
            <m:sty m:val="p"/>
          </m:rPr>
          <m:t>*</m:t>
        </m:r>
        <m:r>
          <m:rPr>
            <m:sty m:val="p"/>
          </m:rPr>
          <m:t>,</m:t>
        </m:r>
        <m:r>
          <m:rPr>
            <m:sty m:val="p"/>
          </m:rPr>
          <m:t>*</m:t>
        </m:r>
        <m:r>
          <m:rPr>
            <m:sty m:val="p"/>
          </m:rPr>
          <m:t>*</m:t>
        </m:r>
      </m:oMath>
      <w:r>
        <w:rPr>
          <w:b/>
          <w:bCs/>
        </w:rPr>
        <w:t xml:space="preserve">15–20 million of other expense</w:t>
      </w:r>
      <w:r>
        <w:t xml:space="preserve">, and a</w:t>
      </w:r>
      <w:r>
        <w:t xml:space="preserve"> </w:t>
      </w:r>
      <w:r>
        <w:rPr>
          <w:b/>
          <w:bCs/>
        </w:rPr>
        <w:t xml:space="preserve">19.5%–20.5% full-year adjusted tax rate</w:t>
      </w:r>
      <w:r>
        <w:t xml:space="preserve">. Variances in those items can affect adjusted EPS, but they should not eclipse the organic-growth and margin discussion.</w:t>
      </w:r>
    </w:p>
    <w:p>
      <w:pPr>
        <w:pStyle w:val="BodyText"/>
      </w:pPr>
      <w:r>
        <w:t xml:space="preserve">Capital allocation is an incremental positive. Aon repurchased</w:t>
      </w:r>
      <w:r>
        <w:t xml:space="preserve"> </w:t>
      </w:r>
      <m:oMath>
        <m:r>
          <m:t>500</m:t>
        </m:r>
        <m:r>
          <m:t>m</m:t>
        </m:r>
        <m:r>
          <m:t>i</m:t>
        </m:r>
        <m:r>
          <m:t>l</m:t>
        </m:r>
        <m:r>
          <m:t>l</m:t>
        </m:r>
        <m:r>
          <m:t>i</m:t>
        </m:r>
        <m:r>
          <m:t>o</m:t>
        </m:r>
        <m:r>
          <m:t>n</m:t>
        </m:r>
        <m:r>
          <m:t>o</m:t>
        </m:r>
        <m:r>
          <m:t>f</m:t>
        </m:r>
        <m:r>
          <m:t>s</m:t>
        </m:r>
        <m:r>
          <m:t>t</m:t>
        </m:r>
        <m:r>
          <m:t>o</m:t>
        </m:r>
        <m:r>
          <m:t>c</m:t>
        </m:r>
        <m:r>
          <m:t>k</m:t>
        </m:r>
        <m:r>
          <m:t>i</m:t>
        </m:r>
        <m:r>
          <m:t>n</m:t>
        </m:r>
        <m:r>
          <m:t>1</m:t>
        </m:r>
        <m:r>
          <m:t>Q</m:t>
        </m:r>
        <m:r>
          <m:t>a</m:t>
        </m:r>
        <m:r>
          <m:t>n</m:t>
        </m:r>
        <m:r>
          <m:t>d</m:t>
        </m:r>
        <m:r>
          <m:t>s</m:t>
        </m:r>
        <m:r>
          <m:t>u</m:t>
        </m:r>
        <m:r>
          <m:t>b</m:t>
        </m:r>
        <m:r>
          <m:t>s</m:t>
        </m:r>
        <m:r>
          <m:t>e</m:t>
        </m:r>
        <m:r>
          <m:t>q</m:t>
        </m:r>
        <m:r>
          <m:t>u</m:t>
        </m:r>
        <m:r>
          <m:t>e</m:t>
        </m:r>
        <m:r>
          <m:t>n</m:t>
        </m:r>
        <m:r>
          <m:t>t</m:t>
        </m:r>
        <m:r>
          <m:t>l</m:t>
        </m:r>
        <m:r>
          <m:t>y</m:t>
        </m:r>
        <m:r>
          <m:t>r</m:t>
        </m:r>
        <m:r>
          <m:t>e</m:t>
        </m:r>
        <m:r>
          <m:t>c</m:t>
        </m:r>
        <m:r>
          <m:t>e</m:t>
        </m:r>
        <m:r>
          <m:t>i</m:t>
        </m:r>
        <m:r>
          <m:t>v</m:t>
        </m:r>
        <m:r>
          <m:t>e</m:t>
        </m:r>
        <m:r>
          <m:t>d</m:t>
        </m:r>
        <m:r>
          <m:t>a</m:t>
        </m:r>
        <m:r>
          <m:t>u</m:t>
        </m:r>
        <m:r>
          <m:t>t</m:t>
        </m:r>
        <m:r>
          <m:t>h</m:t>
        </m:r>
        <m:r>
          <m:t>o</m:t>
        </m:r>
        <m:r>
          <m:t>r</m:t>
        </m:r>
        <m:r>
          <m:t>i</m:t>
        </m:r>
        <m:r>
          <m:t>z</m:t>
        </m:r>
        <m:r>
          <m:t>a</m:t>
        </m:r>
        <m:r>
          <m:t>t</m:t>
        </m:r>
        <m:r>
          <m:t>i</m:t>
        </m:r>
        <m:r>
          <m:t>o</m:t>
        </m:r>
        <m:r>
          <m:t>n</m:t>
        </m:r>
        <m:r>
          <m:t>f</m:t>
        </m:r>
        <m:r>
          <m:t>o</m:t>
        </m:r>
        <m:r>
          <m:t>r</m:t>
        </m:r>
        <m:r>
          <m:t>a</m:t>
        </m:r>
        <m:r>
          <m:t>n</m:t>
        </m:r>
        <m:r>
          <m:t>a</m:t>
        </m:r>
        <m:r>
          <m:t>d</m:t>
        </m:r>
        <m:r>
          <m:t>d</m:t>
        </m:r>
        <m:r>
          <m:t>i</m:t>
        </m:r>
        <m:r>
          <m:t>t</m:t>
        </m:r>
        <m:r>
          <m:t>i</m:t>
        </m:r>
        <m:r>
          <m:t>o</m:t>
        </m:r>
        <m:r>
          <m:t>n</m:t>
        </m:r>
        <m:r>
          <m:t>a</m:t>
        </m:r>
        <m:r>
          <m:t>l</m:t>
        </m:r>
        <m:r>
          <m:rPr>
            <m:sty m:val="p"/>
          </m:rPr>
          <m:t>*</m:t>
        </m:r>
        <m:r>
          <m:rPr>
            <m:sty m:val="p"/>
          </m:rPr>
          <m:t>*</m:t>
        </m:r>
      </m:oMath>
      <w:r>
        <w:t xml:space="preserve">7.5 billion** of repurchases, on top of roughly $0.8 billion remaining as of March 31. The enlarged authorization signals confidence and creates flexibility, though actual repurchase pace will depend on valuation, cash generation, leverage, and the M&amp;A pipeline.</w:t>
      </w:r>
    </w:p>
    <w:p>
      <w:pPr>
        <w:pStyle w:val="BodyText"/>
      </w:pPr>
      <w:r>
        <w:t xml:space="preserve">One governance overhang worth noting: shareholders rejected the advisory say-on-pay proposal at the June 26 annual meeting, with approximately</w:t>
      </w:r>
      <w:r>
        <w:t xml:space="preserve"> </w:t>
      </w:r>
      <w:r>
        <w:rPr>
          <w:b/>
          <w:bCs/>
        </w:rPr>
        <w:t xml:space="preserve">60.9% of votes cast against</w:t>
      </w:r>
      <w:r>
        <w:t xml:space="preserve">. This should not affect 2Q operating results, but investors may look for the company’s eventual response on executive-pay design and shareholder engagement.</w:t>
      </w:r>
    </w:p>
    <w:p>
      <w:r>
        <w:pict>
          <v:rect style="width:0;height:1.5pt" o:hralign="center" o:hrstd="t" o:hr="t"/>
        </w:pict>
      </w:r>
    </w:p>
    <w:bookmarkEnd w:id="16"/>
    <w:bookmarkEnd w:id="17"/>
    <w:bookmarkStart w:id="21" w:name="bull-base-and-bear-framing"/>
    <w:p>
      <w:pPr>
        <w:pStyle w:val="Heading2"/>
      </w:pPr>
      <w:r>
        <w:t xml:space="preserve">Bull, base, and bear framing</w:t>
      </w:r>
    </w:p>
    <w:bookmarkStart w:id="18" w:name="bull-case"/>
    <w:p>
      <w:pPr>
        <w:pStyle w:val="Heading3"/>
      </w:pPr>
      <w:r>
        <w:t xml:space="preserve">Bull case</w:t>
      </w:r>
    </w:p>
    <w:p>
      <w:pPr>
        <w:pStyle w:val="Compact"/>
        <w:numPr>
          <w:ilvl w:val="0"/>
          <w:numId w:val="1005"/>
        </w:numPr>
      </w:pPr>
      <w:r>
        <w:t xml:space="preserve">Organic growth holds at or above the mid-single-digit level, led by resilient Commercial Risk.</w:t>
      </w:r>
    </w:p>
    <w:p>
      <w:pPr>
        <w:pStyle w:val="Compact"/>
        <w:numPr>
          <w:ilvl w:val="0"/>
          <w:numId w:val="1005"/>
        </w:numPr>
      </w:pPr>
      <w:r>
        <w:t xml:space="preserve">Reinsurance absorbs rate declines through volume, new business, facultative demand, and international activity.</w:t>
      </w:r>
    </w:p>
    <w:p>
      <w:pPr>
        <w:pStyle w:val="Compact"/>
        <w:numPr>
          <w:ilvl w:val="0"/>
          <w:numId w:val="1005"/>
        </w:numPr>
      </w:pPr>
      <w:r>
        <w:t xml:space="preserve">Margin expansion tracks or exceeds the FY target despite continued technology and talent investment.</w:t>
      </w:r>
    </w:p>
    <w:p>
      <w:pPr>
        <w:pStyle w:val="Compact"/>
        <w:numPr>
          <w:ilvl w:val="0"/>
          <w:numId w:val="1005"/>
        </w:numPr>
      </w:pPr>
      <w:r>
        <w:t xml:space="preserve">Management reaffirms all FY26 targets and provides stronger evidence that AI/ABS is lifting both revenue productivity and unit-cost efficiency.</w:t>
      </w:r>
    </w:p>
    <w:p>
      <w:pPr>
        <w:pStyle w:val="Compact"/>
        <w:numPr>
          <w:ilvl w:val="0"/>
          <w:numId w:val="1005"/>
        </w:numPr>
      </w:pPr>
      <w:r>
        <w:t xml:space="preserve">Buyback commentary becomes more constructive following the expanded authorization.</w:t>
      </w:r>
    </w:p>
    <w:bookmarkEnd w:id="18"/>
    <w:bookmarkStart w:id="19" w:name="base-case"/>
    <w:p>
      <w:pPr>
        <w:pStyle w:val="Heading3"/>
      </w:pPr>
      <w:r>
        <w:t xml:space="preserve">Base case</w:t>
      </w:r>
    </w:p>
    <w:p>
      <w:pPr>
        <w:pStyle w:val="Compact"/>
        <w:numPr>
          <w:ilvl w:val="0"/>
          <w:numId w:val="1006"/>
        </w:numPr>
      </w:pPr>
      <w:r>
        <w:t xml:space="preserve">Organic growth remains around 5%, with Commercial Risk moderating but still healthy and Reinsurance pressured by rates.</w:t>
      </w:r>
    </w:p>
    <w:p>
      <w:pPr>
        <w:pStyle w:val="Compact"/>
        <w:numPr>
          <w:ilvl w:val="0"/>
          <w:numId w:val="1006"/>
        </w:numPr>
      </w:pPr>
      <w:r>
        <w:t xml:space="preserve">Margins progress in line with the annual plan.</w:t>
      </w:r>
    </w:p>
    <w:p>
      <w:pPr>
        <w:pStyle w:val="Compact"/>
        <w:numPr>
          <w:ilvl w:val="0"/>
          <w:numId w:val="1006"/>
        </w:numPr>
      </w:pPr>
      <w:r>
        <w:t xml:space="preserve">FY guidance is reiterated, though management leans on a stronger second half for growth and free cash flow.</w:t>
      </w:r>
    </w:p>
    <w:p>
      <w:pPr>
        <w:pStyle w:val="Compact"/>
        <w:numPr>
          <w:ilvl w:val="0"/>
          <w:numId w:val="1006"/>
        </w:numPr>
      </w:pPr>
      <w:r>
        <w:t xml:space="preserve">AI commentary remains strategically compelling but mostly qualitative.</w:t>
      </w:r>
    </w:p>
    <w:bookmarkEnd w:id="19"/>
    <w:bookmarkStart w:id="20" w:name="bear-case"/>
    <w:p>
      <w:pPr>
        <w:pStyle w:val="Heading3"/>
      </w:pPr>
      <w:r>
        <w:t xml:space="preserve">Bear case</w:t>
      </w:r>
    </w:p>
    <w:p>
      <w:pPr>
        <w:pStyle w:val="Compact"/>
        <w:numPr>
          <w:ilvl w:val="0"/>
          <w:numId w:val="1007"/>
        </w:numPr>
      </w:pPr>
      <w:r>
        <w:t xml:space="preserve">Commercial Risk growth decelerates materially as property pricing and exposure trends weaken.</w:t>
      </w:r>
    </w:p>
    <w:p>
      <w:pPr>
        <w:pStyle w:val="Compact"/>
        <w:numPr>
          <w:ilvl w:val="0"/>
          <w:numId w:val="1007"/>
        </w:numPr>
      </w:pPr>
      <w:r>
        <w:t xml:space="preserve">Reinsurance rate pressure has a larger-than-expected effect on organic growth.</w:t>
      </w:r>
    </w:p>
    <w:p>
      <w:pPr>
        <w:pStyle w:val="Compact"/>
        <w:numPr>
          <w:ilvl w:val="0"/>
          <w:numId w:val="1007"/>
        </w:numPr>
      </w:pPr>
      <w:r>
        <w:t xml:space="preserve">Margin performance is diluted by investment spending or insufficient restructuring savings.</w:t>
      </w:r>
    </w:p>
    <w:p>
      <w:pPr>
        <w:pStyle w:val="Compact"/>
        <w:numPr>
          <w:ilvl w:val="0"/>
          <w:numId w:val="1007"/>
        </w:numPr>
      </w:pPr>
      <w:r>
        <w:t xml:space="preserve">Guidance is narrowed or maintained with a more back-end-loaded tone.</w:t>
      </w:r>
    </w:p>
    <w:p>
      <w:pPr>
        <w:pStyle w:val="Compact"/>
        <w:numPr>
          <w:ilvl w:val="0"/>
          <w:numId w:val="1007"/>
        </w:numPr>
      </w:pPr>
      <w:r>
        <w:t xml:space="preserve">The market questions whether the recent share-price strength has already discounted the operational improvement story.</w:t>
      </w:r>
    </w:p>
    <w:p>
      <w:r>
        <w:pict>
          <v:rect style="width:0;height:1.5pt" o:hralign="center" o:hrstd="t" o:hr="t"/>
        </w:pict>
      </w:r>
    </w:p>
    <w:bookmarkEnd w:id="20"/>
    <w:bookmarkEnd w:id="21"/>
    <w:bookmarkStart w:id="22" w:name="bottom-line"/>
    <w:p>
      <w:pPr>
        <w:pStyle w:val="Heading2"/>
      </w:pPr>
      <w:r>
        <w:t xml:space="preserve">Bottom line</w:t>
      </w:r>
    </w:p>
    <w:p>
      <w:pPr>
        <w:pStyle w:val="FirstParagraph"/>
      </w:pPr>
      <w:r>
        <w:t xml:space="preserve">Aon’s 2Q report is primarily a test of</w:t>
      </w:r>
      <w:r>
        <w:t xml:space="preserve"> </w:t>
      </w:r>
      <w:r>
        <w:rPr>
          <w:b/>
          <w:bCs/>
        </w:rPr>
        <w:t xml:space="preserve">growth durability through a softer pricing cycle</w:t>
      </w:r>
      <w:r>
        <w:t xml:space="preserve">. The company has already shown it can generate operating leverage and return capital; the incremental question is whether its technology, talent, and integrated-client strategy can keep Commercial Risk and Reinsurance growing fast enough to support a full-year mid-single-digit-or-better organic-growth outcome.</w:t>
      </w:r>
    </w:p>
    <w:p>
      <w:pPr>
        <w:pStyle w:val="BodyText"/>
      </w:pPr>
      <w:r>
        <w:t xml:space="preserve">For the stock, the most market-relevant combination would be:</w:t>
      </w:r>
      <w:r>
        <w:t xml:space="preserve"> </w:t>
      </w:r>
      <w:r>
        <w:rPr>
          <w:b/>
          <w:bCs/>
        </w:rPr>
        <w:t xml:space="preserve">resilient Commercial Risk growth, a controlled Reinsurance slowdown, 70–80 bps margin guidance intact, and tangible evidence that AI/ABS investments are contributing to revenue and retention—not merely internal efficiency.</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2026-07-29T00:41:13Z</dcterms:created>
  <dcterms:modified xsi:type="dcterms:W3CDTF">2026-07-29T00:41:13Z</dcterms:modified>
</cp:coreProperties>
</file>

<file path=docProps/custom.xml><?xml version="1.0" encoding="utf-8"?>
<Properties xmlns="http://schemas.openxmlformats.org/officeDocument/2006/custom-properties" xmlns:vt="http://schemas.openxmlformats.org/officeDocument/2006/docPropsVTypes"/>
</file>