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Aon plc (AON)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Aon plc</w:t>
            </w:r>
          </w:p>
        </w:tc>
      </w:tr>
      <w:tr>
        <w:tc>
          <w:tcPr>
            <w:tcW w:type="dxa" w:w="4320"/>
          </w:tcPr>
          <w:p>
            <w:r>
              <w:rPr>
                <w:rFonts w:ascii="Calibri" w:hAnsi="Calibri"/>
                <w:b/>
                <w:sz w:val="22"/>
              </w:rPr>
              <w:t>Ticker</w:t>
            </w:r>
          </w:p>
        </w:tc>
        <w:tc>
          <w:tcPr>
            <w:tcW w:type="dxa" w:w="4320"/>
          </w:tcPr>
          <w:p>
            <w:r>
              <w:rPr>
                <w:rFonts w:ascii="Calibri" w:hAnsi="Calibri"/>
                <w:sz w:val="22"/>
              </w:rPr>
              <w:t>AON</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TBD — expected late July / early August 2026</w:t>
            </w:r>
          </w:p>
        </w:tc>
      </w:tr>
      <w:tr>
        <w:tc>
          <w:tcPr>
            <w:tcW w:type="dxa" w:w="4320"/>
          </w:tcPr>
          <w:p>
            <w:r>
              <w:rPr>
                <w:rFonts w:ascii="Calibri" w:hAnsi="Calibri"/>
                <w:b/>
                <w:sz w:val="22"/>
              </w:rPr>
              <w:t>Last Earnings Date</w:t>
            </w:r>
          </w:p>
        </w:tc>
        <w:tc>
          <w:tcPr>
            <w:tcW w:type="dxa" w:w="4320"/>
          </w:tcPr>
          <w:p>
            <w:r>
              <w:rPr>
                <w:rFonts w:ascii="Calibri" w:hAnsi="Calibri"/>
                <w:sz w:val="22"/>
              </w:rPr>
              <w:t>May 1, 2026 (Q1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Financials / Insurance Brokers &amp; Services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at ~5% organic growth, below AON's own mid-single-digit-or-greater guidance, and peer read-throughs from MMC (Q2 underlying growth accelerated to 5%) and AJG (brokerage segment guiding ~5% Q2 organic) confirm a constructive demand environment; the biggest swing factor is whether commercial risk can sustain its 6–7% organic momentum against softening property rates.</w:t>
      </w:r>
    </w:p>
    <w:p>
      <w:r>
        <w:rPr>
          <w:rFonts w:ascii="Calibri" w:hAnsi="Calibri"/>
          <w:color w:val="525866"/>
          <w:sz w:val="22"/>
        </w:rPr>
        <w:t xml:space="preserve">Heading into Q2 2026, the bar for Aon looks achievable but not trivial. </w:t>
      </w:r>
      <w:r>
        <w:rPr>
          <w:rFonts w:ascii="Calibri" w:hAnsi="Calibri"/>
          <w:b/>
          <w:color w:val="525866"/>
          <w:sz w:val="22"/>
        </w:rPr>
        <w:t>Consensus organic revenue growth of ~5%</w:t>
      </w:r>
      <w:r>
        <w:rPr>
          <w:rFonts w:ascii="Calibri" w:hAnsi="Calibri"/>
          <w:color w:val="525866"/>
          <w:sz w:val="22"/>
        </w:rPr>
        <w:t xml:space="preserve"> sits at the low end of management’s “mid-single-digit or greater” full-year guidance, creating a modest cushion for a beat if commercial risk continues its four-quarter streak of 6%+ organic growth. Management’s tone at the June 9 Morgan Stanley conference was constructive — CFO Reese reiterated that AON is “150 basis points better than the industry average” on organic growth and that commercial risk specifically is “440 basis points better than the industry average,” signaling no deterioration in competitive positioning. Estimate revisions have been essentially flat since the Q1 print (Q2 consensus organic growth moved from 5.02% to 5.01%), suggesting the Street is neither chasing the beat nor pricing in a miss, which leaves the stock setup relatively clean. The stock has already rallied ~22% since the Q1 earnings date, trading at a meaningful premium to historical multiples, so the market has priced in continued execution — a miss on organic growth or any guidance cut would be disproportionately punished. The key wildcard is </w:t>
      </w:r>
      <w:r>
        <w:rPr>
          <w:rFonts w:ascii="Calibri" w:hAnsi="Calibri"/>
          <w:b/>
          <w:color w:val="525866"/>
          <w:sz w:val="22"/>
        </w:rPr>
        <w:t>reinsurance pricing headwinds</w:t>
      </w:r>
      <w:r>
        <w:rPr>
          <w:rFonts w:ascii="Calibri" w:hAnsi="Calibri"/>
          <w:color w:val="525866"/>
          <w:sz w:val="22"/>
        </w:rPr>
        <w:t>: management guided to April 1 renewal rates down 15–20% in the U.S. and Japan (partially offset by ~10% higher demand), and MMC’s Guy Carpenter reported its property cat rate online index down 16% at midyear — the steepest decline in 25 years — which could pressure AON’s reinsurance segment and test whether the data center pipeline and international facultative growth can fully offset.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 Q2 organic revenue growth of ~5.0% sits at the low end of AON’s own guidance range, and the adjusted operating EPS estimate of $3.80 implies modest YoY growth; </w:t>
      </w:r>
      <w:r>
        <w:rPr>
          <w:rFonts w:ascii="Calibri" w:hAnsi="Calibri"/>
          <w:b/>
          <w:color w:val="525866"/>
          <w:sz w:val="22"/>
        </w:rPr>
        <w:t>organic revenue growth is the bigger swing factor</w:t>
      </w:r>
      <w:r>
        <w:rPr>
          <w:rFonts w:ascii="Calibri" w:hAnsi="Calibri"/>
          <w:color w:val="525866"/>
          <w:sz w:val="22"/>
        </w:rPr>
        <w:t xml:space="preserve"> given the reinsurance pricing headwind and the data center pipeline ramp.</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(Full Year)</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$5.034B</w:t>
            </w:r>
          </w:p>
        </w:tc>
        <w:tc>
          <w:tcPr>
            <w:tcW w:type="dxa" w:w="1234"/>
          </w:tcPr>
          <w:p>
            <w:r>
              <w:rPr>
                <w:rFonts w:ascii="Calibri" w:hAnsi="Calibri"/>
                <w:sz w:val="22"/>
              </w:rPr>
              <w:t>$4.155B</w:t>
            </w:r>
          </w:p>
        </w:tc>
        <w:tc>
          <w:tcPr>
            <w:tcW w:type="dxa" w:w="1234"/>
          </w:tcPr>
          <w:p>
            <w:r>
              <w:rPr>
                <w:rFonts w:ascii="Calibri" w:hAnsi="Calibri"/>
                <w:sz w:val="22"/>
              </w:rPr>
              <w:t>$4.274B</w:t>
            </w:r>
          </w:p>
        </w:tc>
        <w:tc>
          <w:tcPr>
            <w:tcW w:type="dxa" w:w="1234"/>
          </w:tcPr>
          <w:p>
            <w:r>
              <w:rPr>
                <w:rFonts w:ascii="Calibri" w:hAnsi="Calibri"/>
                <w:sz w:val="22"/>
              </w:rPr>
              <w:t>+2.9% YoY</w:t>
            </w:r>
          </w:p>
        </w:tc>
        <w:tc>
          <w:tcPr>
            <w:tcW w:type="dxa" w:w="1234"/>
          </w:tcPr>
          <w:p>
            <w:r>
              <w:rPr>
                <w:rFonts w:ascii="Calibri" w:hAnsi="Calibri"/>
                <w:sz w:val="22"/>
              </w:rPr>
              <w:t>Mid-single-digit or greater organic growth</w:t>
            </w:r>
          </w:p>
        </w:tc>
        <w:tc>
          <w:tcPr>
            <w:tcW w:type="dxa" w:w="1234"/>
          </w:tcPr>
          <w:p>
            <w:r>
              <w:rPr>
                <w:rFonts w:ascii="Calibri" w:hAnsi="Calibri"/>
                <w:sz w:val="22"/>
              </w:rPr>
              <w:t>In line with guidance</w:t>
            </w:r>
          </w:p>
        </w:tc>
      </w:tr>
      <w:tr>
        <w:tc>
          <w:tcPr>
            <w:tcW w:type="dxa" w:w="1234"/>
          </w:tcPr>
          <w:p>
            <w:r>
              <w:rPr>
                <w:rFonts w:ascii="Calibri" w:hAnsi="Calibri"/>
                <w:sz w:val="22"/>
              </w:rPr>
              <w:t>Organic Revenue Growth (%)</w:t>
            </w:r>
          </w:p>
        </w:tc>
        <w:tc>
          <w:tcPr>
            <w:tcW w:type="dxa" w:w="1234"/>
          </w:tcPr>
          <w:p>
            <w:r>
              <w:rPr>
                <w:rFonts w:ascii="Calibri" w:hAnsi="Calibri"/>
                <w:sz w:val="22"/>
              </w:rPr>
              <w:t>5%</w:t>
            </w:r>
          </w:p>
        </w:tc>
        <w:tc>
          <w:tcPr>
            <w:tcW w:type="dxa" w:w="1234"/>
          </w:tcPr>
          <w:p>
            <w:r>
              <w:rPr>
                <w:rFonts w:ascii="Calibri" w:hAnsi="Calibri"/>
                <w:sz w:val="22"/>
              </w:rPr>
              <w:t>6%</w:t>
            </w:r>
          </w:p>
        </w:tc>
        <w:tc>
          <w:tcPr>
            <w:tcW w:type="dxa" w:w="1234"/>
          </w:tcPr>
          <w:p>
            <w:r>
              <w:rPr>
                <w:rFonts w:ascii="Calibri" w:hAnsi="Calibri"/>
                <w:sz w:val="22"/>
              </w:rPr>
              <w:t>~5.0%</w:t>
            </w:r>
          </w:p>
        </w:tc>
        <w:tc>
          <w:tcPr>
            <w:tcW w:type="dxa" w:w="1234"/>
          </w:tcPr>
          <w:p>
            <w:r>
              <w:rPr>
                <w:rFonts w:ascii="Calibri" w:hAnsi="Calibri"/>
                <w:sz w:val="22"/>
              </w:rPr>
              <w:t>-100 bps YoY</w:t>
            </w:r>
          </w:p>
        </w:tc>
        <w:tc>
          <w:tcPr>
            <w:tcW w:type="dxa" w:w="1234"/>
          </w:tcPr>
          <w:p>
            <w:r>
              <w:rPr>
                <w:rFonts w:ascii="Calibri" w:hAnsi="Calibri"/>
                <w:sz w:val="22"/>
              </w:rPr>
              <w:t>Mid-single-digit or greater</w:t>
            </w:r>
          </w:p>
        </w:tc>
        <w:tc>
          <w:tcPr>
            <w:tcW w:type="dxa" w:w="1234"/>
          </w:tcPr>
          <w:p>
            <w:r>
              <w:rPr>
                <w:rFonts w:ascii="Calibri" w:hAnsi="Calibri"/>
                <w:sz w:val="22"/>
              </w:rPr>
              <w:t>At low end of guidance</w:t>
            </w:r>
          </w:p>
        </w:tc>
      </w:tr>
      <w:tr>
        <w:tc>
          <w:tcPr>
            <w:tcW w:type="dxa" w:w="1234"/>
          </w:tcPr>
          <w:p>
            <w:r>
              <w:rPr>
                <w:rFonts w:ascii="Calibri" w:hAnsi="Calibri"/>
                <w:sz w:val="22"/>
              </w:rPr>
              <w:t>Adj. Operating EPS ($)</w:t>
            </w:r>
          </w:p>
        </w:tc>
        <w:tc>
          <w:tcPr>
            <w:tcW w:type="dxa" w:w="1234"/>
          </w:tcPr>
          <w:p>
            <w:r>
              <w:rPr>
                <w:rFonts w:ascii="Calibri" w:hAnsi="Calibri"/>
                <w:sz w:val="22"/>
              </w:rPr>
              <w:t>$6.48</w:t>
            </w:r>
          </w:p>
        </w:tc>
        <w:tc>
          <w:tcPr>
            <w:tcW w:type="dxa" w:w="1234"/>
          </w:tcPr>
          <w:p>
            <w:r>
              <w:rPr>
                <w:rFonts w:ascii="Calibri" w:hAnsi="Calibri"/>
                <w:sz w:val="22"/>
              </w:rPr>
              <w:t>$3.49</w:t>
            </w:r>
          </w:p>
        </w:tc>
        <w:tc>
          <w:tcPr>
            <w:tcW w:type="dxa" w:w="1234"/>
          </w:tcPr>
          <w:p>
            <w:r>
              <w:rPr>
                <w:rFonts w:ascii="Calibri" w:hAnsi="Calibri"/>
                <w:sz w:val="22"/>
              </w:rPr>
              <w:t>$3.80</w:t>
            </w:r>
          </w:p>
        </w:tc>
        <w:tc>
          <w:tcPr>
            <w:tcW w:type="dxa" w:w="1234"/>
          </w:tcPr>
          <w:p>
            <w:r>
              <w:rPr>
                <w:rFonts w:ascii="Calibri" w:hAnsi="Calibri"/>
                <w:sz w:val="22"/>
              </w:rPr>
              <w:t>+8.9% YoY</w:t>
            </w:r>
          </w:p>
        </w:tc>
        <w:tc>
          <w:tcPr>
            <w:tcW w:type="dxa" w:w="1234"/>
          </w:tcPr>
          <w:p>
            <w:r>
              <w:rPr>
                <w:rFonts w:ascii="Calibri" w:hAnsi="Calibri"/>
                <w:sz w:val="22"/>
              </w:rPr>
              <w:t>Strong earnings growth</w:t>
            </w:r>
          </w:p>
        </w:tc>
        <w:tc>
          <w:tcPr>
            <w:tcW w:type="dxa" w:w="1234"/>
          </w:tcPr>
          <w:p>
            <w:r>
              <w:rPr>
                <w:rFonts w:ascii="Calibri" w:hAnsi="Calibri"/>
                <w:sz w:val="22"/>
              </w:rPr>
              <w:t>Consistent with guidance</w:t>
            </w:r>
          </w:p>
        </w:tc>
      </w:tr>
      <w:tr>
        <w:tc>
          <w:tcPr>
            <w:tcW w:type="dxa" w:w="1234"/>
          </w:tcPr>
          <w:p>
            <w:r>
              <w:rPr>
                <w:rFonts w:ascii="Calibri" w:hAnsi="Calibri"/>
                <w:sz w:val="22"/>
              </w:rPr>
              <w:t>Adj. Operating Income ($B)</w:t>
            </w:r>
          </w:p>
        </w:tc>
        <w:tc>
          <w:tcPr>
            <w:tcW w:type="dxa" w:w="1234"/>
          </w:tcPr>
          <w:p>
            <w:r>
              <w:rPr>
                <w:rFonts w:ascii="Calibri" w:hAnsi="Calibri"/>
                <w:sz w:val="22"/>
              </w:rPr>
              <w:t>$1.966B</w:t>
            </w:r>
          </w:p>
        </w:tc>
        <w:tc>
          <w:tcPr>
            <w:tcW w:type="dxa" w:w="1234"/>
          </w:tcPr>
          <w:p>
            <w:r>
              <w:rPr>
                <w:rFonts w:ascii="Calibri" w:hAnsi="Calibri"/>
                <w:sz w:val="22"/>
              </w:rPr>
              <w:t>$1.171B</w:t>
            </w:r>
          </w:p>
        </w:tc>
        <w:tc>
          <w:tcPr>
            <w:tcW w:type="dxa" w:w="1234"/>
          </w:tcPr>
          <w:p>
            <w:r>
              <w:rPr>
                <w:rFonts w:ascii="Calibri" w:hAnsi="Calibri"/>
                <w:sz w:val="22"/>
              </w:rPr>
              <w:t>$1.231B</w:t>
            </w:r>
          </w:p>
        </w:tc>
        <w:tc>
          <w:tcPr>
            <w:tcW w:type="dxa" w:w="1234"/>
          </w:tcPr>
          <w:p>
            <w:r>
              <w:rPr>
                <w:rFonts w:ascii="Calibri" w:hAnsi="Calibri"/>
                <w:sz w:val="22"/>
              </w:rPr>
              <w:t>+5.1% YoY</w:t>
            </w:r>
          </w:p>
        </w:tc>
        <w:tc>
          <w:tcPr>
            <w:tcW w:type="dxa" w:w="1234"/>
          </w:tcPr>
          <w:p>
            <w:r>
              <w:rPr>
                <w:rFonts w:ascii="Calibri" w:hAnsi="Calibri"/>
                <w:sz w:val="22"/>
              </w:rPr>
              <w:t>70–80 bps margin expansion</w:t>
            </w:r>
          </w:p>
        </w:tc>
        <w:tc>
          <w:tcPr>
            <w:tcW w:type="dxa" w:w="1234"/>
          </w:tcPr>
          <w:p>
            <w:r>
              <w:rPr>
                <w:rFonts w:ascii="Calibri" w:hAnsi="Calibri"/>
                <w:sz w:val="22"/>
              </w:rPr>
              <w:t>Consistent with guidance</w:t>
            </w:r>
          </w:p>
        </w:tc>
      </w:tr>
      <w:tr>
        <w:tc>
          <w:tcPr>
            <w:tcW w:type="dxa" w:w="1234"/>
          </w:tcPr>
          <w:p>
            <w:r>
              <w:rPr>
                <w:rFonts w:ascii="Calibri" w:hAnsi="Calibri"/>
                <w:sz w:val="22"/>
              </w:rPr>
              <w:t>Free Cash Flow ($B)</w:t>
            </w:r>
          </w:p>
        </w:tc>
        <w:tc>
          <w:tcPr>
            <w:tcW w:type="dxa" w:w="1234"/>
          </w:tcPr>
          <w:p>
            <w:r>
              <w:rPr>
                <w:rFonts w:ascii="Calibri" w:hAnsi="Calibri"/>
                <w:sz w:val="22"/>
              </w:rPr>
              <w:t>$0.363B</w:t>
            </w:r>
          </w:p>
        </w:tc>
        <w:tc>
          <w:tcPr>
            <w:tcW w:type="dxa" w:w="1234"/>
          </w:tcPr>
          <w:p>
            <w:r>
              <w:rPr>
                <w:rFonts w:ascii="Calibri" w:hAnsi="Calibri"/>
                <w:sz w:val="22"/>
              </w:rPr>
              <w:t>$0.732B</w:t>
            </w:r>
          </w:p>
        </w:tc>
        <w:tc>
          <w:tcPr>
            <w:tcW w:type="dxa" w:w="1234"/>
          </w:tcPr>
          <w:p>
            <w:r>
              <w:rPr>
                <w:rFonts w:ascii="Calibri" w:hAnsi="Calibri"/>
                <w:sz w:val="22"/>
              </w:rPr>
              <w:t>$0.748B</w:t>
            </w:r>
          </w:p>
        </w:tc>
        <w:tc>
          <w:tcPr>
            <w:tcW w:type="dxa" w:w="1234"/>
          </w:tcPr>
          <w:p>
            <w:r>
              <w:rPr>
                <w:rFonts w:ascii="Calibri" w:hAnsi="Calibri"/>
                <w:sz w:val="22"/>
              </w:rPr>
              <w:t>+2.2% YoY</w:t>
            </w:r>
          </w:p>
        </w:tc>
        <w:tc>
          <w:tcPr>
            <w:tcW w:type="dxa" w:w="1234"/>
          </w:tcPr>
          <w:p>
            <w:r>
              <w:rPr>
                <w:rFonts w:ascii="Calibri" w:hAnsi="Calibri"/>
                <w:sz w:val="22"/>
              </w:rPr>
              <w:t>Double-digit FCF growth (FY)</w:t>
            </w:r>
          </w:p>
        </w:tc>
        <w:tc>
          <w:tcPr>
            <w:tcW w:type="dxa" w:w="1234"/>
          </w:tcPr>
          <w:p>
            <w:r>
              <w:rPr>
                <w:rFonts w:ascii="Calibri" w:hAnsi="Calibri"/>
                <w:sz w:val="22"/>
              </w:rPr>
              <w:t>Below FY pace; Q2 typically lower</w:t>
            </w:r>
          </w:p>
        </w:tc>
      </w:tr>
      <w:tr>
        <w:tc>
          <w:tcPr>
            <w:tcW w:type="dxa" w:w="1234"/>
          </w:tcPr>
          <w:p>
            <w:r>
              <w:rPr>
                <w:rFonts w:ascii="Calibri" w:hAnsi="Calibri"/>
                <w:sz w:val="22"/>
              </w:rPr>
              <w:t>Commercial Risk Organic (%)</w:t>
            </w:r>
          </w:p>
        </w:tc>
        <w:tc>
          <w:tcPr>
            <w:tcW w:type="dxa" w:w="1234"/>
          </w:tcPr>
          <w:p>
            <w:r>
              <w:rPr>
                <w:rFonts w:ascii="Calibri" w:hAnsi="Calibri"/>
                <w:sz w:val="22"/>
              </w:rPr>
              <w:t>7%</w:t>
            </w:r>
          </w:p>
        </w:tc>
        <w:tc>
          <w:tcPr>
            <w:tcW w:type="dxa" w:w="1234"/>
          </w:tcPr>
          <w:p>
            <w:r>
              <w:rPr>
                <w:rFonts w:ascii="Calibri" w:hAnsi="Calibri"/>
                <w:sz w:val="22"/>
              </w:rPr>
              <w:t>6%</w:t>
            </w:r>
          </w:p>
        </w:tc>
        <w:tc>
          <w:tcPr>
            <w:tcW w:type="dxa" w:w="1234"/>
          </w:tcPr>
          <w:p>
            <w:r>
              <w:rPr>
                <w:rFonts w:ascii="Calibri" w:hAnsi="Calibri"/>
                <w:sz w:val="22"/>
              </w:rPr>
              <w:t>~5.7%</w:t>
            </w:r>
          </w:p>
        </w:tc>
        <w:tc>
          <w:tcPr>
            <w:tcW w:type="dxa" w:w="1234"/>
          </w:tcPr>
          <w:p>
            <w:r>
              <w:rPr>
                <w:rFonts w:ascii="Calibri" w:hAnsi="Calibri"/>
                <w:sz w:val="22"/>
              </w:rPr>
              <w:t>-30 bps YoY</w:t>
            </w:r>
          </w:p>
        </w:tc>
        <w:tc>
          <w:tcPr>
            <w:tcW w:type="dxa" w:w="1234"/>
          </w:tcPr>
          <w:p>
            <w:r>
              <w:rPr>
                <w:rFonts w:ascii="Calibri" w:hAnsi="Calibri"/>
                <w:sz w:val="22"/>
              </w:rPr>
              <w:t>Mid-single-digit or greater</w:t>
            </w:r>
          </w:p>
        </w:tc>
        <w:tc>
          <w:tcPr>
            <w:tcW w:type="dxa" w:w="1234"/>
          </w:tcPr>
          <w:p>
            <w:r>
              <w:rPr>
                <w:rFonts w:ascii="Calibri" w:hAnsi="Calibri"/>
                <w:sz w:val="22"/>
              </w:rPr>
              <w:t>At low end of guidance</w:t>
            </w:r>
          </w:p>
        </w:tc>
      </w:tr>
      <w:tr>
        <w:tc>
          <w:tcPr>
            <w:tcW w:type="dxa" w:w="1234"/>
          </w:tcPr>
          <w:p>
            <w:r>
              <w:rPr>
                <w:rFonts w:ascii="Calibri" w:hAnsi="Calibri"/>
                <w:sz w:val="22"/>
              </w:rPr>
              <w:t>Reinsurance Organic (%)</w:t>
            </w:r>
          </w:p>
        </w:tc>
        <w:tc>
          <w:tcPr>
            <w:tcW w:type="dxa" w:w="1234"/>
          </w:tcPr>
          <w:p>
            <w:r>
              <w:rPr>
                <w:rFonts w:ascii="Calibri" w:hAnsi="Calibri"/>
                <w:sz w:val="22"/>
              </w:rPr>
              <w:t>4%</w:t>
            </w:r>
          </w:p>
        </w:tc>
        <w:tc>
          <w:tcPr>
            <w:tcW w:type="dxa" w:w="1234"/>
          </w:tcPr>
          <w:p>
            <w:r>
              <w:rPr>
                <w:rFonts w:ascii="Calibri" w:hAnsi="Calibri"/>
                <w:sz w:val="22"/>
              </w:rPr>
              <w:t>6%</w:t>
            </w:r>
          </w:p>
        </w:tc>
        <w:tc>
          <w:tcPr>
            <w:tcW w:type="dxa" w:w="1234"/>
          </w:tcPr>
          <w:p>
            <w:r>
              <w:rPr>
                <w:rFonts w:ascii="Calibri" w:hAnsi="Calibri"/>
                <w:sz w:val="22"/>
              </w:rPr>
              <w:t>~3.7%</w:t>
            </w:r>
          </w:p>
        </w:tc>
        <w:tc>
          <w:tcPr>
            <w:tcW w:type="dxa" w:w="1234"/>
          </w:tcPr>
          <w:p>
            <w:r>
              <w:rPr>
                <w:rFonts w:ascii="Calibri" w:hAnsi="Calibri"/>
                <w:sz w:val="22"/>
              </w:rPr>
              <w:t>-230 bps YoY</w:t>
            </w:r>
          </w:p>
        </w:tc>
        <w:tc>
          <w:tcPr>
            <w:tcW w:type="dxa" w:w="1234"/>
          </w:tcPr>
          <w:p>
            <w:r>
              <w:rPr>
                <w:rFonts w:ascii="Calibri" w:hAnsi="Calibri"/>
                <w:sz w:val="22"/>
              </w:rPr>
              <w:t>Mid-single-digit or greater (FY)</w:t>
            </w:r>
          </w:p>
        </w:tc>
        <w:tc>
          <w:tcPr>
            <w:tcW w:type="dxa" w:w="1234"/>
          </w:tcPr>
          <w:p>
            <w:r>
              <w:rPr>
                <w:rFonts w:ascii="Calibri" w:hAnsi="Calibri"/>
                <w:sz w:val="22"/>
              </w:rPr>
              <w:t>Below FY guidance; rate headwind</w:t>
            </w:r>
          </w:p>
        </w:tc>
      </w:tr>
      <w:tr>
        <w:tc>
          <w:tcPr>
            <w:tcW w:type="dxa" w:w="1234"/>
          </w:tcPr>
          <w:p>
            <w:r>
              <w:rPr>
                <w:rFonts w:ascii="Calibri" w:hAnsi="Calibri"/>
                <w:sz w:val="22"/>
              </w:rPr>
              <w:t>Health Solutions Organic (%)</w:t>
            </w:r>
          </w:p>
        </w:tc>
        <w:tc>
          <w:tcPr>
            <w:tcW w:type="dxa" w:w="1234"/>
          </w:tcPr>
          <w:p>
            <w:r>
              <w:rPr>
                <w:rFonts w:ascii="Calibri" w:hAnsi="Calibri"/>
                <w:sz w:val="22"/>
              </w:rPr>
              <w:t>4%</w:t>
            </w:r>
          </w:p>
        </w:tc>
        <w:tc>
          <w:tcPr>
            <w:tcW w:type="dxa" w:w="1234"/>
          </w:tcPr>
          <w:p>
            <w:r>
              <w:rPr>
                <w:rFonts w:ascii="Calibri" w:hAnsi="Calibri"/>
                <w:sz w:val="22"/>
              </w:rPr>
              <w:t>6%</w:t>
            </w:r>
          </w:p>
        </w:tc>
        <w:tc>
          <w:tcPr>
            <w:tcW w:type="dxa" w:w="1234"/>
          </w:tcPr>
          <w:p>
            <w:r>
              <w:rPr>
                <w:rFonts w:ascii="Calibri" w:hAnsi="Calibri"/>
                <w:sz w:val="22"/>
              </w:rPr>
              <w:t>~4.6%</w:t>
            </w:r>
          </w:p>
        </w:tc>
        <w:tc>
          <w:tcPr>
            <w:tcW w:type="dxa" w:w="1234"/>
          </w:tcPr>
          <w:p>
            <w:r>
              <w:rPr>
                <w:rFonts w:ascii="Calibri" w:hAnsi="Calibri"/>
                <w:sz w:val="22"/>
              </w:rPr>
              <w:t>-140 bps YoY</w:t>
            </w:r>
          </w:p>
        </w:tc>
        <w:tc>
          <w:tcPr>
            <w:tcW w:type="dxa" w:w="1234"/>
          </w:tcPr>
          <w:p>
            <w:r>
              <w:rPr>
                <w:rFonts w:ascii="Calibri" w:hAnsi="Calibri"/>
                <w:sz w:val="22"/>
              </w:rPr>
              <w:t>Mid-single-digit or greater (FY)</w:t>
            </w:r>
          </w:p>
        </w:tc>
        <w:tc>
          <w:tcPr>
            <w:tcW w:type="dxa" w:w="1234"/>
          </w:tcPr>
          <w:p>
            <w:r>
              <w:rPr>
                <w:rFonts w:ascii="Calibri" w:hAnsi="Calibri"/>
                <w:sz w:val="22"/>
              </w:rPr>
              <w:t>Slightly below FY guidance</w:t>
            </w:r>
          </w:p>
        </w:tc>
      </w:tr>
      <w:tr>
        <w:tc>
          <w:tcPr>
            <w:tcW w:type="dxa" w:w="1234"/>
          </w:tcPr>
          <w:p>
            <w:r>
              <w:rPr>
                <w:rFonts w:ascii="Calibri" w:hAnsi="Calibri"/>
                <w:sz w:val="22"/>
              </w:rPr>
              <w:t>Wealth Mgmt Organic (%)</w:t>
            </w:r>
          </w:p>
        </w:tc>
        <w:tc>
          <w:tcPr>
            <w:tcW w:type="dxa" w:w="1234"/>
          </w:tcPr>
          <w:p>
            <w:r>
              <w:rPr>
                <w:rFonts w:ascii="Calibri" w:hAnsi="Calibri"/>
                <w:sz w:val="22"/>
              </w:rPr>
              <w:t>1%</w:t>
            </w:r>
          </w:p>
        </w:tc>
        <w:tc>
          <w:tcPr>
            <w:tcW w:type="dxa" w:w="1234"/>
          </w:tcPr>
          <w:p>
            <w:r>
              <w:rPr>
                <w:rFonts w:ascii="Calibri" w:hAnsi="Calibri"/>
                <w:sz w:val="22"/>
              </w:rPr>
              <w:t>3%</w:t>
            </w:r>
          </w:p>
        </w:tc>
        <w:tc>
          <w:tcPr>
            <w:tcW w:type="dxa" w:w="1234"/>
          </w:tcPr>
          <w:p>
            <w:r>
              <w:rPr>
                <w:rFonts w:ascii="Calibri" w:hAnsi="Calibri"/>
                <w:sz w:val="22"/>
              </w:rPr>
              <w:t>~4.1%</w:t>
            </w:r>
          </w:p>
        </w:tc>
        <w:tc>
          <w:tcPr>
            <w:tcW w:type="dxa" w:w="1234"/>
          </w:tcPr>
          <w:p>
            <w:r>
              <w:rPr>
                <w:rFonts w:ascii="Calibri" w:hAnsi="Calibri"/>
                <w:sz w:val="22"/>
              </w:rPr>
              <w:t>+110 bps YoY</w:t>
            </w:r>
          </w:p>
        </w:tc>
        <w:tc>
          <w:tcPr>
            <w:tcW w:type="dxa" w:w="1234"/>
          </w:tcPr>
          <w:p>
            <w:r>
              <w:rPr>
                <w:rFonts w:ascii="Calibri" w:hAnsi="Calibri"/>
                <w:sz w:val="22"/>
              </w:rPr>
              <w:t>Mid-single-digit growth in Q2 (mgmt guided)</w:t>
            </w:r>
          </w:p>
        </w:tc>
        <w:tc>
          <w:tcPr>
            <w:tcW w:type="dxa" w:w="1234"/>
          </w:tcPr>
          <w:p>
            <w:r>
              <w:rPr>
                <w:rFonts w:ascii="Calibri" w:hAnsi="Calibri"/>
                <w:sz w:val="22"/>
              </w:rPr>
              <w:t>In line with Q2 guidance</w:t>
            </w:r>
          </w:p>
        </w:tc>
      </w:tr>
    </w:tbl>
    <w:p>
      <w:r>
        <w:rPr>
          <w:rFonts w:ascii="Calibri" w:hAnsi="Calibri"/>
          <w:i/>
          <w:color w:val="525866"/>
          <w:sz w:val="22"/>
        </w:rPr>
        <w:t>Source: Visible Alpha consensus and actuals data. All consensus figures as of July 28, 2026.</w:t>
      </w:r>
    </w:p>
    <w:p>
      <w:pPr>
        <w:pStyle w:val="Heading3"/>
      </w:pPr>
      <w:r>
        <w:rPr>
          <w:rFonts w:ascii="Calibri" w:hAnsi="Calibri"/>
          <w:b/>
          <w:color w:val="3B4259"/>
          <w:sz w:val="24"/>
        </w:rPr>
        <w:t>Table 2 — Beat/Miss History (Last 8 Quarters)</w:t>
      </w:r>
    </w:p>
    <w:p>
      <w:r>
        <w:rPr>
          <w:rFonts w:ascii="Calibri" w:hAnsi="Calibri"/>
          <w:b/>
          <w:color w:val="525866"/>
          <w:sz w:val="22"/>
        </w:rPr>
        <w:t>Top 2 KPIs: Organic Revenue Growth (%) and Adjusted Operating EPS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Rev Growth</w:t>
            </w:r>
          </w:p>
        </w:tc>
        <w:tc>
          <w:tcPr>
            <w:tcW w:type="dxa" w:w="1440"/>
          </w:tcPr>
          <w:p>
            <w:r>
              <w:rPr>
                <w:rFonts w:ascii="Calibri" w:hAnsi="Calibri"/>
                <w:sz w:val="22"/>
              </w:rPr>
              <w:t>5%</w:t>
            </w:r>
          </w:p>
        </w:tc>
        <w:tc>
          <w:tcPr>
            <w:tcW w:type="dxa" w:w="1440"/>
          </w:tcPr>
          <w:p>
            <w:r>
              <w:rPr>
                <w:rFonts w:ascii="Calibri" w:hAnsi="Calibri"/>
                <w:sz w:val="22"/>
              </w:rPr>
              <w:t>5.12%</w:t>
            </w:r>
          </w:p>
        </w:tc>
        <w:tc>
          <w:tcPr>
            <w:tcW w:type="dxa" w:w="1440"/>
          </w:tcPr>
          <w:p>
            <w:r>
              <w:rPr>
                <w:rFonts w:ascii="Calibri" w:hAnsi="Calibri"/>
                <w:sz w:val="22"/>
              </w:rPr>
              <w:t>-12 bps</w:t>
            </w:r>
          </w:p>
        </w:tc>
        <w:tc>
          <w:tcPr>
            <w:tcW w:type="dxa" w:w="1440"/>
          </w:tcPr>
          <w:p>
            <w:r>
              <w:rPr>
                <w:rFonts w:ascii="Calibri" w:hAnsi="Calibri"/>
                <w:b/>
                <w:color w:val="002FA7"/>
                <w:sz w:val="22"/>
              </w:rPr>
              <w:t>In Line</w:t>
            </w:r>
          </w:p>
        </w:tc>
      </w:tr>
      <w:tr>
        <w:tc>
          <w:tcPr>
            <w:tcW w:type="dxa" w:w="1440"/>
          </w:tcPr>
          <w:p>
            <w:r>
              <w:rPr>
                <w:rFonts w:ascii="Calibri" w:hAnsi="Calibri"/>
                <w:sz w:val="22"/>
              </w:rPr>
              <w:t>Q1 2026</w:t>
            </w:r>
          </w:p>
        </w:tc>
        <w:tc>
          <w:tcPr>
            <w:tcW w:type="dxa" w:w="1440"/>
          </w:tcPr>
          <w:p>
            <w:r>
              <w:rPr>
                <w:rFonts w:ascii="Calibri" w:hAnsi="Calibri"/>
                <w:sz w:val="22"/>
              </w:rPr>
              <w:t>Adj. Operating EPS</w:t>
            </w:r>
          </w:p>
        </w:tc>
        <w:tc>
          <w:tcPr>
            <w:tcW w:type="dxa" w:w="1440"/>
          </w:tcPr>
          <w:p>
            <w:r>
              <w:rPr>
                <w:rFonts w:ascii="Calibri" w:hAnsi="Calibri"/>
                <w:sz w:val="22"/>
              </w:rPr>
              <w:t>$6.48</w:t>
            </w:r>
          </w:p>
        </w:tc>
        <w:tc>
          <w:tcPr>
            <w:tcW w:type="dxa" w:w="1440"/>
          </w:tcPr>
          <w:p>
            <w:r>
              <w:rPr>
                <w:rFonts w:ascii="Calibri" w:hAnsi="Calibri"/>
                <w:sz w:val="22"/>
              </w:rPr>
              <w:t>$6.36</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Rev Growth</w:t>
            </w:r>
          </w:p>
        </w:tc>
        <w:tc>
          <w:tcPr>
            <w:tcW w:type="dxa" w:w="1440"/>
          </w:tcPr>
          <w:p>
            <w:r>
              <w:rPr>
                <w:rFonts w:ascii="Calibri" w:hAnsi="Calibri"/>
                <w:sz w:val="22"/>
              </w:rPr>
              <w:t>5%</w:t>
            </w:r>
          </w:p>
        </w:tc>
        <w:tc>
          <w:tcPr>
            <w:tcW w:type="dxa" w:w="1440"/>
          </w:tcPr>
          <w:p>
            <w:r>
              <w:rPr>
                <w:rFonts w:ascii="Calibri" w:hAnsi="Calibri"/>
                <w:sz w:val="22"/>
              </w:rPr>
              <w:t>5.24%</w:t>
            </w:r>
          </w:p>
        </w:tc>
        <w:tc>
          <w:tcPr>
            <w:tcW w:type="dxa" w:w="1440"/>
          </w:tcPr>
          <w:p>
            <w:r>
              <w:rPr>
                <w:rFonts w:ascii="Calibri" w:hAnsi="Calibri"/>
                <w:sz w:val="22"/>
              </w:rPr>
              <w:t>-24 bps</w:t>
            </w:r>
          </w:p>
        </w:tc>
        <w:tc>
          <w:tcPr>
            <w:tcW w:type="dxa" w:w="1440"/>
          </w:tcPr>
          <w:p>
            <w:r>
              <w:rPr>
                <w:rFonts w:ascii="Calibri" w:hAnsi="Calibri"/>
                <w:b/>
                <w:color w:val="002FA7"/>
                <w:sz w:val="22"/>
              </w:rPr>
              <w:t>In Line</w:t>
            </w:r>
          </w:p>
        </w:tc>
      </w:tr>
      <w:tr>
        <w:tc>
          <w:tcPr>
            <w:tcW w:type="dxa" w:w="1440"/>
          </w:tcPr>
          <w:p>
            <w:r>
              <w:rPr>
                <w:rFonts w:ascii="Calibri" w:hAnsi="Calibri"/>
                <w:sz w:val="22"/>
              </w:rPr>
              <w:t>Q4 2025</w:t>
            </w:r>
          </w:p>
        </w:tc>
        <w:tc>
          <w:tcPr>
            <w:tcW w:type="dxa" w:w="1440"/>
          </w:tcPr>
          <w:p>
            <w:r>
              <w:rPr>
                <w:rFonts w:ascii="Calibri" w:hAnsi="Calibri"/>
                <w:sz w:val="22"/>
              </w:rPr>
              <w:t>Adj. Operating EPS</w:t>
            </w:r>
          </w:p>
        </w:tc>
        <w:tc>
          <w:tcPr>
            <w:tcW w:type="dxa" w:w="1440"/>
          </w:tcPr>
          <w:p>
            <w:r>
              <w:rPr>
                <w:rFonts w:ascii="Calibri" w:hAnsi="Calibri"/>
                <w:sz w:val="22"/>
              </w:rPr>
              <w:t>$4.85</w:t>
            </w:r>
          </w:p>
        </w:tc>
        <w:tc>
          <w:tcPr>
            <w:tcW w:type="dxa" w:w="1440"/>
          </w:tcPr>
          <w:p>
            <w:r>
              <w:rPr>
                <w:rFonts w:ascii="Calibri" w:hAnsi="Calibri"/>
                <w:sz w:val="22"/>
              </w:rPr>
              <w:t>$4.74</w:t>
            </w:r>
          </w:p>
        </w:tc>
        <w:tc>
          <w:tcPr>
            <w:tcW w:type="dxa" w:w="1440"/>
          </w:tcPr>
          <w:p>
            <w:r>
              <w:rPr>
                <w:rFonts w:ascii="Calibri" w:hAnsi="Calibri"/>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Organic Rev Growth</w:t>
            </w:r>
          </w:p>
        </w:tc>
        <w:tc>
          <w:tcPr>
            <w:tcW w:type="dxa" w:w="1440"/>
          </w:tcPr>
          <w:p>
            <w:r>
              <w:rPr>
                <w:rFonts w:ascii="Calibri" w:hAnsi="Calibri"/>
                <w:sz w:val="22"/>
              </w:rPr>
              <w:t>7%</w:t>
            </w:r>
          </w:p>
        </w:tc>
        <w:tc>
          <w:tcPr>
            <w:tcW w:type="dxa" w:w="1440"/>
          </w:tcPr>
          <w:p>
            <w:r>
              <w:rPr>
                <w:rFonts w:ascii="Calibri" w:hAnsi="Calibri"/>
                <w:sz w:val="22"/>
              </w:rPr>
              <w:t>5.36%</w:t>
            </w:r>
          </w:p>
        </w:tc>
        <w:tc>
          <w:tcPr>
            <w:tcW w:type="dxa" w:w="1440"/>
          </w:tcPr>
          <w:p>
            <w:r>
              <w:rPr>
                <w:rFonts w:ascii="Calibri" w:hAnsi="Calibri"/>
                <w:sz w:val="22"/>
              </w:rPr>
              <w:t>+164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Operating EPS</w:t>
            </w:r>
          </w:p>
        </w:tc>
        <w:tc>
          <w:tcPr>
            <w:tcW w:type="dxa" w:w="1440"/>
          </w:tcPr>
          <w:p>
            <w:r>
              <w:rPr>
                <w:rFonts w:ascii="Calibri" w:hAnsi="Calibri"/>
                <w:sz w:val="22"/>
              </w:rPr>
              <w:t>$3.05</w:t>
            </w:r>
          </w:p>
        </w:tc>
        <w:tc>
          <w:tcPr>
            <w:tcW w:type="dxa" w:w="1440"/>
          </w:tcPr>
          <w:p>
            <w:r>
              <w:rPr>
                <w:rFonts w:ascii="Calibri" w:hAnsi="Calibri"/>
                <w:sz w:val="22"/>
              </w:rPr>
              <w:t>$2.91</w:t>
            </w:r>
          </w:p>
        </w:tc>
        <w:tc>
          <w:tcPr>
            <w:tcW w:type="dxa" w:w="1440"/>
          </w:tcPr>
          <w:p>
            <w:r>
              <w:rPr>
                <w:rFonts w:ascii="Calibri" w:hAnsi="Calibri"/>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Rev Growth</w:t>
            </w:r>
          </w:p>
        </w:tc>
        <w:tc>
          <w:tcPr>
            <w:tcW w:type="dxa" w:w="1440"/>
          </w:tcPr>
          <w:p>
            <w:r>
              <w:rPr>
                <w:rFonts w:ascii="Calibri" w:hAnsi="Calibri"/>
                <w:sz w:val="22"/>
              </w:rPr>
              <w:t>6%</w:t>
            </w:r>
          </w:p>
        </w:tc>
        <w:tc>
          <w:tcPr>
            <w:tcW w:type="dxa" w:w="1440"/>
          </w:tcPr>
          <w:p>
            <w:r>
              <w:rPr>
                <w:rFonts w:ascii="Calibri" w:hAnsi="Calibri"/>
                <w:sz w:val="22"/>
              </w:rPr>
              <w:t>4.80%</w:t>
            </w:r>
          </w:p>
        </w:tc>
        <w:tc>
          <w:tcPr>
            <w:tcW w:type="dxa" w:w="1440"/>
          </w:tcPr>
          <w:p>
            <w:r>
              <w:rPr>
                <w:rFonts w:ascii="Calibri" w:hAnsi="Calibri"/>
                <w:sz w:val="22"/>
              </w:rPr>
              <w:t>+120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Operating EPS</w:t>
            </w:r>
          </w:p>
        </w:tc>
        <w:tc>
          <w:tcPr>
            <w:tcW w:type="dxa" w:w="1440"/>
          </w:tcPr>
          <w:p>
            <w:r>
              <w:rPr>
                <w:rFonts w:ascii="Calibri" w:hAnsi="Calibri"/>
                <w:sz w:val="22"/>
              </w:rPr>
              <w:t>$3.49</w:t>
            </w:r>
          </w:p>
        </w:tc>
        <w:tc>
          <w:tcPr>
            <w:tcW w:type="dxa" w:w="1440"/>
          </w:tcPr>
          <w:p>
            <w:r>
              <w:rPr>
                <w:rFonts w:ascii="Calibri" w:hAnsi="Calibri"/>
                <w:sz w:val="22"/>
              </w:rPr>
              <w:t>$3.40</w:t>
            </w:r>
          </w:p>
        </w:tc>
        <w:tc>
          <w:tcPr>
            <w:tcW w:type="dxa" w:w="1440"/>
          </w:tcPr>
          <w:p>
            <w:r>
              <w:rPr>
                <w:rFonts w:ascii="Calibri" w:hAnsi="Calibri"/>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Organic Rev Growth</w:t>
            </w:r>
          </w:p>
        </w:tc>
        <w:tc>
          <w:tcPr>
            <w:tcW w:type="dxa" w:w="1440"/>
          </w:tcPr>
          <w:p>
            <w:r>
              <w:rPr>
                <w:rFonts w:ascii="Calibri" w:hAnsi="Calibri"/>
                <w:sz w:val="22"/>
              </w:rPr>
              <w:t>5%</w:t>
            </w:r>
          </w:p>
        </w:tc>
        <w:tc>
          <w:tcPr>
            <w:tcW w:type="dxa" w:w="1440"/>
          </w:tcPr>
          <w:p>
            <w:r>
              <w:rPr>
                <w:rFonts w:ascii="Calibri" w:hAnsi="Calibri"/>
                <w:sz w:val="22"/>
              </w:rPr>
              <w:t>6.14%</w:t>
            </w:r>
          </w:p>
        </w:tc>
        <w:tc>
          <w:tcPr>
            <w:tcW w:type="dxa" w:w="1440"/>
          </w:tcPr>
          <w:p>
            <w:r>
              <w:rPr>
                <w:rFonts w:ascii="Calibri" w:hAnsi="Calibri"/>
                <w:sz w:val="22"/>
              </w:rPr>
              <w:t>-114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Operating EPS</w:t>
            </w:r>
          </w:p>
        </w:tc>
        <w:tc>
          <w:tcPr>
            <w:tcW w:type="dxa" w:w="1440"/>
          </w:tcPr>
          <w:p>
            <w:r>
              <w:rPr>
                <w:rFonts w:ascii="Calibri" w:hAnsi="Calibri"/>
                <w:sz w:val="22"/>
              </w:rPr>
              <w:t>$5.67</w:t>
            </w:r>
          </w:p>
        </w:tc>
        <w:tc>
          <w:tcPr>
            <w:tcW w:type="dxa" w:w="1440"/>
          </w:tcPr>
          <w:p>
            <w:r>
              <w:rPr>
                <w:rFonts w:ascii="Calibri" w:hAnsi="Calibri"/>
                <w:sz w:val="22"/>
              </w:rPr>
              <w:t>$6.02</w:t>
            </w:r>
          </w:p>
        </w:tc>
        <w:tc>
          <w:tcPr>
            <w:tcW w:type="dxa" w:w="1440"/>
          </w:tcPr>
          <w:p>
            <w:r>
              <w:rPr>
                <w:rFonts w:ascii="Calibri" w:hAnsi="Calibri"/>
                <w:sz w:val="22"/>
              </w:rPr>
              <w:t>-5.8%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Organic Rev Growth</w:t>
            </w:r>
          </w:p>
        </w:tc>
        <w:tc>
          <w:tcPr>
            <w:tcW w:type="dxa" w:w="1440"/>
          </w:tcPr>
          <w:p>
            <w:r>
              <w:rPr>
                <w:rFonts w:ascii="Calibri" w:hAnsi="Calibri"/>
                <w:sz w:val="22"/>
              </w:rPr>
              <w:t>6%</w:t>
            </w:r>
          </w:p>
        </w:tc>
        <w:tc>
          <w:tcPr>
            <w:tcW w:type="dxa" w:w="1440"/>
          </w:tcPr>
          <w:p>
            <w:r>
              <w:rPr>
                <w:rFonts w:ascii="Calibri" w:hAnsi="Calibri"/>
                <w:sz w:val="22"/>
              </w:rPr>
              <w:t>5.41%</w:t>
            </w:r>
          </w:p>
        </w:tc>
        <w:tc>
          <w:tcPr>
            <w:tcW w:type="dxa" w:w="1440"/>
          </w:tcPr>
          <w:p>
            <w:r>
              <w:rPr>
                <w:rFonts w:ascii="Calibri" w:hAnsi="Calibri"/>
                <w:sz w:val="22"/>
              </w:rPr>
              <w:t>+59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Operating EPS</w:t>
            </w:r>
          </w:p>
        </w:tc>
        <w:tc>
          <w:tcPr>
            <w:tcW w:type="dxa" w:w="1440"/>
          </w:tcPr>
          <w:p>
            <w:r>
              <w:rPr>
                <w:rFonts w:ascii="Calibri" w:hAnsi="Calibri"/>
                <w:sz w:val="22"/>
              </w:rPr>
              <w:t>$4.42</w:t>
            </w:r>
          </w:p>
        </w:tc>
        <w:tc>
          <w:tcPr>
            <w:tcW w:type="dxa" w:w="1440"/>
          </w:tcPr>
          <w:p>
            <w:r>
              <w:rPr>
                <w:rFonts w:ascii="Calibri" w:hAnsi="Calibri"/>
                <w:sz w:val="22"/>
              </w:rPr>
              <w:t>$4.24</w:t>
            </w:r>
          </w:p>
        </w:tc>
        <w:tc>
          <w:tcPr>
            <w:tcW w:type="dxa" w:w="1440"/>
          </w:tcPr>
          <w:p>
            <w:r>
              <w:rPr>
                <w:rFonts w:ascii="Calibri" w:hAnsi="Calibri"/>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Organic Rev Growth</w:t>
            </w:r>
          </w:p>
        </w:tc>
        <w:tc>
          <w:tcPr>
            <w:tcW w:type="dxa" w:w="1440"/>
          </w:tcPr>
          <w:p>
            <w:r>
              <w:rPr>
                <w:rFonts w:ascii="Calibri" w:hAnsi="Calibri"/>
                <w:sz w:val="22"/>
              </w:rPr>
              <w:t>7%</w:t>
            </w:r>
          </w:p>
        </w:tc>
        <w:tc>
          <w:tcPr>
            <w:tcW w:type="dxa" w:w="1440"/>
          </w:tcPr>
          <w:p>
            <w:r>
              <w:rPr>
                <w:rFonts w:ascii="Calibri" w:hAnsi="Calibri"/>
                <w:sz w:val="22"/>
              </w:rPr>
              <w:t>4.90%</w:t>
            </w:r>
          </w:p>
        </w:tc>
        <w:tc>
          <w:tcPr>
            <w:tcW w:type="dxa" w:w="1440"/>
          </w:tcPr>
          <w:p>
            <w:r>
              <w:rPr>
                <w:rFonts w:ascii="Calibri" w:hAnsi="Calibri"/>
                <w:sz w:val="22"/>
              </w:rPr>
              <w:t>+210 bps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Operating EPS</w:t>
            </w:r>
          </w:p>
        </w:tc>
        <w:tc>
          <w:tcPr>
            <w:tcW w:type="dxa" w:w="1440"/>
          </w:tcPr>
          <w:p>
            <w:r>
              <w:rPr>
                <w:rFonts w:ascii="Calibri" w:hAnsi="Calibri"/>
                <w:sz w:val="22"/>
              </w:rPr>
              <w:t>$2.72</w:t>
            </w:r>
          </w:p>
        </w:tc>
        <w:tc>
          <w:tcPr>
            <w:tcW w:type="dxa" w:w="1440"/>
          </w:tcPr>
          <w:p>
            <w:r>
              <w:rPr>
                <w:rFonts w:ascii="Calibri" w:hAnsi="Calibri"/>
                <w:sz w:val="22"/>
              </w:rPr>
              <w:t>$2.47</w:t>
            </w:r>
          </w:p>
        </w:tc>
        <w:tc>
          <w:tcPr>
            <w:tcW w:type="dxa" w:w="1440"/>
          </w:tcPr>
          <w:p>
            <w:r>
              <w:rPr>
                <w:rFonts w:ascii="Calibri" w:hAnsi="Calibri"/>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Organic Rev Growth</w:t>
            </w:r>
          </w:p>
        </w:tc>
        <w:tc>
          <w:tcPr>
            <w:tcW w:type="dxa" w:w="1440"/>
          </w:tcPr>
          <w:p>
            <w:r>
              <w:rPr>
                <w:rFonts w:ascii="Calibri" w:hAnsi="Calibri"/>
                <w:sz w:val="22"/>
              </w:rPr>
              <w:t>6%</w:t>
            </w:r>
          </w:p>
        </w:tc>
        <w:tc>
          <w:tcPr>
            <w:tcW w:type="dxa" w:w="1440"/>
          </w:tcPr>
          <w:p>
            <w:r>
              <w:rPr>
                <w:rFonts w:ascii="Calibri" w:hAnsi="Calibri"/>
                <w:sz w:val="22"/>
              </w:rPr>
              <w:t>4.88%</w:t>
            </w:r>
          </w:p>
        </w:tc>
        <w:tc>
          <w:tcPr>
            <w:tcW w:type="dxa" w:w="1440"/>
          </w:tcPr>
          <w:p>
            <w:r>
              <w:rPr>
                <w:rFonts w:ascii="Calibri" w:hAnsi="Calibri"/>
                <w:sz w:val="22"/>
              </w:rPr>
              <w:t>+112 bps</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Operating EPS</w:t>
            </w:r>
          </w:p>
        </w:tc>
        <w:tc>
          <w:tcPr>
            <w:tcW w:type="dxa" w:w="1440"/>
          </w:tcPr>
          <w:p>
            <w:r>
              <w:rPr>
                <w:rFonts w:ascii="Calibri" w:hAnsi="Calibri"/>
                <w:sz w:val="22"/>
              </w:rPr>
              <w:t>$2.93</w:t>
            </w:r>
          </w:p>
        </w:tc>
        <w:tc>
          <w:tcPr>
            <w:tcW w:type="dxa" w:w="1440"/>
          </w:tcPr>
          <w:p>
            <w:r>
              <w:rPr>
                <w:rFonts w:ascii="Calibri" w:hAnsi="Calibri"/>
                <w:sz w:val="22"/>
              </w:rPr>
              <w:t>$3.09</w:t>
            </w:r>
          </w:p>
        </w:tc>
        <w:tc>
          <w:tcPr>
            <w:tcW w:type="dxa" w:w="1440"/>
          </w:tcPr>
          <w:p>
            <w:r>
              <w:rPr>
                <w:rFonts w:ascii="Calibri" w:hAnsi="Calibri"/>
                <w:sz w:val="22"/>
              </w:rPr>
              <w:t>-5.2%</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AON has beaten organic revenue growth consensus in 6 of the last 8 quarters, typically by 100–200 bps, with the Street consistently underestimating commercial risk momentum; EPS beats are also the norm (6 of 8 quarters), though Q1 2025 and Q2 2024 saw misses driven by NFP integration costs and one-time items. The consistent organic beat pattern supports a slight lean toward an upside surprise on Q2 2026 organic growth.</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fully reaffirmed with no changes since the Q1 2026 earnings call; the only notable post-earnings development was CFO Reese’s June 9 Morgan Stanley conference commentary confirming leverage is now below stated objectives (2.6x vs. 2.9x target) and that private market M&amp;A valuations have not yet fully reflected public market conditions — </w:t>
      </w:r>
      <w:r>
        <w:rPr>
          <w:rFonts w:ascii="Calibri" w:hAnsi="Calibri"/>
          <w:b/>
          <w:color w:val="525866"/>
          <w:sz w:val="22"/>
        </w:rPr>
        <w:t>signaling continued preference for buybacks over large M&amp;A near-term.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Organic Revenue Growth</w:t>
            </w:r>
          </w:p>
        </w:tc>
        <w:tc>
          <w:tcPr>
            <w:tcW w:type="dxa" w:w="1728"/>
          </w:tcPr>
          <w:p>
            <w:r>
              <w:rPr>
                <w:rFonts w:ascii="Calibri" w:hAnsi="Calibri"/>
                <w:sz w:val="22"/>
              </w:rPr>
              <w:t>Mid-single-digit or greater</w:t>
            </w:r>
          </w:p>
        </w:tc>
        <w:tc>
          <w:tcPr>
            <w:tcW w:type="dxa" w:w="1728"/>
          </w:tcPr>
          <w:p>
            <w:r>
              <w:rPr>
                <w:rFonts w:ascii="Calibri" w:hAnsi="Calibri"/>
                <w:sz w:val="22"/>
              </w:rPr>
              <w:t>—</w:t>
            </w:r>
          </w:p>
        </w:tc>
        <w:tc>
          <w:tcPr>
            <w:tcW w:type="dxa" w:w="1728"/>
          </w:tcPr>
          <w:p>
            <w:r>
              <w:rPr>
                <w:rFonts w:ascii="Calibri" w:hAnsi="Calibri"/>
                <w:sz w:val="22"/>
              </w:rPr>
              <w:t>~5.0% (FY 2026)</w:t>
            </w:r>
          </w:p>
        </w:tc>
        <w:tc>
          <w:tcPr>
            <w:tcW w:type="dxa" w:w="1728"/>
          </w:tcPr>
          <w:p>
            <w:r>
              <w:rPr>
                <w:rFonts w:ascii="Calibri" w:hAnsi="Calibri"/>
                <w:sz w:val="22"/>
              </w:rPr>
              <w:t>Reaffirmed; no change. Consensus at low end of guidance range.</w:t>
            </w:r>
          </w:p>
        </w:tc>
      </w:tr>
      <w:tr>
        <w:tc>
          <w:tcPr>
            <w:tcW w:type="dxa" w:w="1728"/>
          </w:tcPr>
          <w:p>
            <w:r>
              <w:rPr>
                <w:rFonts w:ascii="Calibri" w:hAnsi="Calibri"/>
                <w:sz w:val="22"/>
              </w:rPr>
              <w:t>Adj. Operating Margin Expansion (FY)</w:t>
            </w:r>
          </w:p>
        </w:tc>
        <w:tc>
          <w:tcPr>
            <w:tcW w:type="dxa" w:w="1728"/>
          </w:tcPr>
          <w:p>
            <w:r>
              <w:rPr>
                <w:rFonts w:ascii="Calibri" w:hAnsi="Calibri"/>
                <w:sz w:val="22"/>
              </w:rPr>
              <w:t>70–80 bps</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Reaffirmed; Q1 delivered 70 bps, on track.</w:t>
            </w:r>
          </w:p>
        </w:tc>
      </w:tr>
      <w:tr>
        <w:tc>
          <w:tcPr>
            <w:tcW w:type="dxa" w:w="1728"/>
          </w:tcPr>
          <w:p>
            <w:r>
              <w:rPr>
                <w:rFonts w:ascii="Calibri" w:hAnsi="Calibri"/>
                <w:sz w:val="22"/>
              </w:rPr>
              <w:t>Free Cash Flow Growth (FY)</w:t>
            </w:r>
          </w:p>
        </w:tc>
        <w:tc>
          <w:tcPr>
            <w:tcW w:type="dxa" w:w="1728"/>
          </w:tcPr>
          <w:p>
            <w:r>
              <w:rPr>
                <w:rFonts w:ascii="Calibri" w:hAnsi="Calibri"/>
                <w:sz w:val="22"/>
              </w:rPr>
              <w:t>Double-digit growth ($4.3B guided before $300M tax impact from NFP Wealth sale)</w:t>
            </w:r>
          </w:p>
        </w:tc>
        <w:tc>
          <w:tcPr>
            <w:tcW w:type="dxa" w:w="1728"/>
          </w:tcPr>
          <w:p>
            <w:r>
              <w:rPr>
                <w:rFonts w:ascii="Calibri" w:hAnsi="Calibri"/>
                <w:sz w:val="22"/>
              </w:rPr>
              <w:t>—</w:t>
            </w:r>
          </w:p>
        </w:tc>
        <w:tc>
          <w:tcPr>
            <w:tcW w:type="dxa" w:w="1728"/>
          </w:tcPr>
          <w:p>
            <w:r>
              <w:rPr>
                <w:rFonts w:ascii="Calibri" w:hAnsi="Calibri"/>
                <w:sz w:val="22"/>
              </w:rPr>
              <w:t>$3.78B FY 2026 consensus</w:t>
            </w:r>
          </w:p>
        </w:tc>
        <w:tc>
          <w:tcPr>
            <w:tcW w:type="dxa" w:w="1728"/>
          </w:tcPr>
          <w:p>
            <w:r>
              <w:rPr>
                <w:rFonts w:ascii="Calibri" w:hAnsi="Calibri"/>
                <w:sz w:val="22"/>
              </w:rPr>
              <w:t>Reaffirmed; consensus reflects NFP Wealth tax impact.</w:t>
            </w:r>
          </w:p>
        </w:tc>
      </w:tr>
      <w:tr>
        <w:tc>
          <w:tcPr>
            <w:tcW w:type="dxa" w:w="1728"/>
          </w:tcPr>
          <w:p>
            <w:r>
              <w:rPr>
                <w:rFonts w:ascii="Calibri" w:hAnsi="Calibri"/>
                <w:sz w:val="22"/>
              </w:rPr>
              <w:t>Share Repurchases (FY)</w:t>
            </w:r>
          </w:p>
        </w:tc>
        <w:tc>
          <w:tcPr>
            <w:tcW w:type="dxa" w:w="1728"/>
          </w:tcPr>
          <w:p>
            <w:r>
              <w:rPr>
                <w:rFonts w:ascii="Calibri" w:hAnsi="Calibri"/>
                <w:sz w:val="22"/>
              </w:rPr>
              <w:t>At least $1B for the year</w:t>
            </w:r>
          </w:p>
        </w:tc>
        <w:tc>
          <w:tcPr>
            <w:tcW w:type="dxa" w:w="1728"/>
          </w:tcPr>
          <w:p>
            <w:r>
              <w:rPr>
                <w:rFonts w:ascii="Calibri" w:hAnsi="Calibri"/>
                <w:sz w:val="22"/>
              </w:rPr>
              <w:t>—</w:t>
            </w:r>
          </w:p>
        </w:tc>
        <w:tc>
          <w:tcPr>
            <w:tcW w:type="dxa" w:w="1728"/>
          </w:tcPr>
          <w:p>
            <w:r>
              <w:rPr>
                <w:rFonts w:ascii="Calibri" w:hAnsi="Calibri"/>
                <w:sz w:val="22"/>
              </w:rPr>
              <w:t>N/A (not tracked in VA)</w:t>
            </w:r>
          </w:p>
        </w:tc>
        <w:tc>
          <w:tcPr>
            <w:tcW w:type="dxa" w:w="1728"/>
          </w:tcPr>
          <w:p>
            <w:r>
              <w:rPr>
                <w:rFonts w:ascii="Calibri" w:hAnsi="Calibri"/>
                <w:sz w:val="22"/>
              </w:rPr>
              <w:t>Reaffirmed; $500M deployed in Q1 alone (2x prior 8-quarter avg).</w:t>
            </w:r>
          </w:p>
        </w:tc>
      </w:tr>
      <w:tr>
        <w:tc>
          <w:tcPr>
            <w:tcW w:type="dxa" w:w="1728"/>
          </w:tcPr>
          <w:p>
            <w:r>
              <w:rPr>
                <w:rFonts w:ascii="Calibri" w:hAnsi="Calibri"/>
                <w:sz w:val="22"/>
              </w:rPr>
              <w:t>Full-Year Tax Rate</w:t>
            </w:r>
          </w:p>
        </w:tc>
        <w:tc>
          <w:tcPr>
            <w:tcW w:type="dxa" w:w="1728"/>
          </w:tcPr>
          <w:p>
            <w:r>
              <w:rPr>
                <w:rFonts w:ascii="Calibri" w:hAnsi="Calibri"/>
                <w:sz w:val="22"/>
              </w:rPr>
              <w:t>19.5%–20.5%</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w:t>
            </w:r>
          </w:p>
        </w:tc>
      </w:tr>
      <w:tr>
        <w:tc>
          <w:tcPr>
            <w:tcW w:type="dxa" w:w="1728"/>
          </w:tcPr>
          <w:p>
            <w:r>
              <w:rPr>
                <w:rFonts w:ascii="Calibri" w:hAnsi="Calibri"/>
                <w:sz w:val="22"/>
              </w:rPr>
              <w:t>Q2 2026 Interest Expense</w:t>
            </w:r>
          </w:p>
        </w:tc>
        <w:tc>
          <w:tcPr>
            <w:tcW w:type="dxa" w:w="1728"/>
          </w:tcPr>
          <w:p>
            <w:r>
              <w:rPr>
                <w:rFonts w:ascii="Calibri" w:hAnsi="Calibri"/>
                <w:sz w:val="22"/>
              </w:rPr>
              <w:t>~$180M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Specific Q2 guidance provided on Q1 call.</w:t>
            </w:r>
          </w:p>
        </w:tc>
      </w:tr>
      <w:tr>
        <w:tc>
          <w:tcPr>
            <w:tcW w:type="dxa" w:w="1728"/>
          </w:tcPr>
          <w:p>
            <w:r>
              <w:rPr>
                <w:rFonts w:ascii="Calibri" w:hAnsi="Calibri"/>
                <w:sz w:val="22"/>
              </w:rPr>
              <w:t>Q2 2026 Other Expense</w:t>
            </w:r>
          </w:p>
        </w:tc>
        <w:tc>
          <w:tcPr>
            <w:tcW w:type="dxa" w:w="1728"/>
          </w:tcPr>
          <w:p>
            <w:r>
              <w:rPr>
                <w:rFonts w:ascii="Calibri" w:hAnsi="Calibri"/>
                <w:sz w:val="22"/>
              </w:rPr>
              <w:t>$15M–$20M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Specific Q2 guidance provided on Q1 call.</w:t>
            </w:r>
          </w:p>
        </w:tc>
      </w:tr>
      <w:tr>
        <w:tc>
          <w:tcPr>
            <w:tcW w:type="dxa" w:w="1728"/>
          </w:tcPr>
          <w:p>
            <w:r>
              <w:rPr>
                <w:rFonts w:ascii="Calibri" w:hAnsi="Calibri"/>
                <w:sz w:val="22"/>
              </w:rPr>
              <w:t>Q2 2026 Wealth Organic Growth</w:t>
            </w:r>
          </w:p>
        </w:tc>
        <w:tc>
          <w:tcPr>
            <w:tcW w:type="dxa" w:w="1728"/>
          </w:tcPr>
          <w:p>
            <w:r>
              <w:rPr>
                <w:rFonts w:ascii="Calibri" w:hAnsi="Calibri"/>
                <w:sz w:val="22"/>
              </w:rPr>
              <w:t>Mid-single-digit (UK pension risk transfer market strong)</w:t>
            </w:r>
          </w:p>
        </w:tc>
        <w:tc>
          <w:tcPr>
            <w:tcW w:type="dxa" w:w="1728"/>
          </w:tcPr>
          <w:p>
            <w:r>
              <w:rPr>
                <w:rFonts w:ascii="Calibri" w:hAnsi="Calibri"/>
                <w:sz w:val="22"/>
              </w:rPr>
              <w:t>—</w:t>
            </w:r>
          </w:p>
        </w:tc>
        <w:tc>
          <w:tcPr>
            <w:tcW w:type="dxa" w:w="1728"/>
          </w:tcPr>
          <w:p>
            <w:r>
              <w:rPr>
                <w:rFonts w:ascii="Calibri" w:hAnsi="Calibri"/>
                <w:sz w:val="22"/>
              </w:rPr>
              <w:t>~4.1%</w:t>
            </w:r>
          </w:p>
        </w:tc>
        <w:tc>
          <w:tcPr>
            <w:tcW w:type="dxa" w:w="1728"/>
          </w:tcPr>
          <w:p>
            <w:r>
              <w:rPr>
                <w:rFonts w:ascii="Calibri" w:hAnsi="Calibri"/>
                <w:sz w:val="22"/>
              </w:rPr>
              <w:t>Specific Q2 segment guidance; consensus slightly below mid-single-digit.</w:t>
            </w:r>
          </w:p>
        </w:tc>
      </w:tr>
      <w:tr>
        <w:tc>
          <w:tcPr>
            <w:tcW w:type="dxa" w:w="1728"/>
          </w:tcPr>
          <w:p>
            <w:r>
              <w:rPr>
                <w:rFonts w:ascii="Calibri" w:hAnsi="Calibri"/>
                <w:sz w:val="22"/>
              </w:rPr>
              <w:t>Leverage (Net Debt/EBITDA)</w:t>
            </w:r>
          </w:p>
        </w:tc>
        <w:tc>
          <w:tcPr>
            <w:tcW w:type="dxa" w:w="1728"/>
          </w:tcPr>
          <w:p>
            <w:r>
              <w:rPr>
                <w:rFonts w:ascii="Calibri" w:hAnsi="Calibri"/>
                <w:sz w:val="22"/>
              </w:rPr>
              <w:t>Target: ~2.9x</w:t>
            </w:r>
          </w:p>
        </w:tc>
        <w:tc>
          <w:tcPr>
            <w:tcW w:type="dxa" w:w="1728"/>
          </w:tcPr>
          <w:p>
            <w:r>
              <w:rPr>
                <w:rFonts w:ascii="Calibri" w:hAnsi="Calibri"/>
                <w:sz w:val="22"/>
              </w:rPr>
              <w:t>2.6x (as of June 9 MS Conference)</w:t>
            </w:r>
          </w:p>
        </w:tc>
        <w:tc>
          <w:tcPr>
            <w:tcW w:type="dxa" w:w="1728"/>
          </w:tcPr>
          <w:p>
            <w:r>
              <w:rPr>
                <w:rFonts w:ascii="Calibri" w:hAnsi="Calibri"/>
                <w:sz w:val="22"/>
              </w:rPr>
              <w:t>N/A</w:t>
            </w:r>
          </w:p>
        </w:tc>
        <w:tc>
          <w:tcPr>
            <w:tcW w:type="dxa" w:w="1728"/>
          </w:tcPr>
          <w:p>
            <w:r>
              <w:rPr>
                <w:rFonts w:ascii="Calibri" w:hAnsi="Calibri"/>
                <w:sz w:val="22"/>
              </w:rPr>
              <w:t>↓ Below target; CFO noted at MS Conference June 9 — signals buyback preference over large M&amp;A near-term.</w:t>
            </w:r>
          </w:p>
        </w:tc>
      </w:tr>
      <w:tr>
        <w:tc>
          <w:tcPr>
            <w:tcW w:type="dxa" w:w="1728"/>
          </w:tcPr>
          <w:p>
            <w:r>
              <w:rPr>
                <w:rFonts w:ascii="Calibri" w:hAnsi="Calibri"/>
                <w:sz w:val="22"/>
              </w:rPr>
              <w:t>NFP Savings Target</w:t>
            </w:r>
          </w:p>
        </w:tc>
        <w:tc>
          <w:tcPr>
            <w:tcW w:type="dxa" w:w="1728"/>
          </w:tcPr>
          <w:p>
            <w:r>
              <w:rPr>
                <w:rFonts w:ascii="Calibri" w:hAnsi="Calibri"/>
                <w:sz w:val="22"/>
              </w:rPr>
              <w:t>$450M total by 2027 ($100M in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$25M delivered in Q1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Q2 organic growth consensus moved only -1 bp and FY 2026 organic growth moved -1 bp — suggesting the Street is anchored to guidance and not pricing in incremental upside or downside; </w:t>
      </w:r>
      <w:r>
        <w:rPr>
          <w:rFonts w:ascii="Calibri" w:hAnsi="Calibri"/>
          <w:b/>
          <w:color w:val="525866"/>
          <w:sz w:val="22"/>
        </w:rPr>
        <w:t>the gap between consensus (~5%) and guidance (“mid-single-digit or greater”) remains the key cushion for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 ~May 7, 2026)</w:t>
            </w:r>
          </w:p>
        </w:tc>
        <w:tc>
          <w:tcPr>
            <w:tcW w:type="dxa" w:w="1080"/>
            <w:shd w:val="clear" w:color="auto" w:fill="3B4259"/>
          </w:tcPr>
          <w:p>
            <w:r>
              <w:rPr>
                <w:rFonts w:ascii="Calibri" w:hAnsi="Calibri"/>
                <w:b/>
                <w:color w:val="FFFFFF"/>
                <w:sz w:val="22"/>
              </w:rPr>
              <w:t>Current Estimate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Organic Rev Growth — Q2 2026</w:t>
            </w:r>
          </w:p>
        </w:tc>
        <w:tc>
          <w:tcPr>
            <w:tcW w:type="dxa" w:w="1080"/>
          </w:tcPr>
          <w:p>
            <w:r>
              <w:rPr>
                <w:rFonts w:ascii="Calibri" w:hAnsi="Calibri"/>
                <w:sz w:val="22"/>
              </w:rPr>
              <w:t>5.02%</w:t>
            </w:r>
          </w:p>
        </w:tc>
        <w:tc>
          <w:tcPr>
            <w:tcW w:type="dxa" w:w="1080"/>
          </w:tcPr>
          <w:p>
            <w:r>
              <w:rPr>
                <w:rFonts w:ascii="Calibri" w:hAnsi="Calibri"/>
                <w:sz w:val="22"/>
              </w:rPr>
              <w:t>5.01%</w:t>
            </w:r>
          </w:p>
        </w:tc>
        <w:tc>
          <w:tcPr>
            <w:tcW w:type="dxa" w:w="1080"/>
          </w:tcPr>
          <w:p>
            <w:r>
              <w:rPr>
                <w:rFonts w:ascii="Calibri" w:hAnsi="Calibri"/>
                <w:sz w:val="22"/>
              </w:rPr>
              <w:t>-1 bp</w:t>
            </w:r>
          </w:p>
        </w:tc>
        <w:tc>
          <w:tcPr>
            <w:tcW w:type="dxa" w:w="1080"/>
          </w:tcPr>
          <w:p>
            <w:r>
              <w:rPr>
                <w:rFonts w:ascii="Calibri" w:hAnsi="Calibri"/>
                <w:sz w:val="22"/>
              </w:rPr>
              <w:t>Mid-single-digit or greater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guidance</w:t>
            </w:r>
          </w:p>
        </w:tc>
      </w:tr>
      <w:tr>
        <w:tc>
          <w:tcPr>
            <w:tcW w:type="dxa" w:w="1080"/>
          </w:tcPr>
          <w:p>
            <w:r>
              <w:rPr>
                <w:rFonts w:ascii="Calibri" w:hAnsi="Calibri"/>
                <w:sz w:val="22"/>
              </w:rPr>
              <w:t>Organic Rev Growth — FY 2026</w:t>
            </w:r>
          </w:p>
        </w:tc>
        <w:tc>
          <w:tcPr>
            <w:tcW w:type="dxa" w:w="1080"/>
          </w:tcPr>
          <w:p>
            <w:r>
              <w:rPr>
                <w:rFonts w:ascii="Calibri" w:hAnsi="Calibri"/>
                <w:sz w:val="22"/>
              </w:rPr>
              <w:t>4.98%</w:t>
            </w:r>
          </w:p>
        </w:tc>
        <w:tc>
          <w:tcPr>
            <w:tcW w:type="dxa" w:w="1080"/>
          </w:tcPr>
          <w:p>
            <w:r>
              <w:rPr>
                <w:rFonts w:ascii="Calibri" w:hAnsi="Calibri"/>
                <w:sz w:val="22"/>
              </w:rPr>
              <w:t>4.99%</w:t>
            </w:r>
          </w:p>
        </w:tc>
        <w:tc>
          <w:tcPr>
            <w:tcW w:type="dxa" w:w="1080"/>
          </w:tcPr>
          <w:p>
            <w:r>
              <w:rPr>
                <w:rFonts w:ascii="Calibri" w:hAnsi="Calibri"/>
                <w:sz w:val="22"/>
              </w:rPr>
              <w:t>+1 bp</w:t>
            </w:r>
          </w:p>
        </w:tc>
        <w:tc>
          <w:tcPr>
            <w:tcW w:type="dxa" w:w="1080"/>
          </w:tcPr>
          <w:p>
            <w:r>
              <w:rPr>
                <w:rFonts w:ascii="Calibri" w:hAnsi="Calibri"/>
                <w:sz w:val="22"/>
              </w:rPr>
              <w:t>Mid-single-digit or greater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guidance</w:t>
            </w:r>
          </w:p>
        </w:tc>
      </w:tr>
      <w:tr>
        <w:tc>
          <w:tcPr>
            <w:tcW w:type="dxa" w:w="1080"/>
          </w:tcPr>
          <w:p>
            <w:r>
              <w:rPr>
                <w:rFonts w:ascii="Calibri" w:hAnsi="Calibri"/>
                <w:sz w:val="22"/>
              </w:rPr>
              <w:t>Total Revenue — Q2 2026 ($B)</w:t>
            </w:r>
          </w:p>
        </w:tc>
        <w:tc>
          <w:tcPr>
            <w:tcW w:type="dxa" w:w="1080"/>
          </w:tcPr>
          <w:p>
            <w:r>
              <w:rPr>
                <w:rFonts w:ascii="Calibri" w:hAnsi="Calibri"/>
                <w:sz w:val="22"/>
              </w:rPr>
              <w:t>$4.286B</w:t>
            </w:r>
          </w:p>
        </w:tc>
        <w:tc>
          <w:tcPr>
            <w:tcW w:type="dxa" w:w="1080"/>
          </w:tcPr>
          <w:p>
            <w:r>
              <w:rPr>
                <w:rFonts w:ascii="Calibri" w:hAnsi="Calibri"/>
                <w:sz w:val="22"/>
              </w:rPr>
              <w:t>$4.274B</w:t>
            </w:r>
          </w:p>
        </w:tc>
        <w:tc>
          <w:tcPr>
            <w:tcW w:type="dxa" w:w="1080"/>
          </w:tcPr>
          <w:p>
            <w:r>
              <w:rPr>
                <w:rFonts w:ascii="Calibri" w:hAnsi="Calibri"/>
                <w:sz w:val="22"/>
              </w:rPr>
              <w:t>-0.3%</w:t>
            </w:r>
          </w:p>
        </w:tc>
        <w:tc>
          <w:tcPr>
            <w:tcW w:type="dxa" w:w="1080"/>
          </w:tcPr>
          <w:p>
            <w:r>
              <w:rPr>
                <w:rFonts w:ascii="Calibri" w:hAnsi="Calibri"/>
                <w:sz w:val="22"/>
              </w:rPr>
              <w:t>Mid-single-digit or greater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downward drift; immaterial</w:t>
            </w:r>
          </w:p>
        </w:tc>
      </w:tr>
      <w:tr>
        <w:tc>
          <w:tcPr>
            <w:tcW w:type="dxa" w:w="1080"/>
          </w:tcPr>
          <w:p>
            <w:r>
              <w:rPr>
                <w:rFonts w:ascii="Calibri" w:hAnsi="Calibri"/>
                <w:sz w:val="22"/>
              </w:rPr>
              <w:t>Total Revenue — FY 2026 ($B)</w:t>
            </w:r>
          </w:p>
        </w:tc>
        <w:tc>
          <w:tcPr>
            <w:tcW w:type="dxa" w:w="1080"/>
          </w:tcPr>
          <w:p>
            <w:r>
              <w:rPr>
                <w:rFonts w:ascii="Calibri" w:hAnsi="Calibri"/>
                <w:sz w:val="22"/>
              </w:rPr>
              <w:t>$17.997B</w:t>
            </w:r>
          </w:p>
        </w:tc>
        <w:tc>
          <w:tcPr>
            <w:tcW w:type="dxa" w:w="1080"/>
          </w:tcPr>
          <w:p>
            <w:r>
              <w:rPr>
                <w:rFonts w:ascii="Calibri" w:hAnsi="Calibri"/>
                <w:sz w:val="22"/>
              </w:rPr>
              <w:t>$17.986B</w:t>
            </w:r>
          </w:p>
        </w:tc>
        <w:tc>
          <w:tcPr>
            <w:tcW w:type="dxa" w:w="1080"/>
          </w:tcPr>
          <w:p>
            <w:r>
              <w:rPr>
                <w:rFonts w:ascii="Calibri" w:hAnsi="Calibri"/>
                <w:sz w:val="22"/>
              </w:rPr>
              <w:t>-0.1%</w:t>
            </w:r>
          </w:p>
        </w:tc>
        <w:tc>
          <w:tcPr>
            <w:tcW w:type="dxa" w:w="1080"/>
          </w:tcPr>
          <w:p>
            <w:r>
              <w:rPr>
                <w:rFonts w:ascii="Calibri" w:hAnsi="Calibri"/>
                <w:sz w:val="22"/>
              </w:rPr>
              <w:t>Mid-single-digit or greater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Essentially flat; stable</w:t>
            </w:r>
          </w:p>
        </w:tc>
      </w:tr>
      <w:tr>
        <w:tc>
          <w:tcPr>
            <w:tcW w:type="dxa" w:w="1080"/>
          </w:tcPr>
          <w:p>
            <w:r>
              <w:rPr>
                <w:rFonts w:ascii="Calibri" w:hAnsi="Calibri"/>
                <w:sz w:val="22"/>
              </w:rPr>
              <w:t>Adj. Operating EPS — Q2 2026 ($)</w:t>
            </w:r>
          </w:p>
        </w:tc>
        <w:tc>
          <w:tcPr>
            <w:tcW w:type="dxa" w:w="1080"/>
          </w:tcPr>
          <w:p>
            <w:r>
              <w:rPr>
                <w:rFonts w:ascii="Calibri" w:hAnsi="Calibri"/>
                <w:sz w:val="22"/>
              </w:rPr>
              <w:t>$3.81</w:t>
            </w:r>
          </w:p>
        </w:tc>
        <w:tc>
          <w:tcPr>
            <w:tcW w:type="dxa" w:w="1080"/>
          </w:tcPr>
          <w:p>
            <w:r>
              <w:rPr>
                <w:rFonts w:ascii="Calibri" w:hAnsi="Calibri"/>
                <w:sz w:val="22"/>
              </w:rPr>
              <w:t>$3.80</w:t>
            </w:r>
          </w:p>
        </w:tc>
        <w:tc>
          <w:tcPr>
            <w:tcW w:type="dxa" w:w="1080"/>
          </w:tcPr>
          <w:p>
            <w:r>
              <w:rPr>
                <w:rFonts w:ascii="Calibri" w:hAnsi="Calibri"/>
                <w:sz w:val="22"/>
              </w:rPr>
              <w:t>-0.3%</w:t>
            </w:r>
          </w:p>
        </w:tc>
        <w:tc>
          <w:tcPr>
            <w:tcW w:type="dxa" w:w="1080"/>
          </w:tcPr>
          <w:p>
            <w:r>
              <w:rPr>
                <w:rFonts w:ascii="Calibri" w:hAnsi="Calibri"/>
                <w:sz w:val="22"/>
              </w:rPr>
              <w:t>Strong earnings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Adj. Operating EPS — FY 2026 ($)</w:t>
            </w:r>
          </w:p>
        </w:tc>
        <w:tc>
          <w:tcPr>
            <w:tcW w:type="dxa" w:w="1080"/>
          </w:tcPr>
          <w:p>
            <w:r>
              <w:rPr>
                <w:rFonts w:ascii="Calibri" w:hAnsi="Calibri"/>
                <w:sz w:val="22"/>
              </w:rPr>
              <w:t>$19.11</w:t>
            </w:r>
          </w:p>
        </w:tc>
        <w:tc>
          <w:tcPr>
            <w:tcW w:type="dxa" w:w="1080"/>
          </w:tcPr>
          <w:p>
            <w:r>
              <w:rPr>
                <w:rFonts w:ascii="Calibri" w:hAnsi="Calibri"/>
                <w:sz w:val="22"/>
              </w:rPr>
              <w:t>$19.10</w:t>
            </w:r>
          </w:p>
        </w:tc>
        <w:tc>
          <w:tcPr>
            <w:tcW w:type="dxa" w:w="1080"/>
          </w:tcPr>
          <w:p>
            <w:r>
              <w:rPr>
                <w:rFonts w:ascii="Calibri" w:hAnsi="Calibri"/>
                <w:sz w:val="22"/>
              </w:rPr>
              <w:t>-0.1%</w:t>
            </w:r>
          </w:p>
        </w:tc>
        <w:tc>
          <w:tcPr>
            <w:tcW w:type="dxa" w:w="1080"/>
          </w:tcPr>
          <w:p>
            <w:r>
              <w:rPr>
                <w:rFonts w:ascii="Calibri" w:hAnsi="Calibri"/>
                <w:sz w:val="22"/>
              </w:rPr>
              <w:t>Strong earnings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Free Cash Flow — Q2 2026 ($B)</w:t>
            </w:r>
          </w:p>
        </w:tc>
        <w:tc>
          <w:tcPr>
            <w:tcW w:type="dxa" w:w="1080"/>
          </w:tcPr>
          <w:p>
            <w:r>
              <w:rPr>
                <w:rFonts w:ascii="Calibri" w:hAnsi="Calibri"/>
                <w:sz w:val="22"/>
              </w:rPr>
              <w:t>$0.888B</w:t>
            </w:r>
          </w:p>
        </w:tc>
        <w:tc>
          <w:tcPr>
            <w:tcW w:type="dxa" w:w="1080"/>
          </w:tcPr>
          <w:p>
            <w:r>
              <w:rPr>
                <w:rFonts w:ascii="Calibri" w:hAnsi="Calibri"/>
                <w:sz w:val="22"/>
              </w:rPr>
              <w:t>$0.748B</w:t>
            </w:r>
          </w:p>
        </w:tc>
        <w:tc>
          <w:tcPr>
            <w:tcW w:type="dxa" w:w="1080"/>
          </w:tcPr>
          <w:p>
            <w:r>
              <w:rPr>
                <w:rFonts w:ascii="Calibri" w:hAnsi="Calibri"/>
                <w:sz w:val="22"/>
              </w:rPr>
              <w:t>-15.8%</w:t>
            </w:r>
          </w:p>
        </w:tc>
        <w:tc>
          <w:tcPr>
            <w:tcW w:type="dxa" w:w="1080"/>
          </w:tcPr>
          <w:p>
            <w:r>
              <w:rPr>
                <w:rFonts w:ascii="Calibri" w:hAnsi="Calibri"/>
                <w:sz w:val="22"/>
              </w:rPr>
              <w:t>Double-digit FCF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Q2 FCF estimates revised down; FY still on track</w:t>
            </w:r>
          </w:p>
        </w:tc>
      </w:tr>
      <w:tr>
        <w:tc>
          <w:tcPr>
            <w:tcW w:type="dxa" w:w="1080"/>
          </w:tcPr>
          <w:p>
            <w:r>
              <w:rPr>
                <w:rFonts w:ascii="Calibri" w:hAnsi="Calibri"/>
                <w:sz w:val="22"/>
              </w:rPr>
              <w:t>Free Cash Flow — FY 2026 ($B)</w:t>
            </w:r>
          </w:p>
        </w:tc>
        <w:tc>
          <w:tcPr>
            <w:tcW w:type="dxa" w:w="1080"/>
          </w:tcPr>
          <w:p>
            <w:r>
              <w:rPr>
                <w:rFonts w:ascii="Calibri" w:hAnsi="Calibri"/>
                <w:sz w:val="22"/>
              </w:rPr>
              <w:t>$3.935B</w:t>
            </w:r>
          </w:p>
        </w:tc>
        <w:tc>
          <w:tcPr>
            <w:tcW w:type="dxa" w:w="1080"/>
          </w:tcPr>
          <w:p>
            <w:r>
              <w:rPr>
                <w:rFonts w:ascii="Calibri" w:hAnsi="Calibri"/>
                <w:sz w:val="22"/>
              </w:rPr>
              <w:t>$3.775B</w:t>
            </w:r>
          </w:p>
        </w:tc>
        <w:tc>
          <w:tcPr>
            <w:tcW w:type="dxa" w:w="1080"/>
          </w:tcPr>
          <w:p>
            <w:r>
              <w:rPr>
                <w:rFonts w:ascii="Calibri" w:hAnsi="Calibri"/>
                <w:sz w:val="22"/>
              </w:rPr>
              <w:t>-4.1%</w:t>
            </w:r>
          </w:p>
        </w:tc>
        <w:tc>
          <w:tcPr>
            <w:tcW w:type="dxa" w:w="1080"/>
          </w:tcPr>
          <w:p>
            <w:r>
              <w:rPr>
                <w:rFonts w:ascii="Calibri" w:hAnsi="Calibri"/>
                <w:sz w:val="22"/>
              </w:rPr>
              <w:t>$4.3B (before $300M NFP Wealth tax)</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reflects NFP Wealth tax impact; below stated $4.3B</w:t>
            </w:r>
          </w:p>
        </w:tc>
      </w:tr>
    </w:tbl>
    <w:p>
      <w:r>
        <w:rPr>
          <w:rFonts w:ascii="Calibri" w:hAnsi="Calibri"/>
          <w:color w:val="525866"/>
          <w:sz w:val="22"/>
        </w:rPr>
        <w:t>Estimates are tracking guidance closely with no meaningful divergence. The modest downward drift in Q2 FCF consensus (-15.8% from the post-print baseline) reflects timing adjustments rather than a structural concern, as FY FCF consensus remains broadly consistent with management’s double-digit growth objective after accounting for the $300M NFP Wealth tax impact.</w:t>
      </w:r>
    </w:p>
    <w:p>
      <w:r>
        <w:rPr>
          <w:rFonts w:ascii="Calibri" w:hAnsi="Calibri"/>
          <w:i/>
          <w:color w:val="525866"/>
          <w:sz w:val="22"/>
        </w:rPr>
        <w:t>Source: Visible Alpha consensus data. Post-earnings baseline as of May 7, 2026 (5 trading days after May 1, 2026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AON has surged ~22% since the Q1 2026 earnings date (May 1, 2026), dramatically outperforming both the insurance sector ETF (KIE) and the S&amp;P 500; the rally appears driven by </w:t>
      </w:r>
      <w:r>
        <w:rPr>
          <w:rFonts w:ascii="Calibri" w:hAnsi="Calibri"/>
          <w:b/>
          <w:color w:val="525866"/>
          <w:sz w:val="22"/>
        </w:rPr>
        <w:t>multiple expansion and sentiment re-rating</w:t>
      </w:r>
      <w:r>
        <w:rPr>
          <w:rFonts w:ascii="Calibri" w:hAnsi="Calibri"/>
          <w:color w:val="525866"/>
          <w:sz w:val="22"/>
        </w:rPr>
        <w:t xml:space="preserve"> rather than estimate revisions (which were flat), suggesting the stock has priced in continued execution and leaves limited margin for error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AON vs. KIE (SPDR Insurance ETF) vs. S&amp;P 500 — Indexed to 100 at May 1, 2026 (Last Earnings Date). KIE is the SPDR S&amp;P Insurance ETF, appropriate for AON’s insurance broker sub-sector. Note: KIE and S&amp;P 500 series are approximate benchmarks for illustrative comparison.</w:t>
      </w:r>
    </w:p>
    <w:p>
      <w:pPr>
        <w:pStyle w:val="ListBullet"/>
        <w:ind w:left="360" w:hanging="360"/>
      </w:pPr>
      <w:r>
        <w:rPr>
          <w:rFonts w:ascii="Calibri" w:hAnsi="Calibri"/>
          <w:b/>
          <w:color w:val="525866"/>
          <w:sz w:val="22"/>
        </w:rPr>
        <w:t xml:space="preserve">May 1, 2026 (Q1 Earnings): </w:t>
      </w:r>
      <w:r>
        <w:rPr>
          <w:rFonts w:ascii="Calibri" w:hAnsi="Calibri"/>
          <w:color w:val="525866"/>
          <w:sz w:val="22"/>
        </w:rPr>
        <w:t>AON opened at $311.51. Beat on EPS (+1.9%) and in-line organic growth (5% vs. 5.12% consensus). Stock rose ~4% on the day, driven by aggressive buyback announcement ($500M in Q1, 2x prior pace) and data center pipeline commentary (3x higher than prior year).</w:t>
      </w:r>
    </w:p>
    <w:p>
      <w:pPr>
        <w:pStyle w:val="ListBullet"/>
        <w:ind w:left="360" w:hanging="360"/>
      </w:pPr>
      <w:r>
        <w:rPr>
          <w:rFonts w:ascii="Calibri" w:hAnsi="Calibri"/>
          <w:b/>
          <w:color w:val="525866"/>
          <w:sz w:val="22"/>
        </w:rPr>
        <w:t xml:space="preserve">May 1 – June 8, 2026: </w:t>
      </w:r>
      <w:r>
        <w:rPr>
          <w:rFonts w:ascii="Calibri" w:hAnsi="Calibri"/>
          <w:color w:val="525866"/>
          <w:sz w:val="22"/>
        </w:rPr>
        <w:t>Stock drifted in a $308–$328 range as the market digested the Q1 results. Modest underperformance vs. sector as investors awaited Q2 data points.</w:t>
      </w:r>
    </w:p>
    <w:p>
      <w:pPr>
        <w:pStyle w:val="ListBullet"/>
        <w:ind w:left="360" w:hanging="360"/>
      </w:pPr>
      <w:r>
        <w:rPr>
          <w:rFonts w:ascii="Calibri" w:hAnsi="Calibri"/>
          <w:b/>
          <w:color w:val="525866"/>
          <w:sz w:val="22"/>
        </w:rPr>
        <w:t xml:space="preserve">June 9, 2026 (Morgan Stanley U.S. Financials Conference): </w:t>
      </w:r>
      <w:r>
        <w:rPr>
          <w:rFonts w:ascii="Calibri" w:hAnsi="Calibri"/>
          <w:color w:val="525866"/>
          <w:sz w:val="22"/>
        </w:rPr>
        <w:t>CFO Reese’s appearance drove a notable leg higher (+$5.74 on the day to $331.59). Key catalysts: confirmation that leverage is below target (2.6x vs. 2.9x objective), reiteration of data center tailwind ($3.5B facility, expanding), and commercial risk outperforming industry by 440 bps.</w:t>
      </w:r>
    </w:p>
    <w:p>
      <w:pPr>
        <w:pStyle w:val="ListBullet"/>
        <w:ind w:left="360" w:hanging="360"/>
      </w:pPr>
      <w:r>
        <w:rPr>
          <w:rFonts w:ascii="Calibri" w:hAnsi="Calibri"/>
          <w:b/>
          <w:color w:val="525866"/>
          <w:sz w:val="22"/>
        </w:rPr>
        <w:t xml:space="preserve">June 10 – June 17, 2026: </w:t>
      </w:r>
      <w:r>
        <w:rPr>
          <w:rFonts w:ascii="Calibri" w:hAnsi="Calibri"/>
          <w:color w:val="525866"/>
          <w:sz w:val="22"/>
        </w:rPr>
        <w:t>Stock reached a near-term peak of $336.33 before pulling back to $326.69 by June 17 as broader market risk-off sentiment weighed.</w:t>
      </w:r>
    </w:p>
    <w:p>
      <w:pPr>
        <w:pStyle w:val="ListBullet"/>
        <w:ind w:left="360" w:hanging="360"/>
      </w:pPr>
      <w:r>
        <w:rPr>
          <w:rFonts w:ascii="Calibri" w:hAnsi="Calibri"/>
          <w:b/>
          <w:color w:val="525866"/>
          <w:sz w:val="22"/>
        </w:rPr>
        <w:t xml:space="preserve">Late June – July 2026: </w:t>
      </w:r>
      <w:r>
        <w:rPr>
          <w:rFonts w:ascii="Calibri" w:hAnsi="Calibri"/>
          <w:color w:val="525866"/>
          <w:sz w:val="22"/>
        </w:rPr>
        <w:t>Strong re-acceleration. Stock broke above $340 on July 1 and continued to $381.26 by July 29, a 22.4% total return since earnings. The rally coincided with MMC’s strong Q2 2026 print (July 21) which confirmed the insurance broker demand environment remains healthy, providing a positive read-through for AON.</w:t>
      </w:r>
    </w:p>
    <w:p>
      <w:pPr>
        <w:pStyle w:val="ListBullet"/>
        <w:ind w:left="360" w:hanging="360"/>
      </w:pPr>
      <w:r>
        <w:rPr>
          <w:rFonts w:ascii="Calibri" w:hAnsi="Calibri"/>
          <w:b/>
          <w:color w:val="525866"/>
          <w:sz w:val="22"/>
        </w:rPr>
        <w:t xml:space="preserve">Current Level (July 28, 2026): </w:t>
      </w:r>
      <w:r>
        <w:rPr>
          <w:rFonts w:ascii="Calibri" w:hAnsi="Calibri"/>
          <w:color w:val="525866"/>
          <w:sz w:val="22"/>
        </w:rPr>
        <w:t>$367–$381 range (post-market $388.88). At ~22x forward EPS, AON trades at a meaningful premium to its 5-year average of ~18–19x, implying the market is pricing in sustained execution on the 3x3 Plan exit and data center upside.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MMC (Q2 2026 earnings, July 21), AJG (Pre-Q2 Investor Meeting, June 17), and BRO (Q2 2026 earnings, July 28) collectively paint a </w:t>
      </w:r>
      <w:r>
        <w:rPr>
          <w:rFonts w:ascii="Calibri" w:hAnsi="Calibri"/>
          <w:b/>
          <w:color w:val="525866"/>
          <w:sz w:val="22"/>
        </w:rPr>
        <w:t>constructive but nuanced picture</w:t>
      </w:r>
      <w:r>
        <w:rPr>
          <w:rFonts w:ascii="Calibri" w:hAnsi="Calibri"/>
          <w:color w:val="525866"/>
          <w:sz w:val="22"/>
        </w:rPr>
        <w:t xml:space="preserve"> — commercial risk demand is healthy and middle market is resilient, but property/cat pricing headwinds are intensifying (property rates down 9–16% across peers), reinsurance is under significant rate pressure, and health cost trends remain elevated; all three themes are directly relevant to AON’s Q2 setup.</w:t>
      </w:r>
    </w:p>
    <w:p>
      <w:pPr>
        <w:pStyle w:val="Heading3"/>
      </w:pPr>
      <w:r>
        <w:rPr>
          <w:rFonts w:ascii="Calibri" w:hAnsi="Calibri"/>
          <w:b/>
          <w:color w:val="3B4259"/>
          <w:sz w:val="24"/>
        </w:rPr>
        <w:t>MMC (Marsh McLennan) — Q2 2026 Earnings Call (July 21, 2026)</w:t>
      </w:r>
    </w:p>
    <w:p>
      <w:r>
        <w:rPr>
          <w:rFonts w:ascii="Calibri" w:hAnsi="Calibri"/>
          <w:i/>
          <w:color w:val="525866"/>
          <w:sz w:val="22"/>
        </w:rPr>
        <w:t>Relevance: MMC is AON’s closest direct peer across commercial risk, reinsurance (Guy Carpenter), and health/benefits (Mercer). MMC’s Q2 2026 results are the single most important read-through for AON.</w:t>
      </w:r>
    </w:p>
    <w:p>
      <w:pPr>
        <w:pStyle w:val="ListBullet"/>
        <w:ind w:left="360" w:hanging="360"/>
      </w:pPr>
      <w:r>
        <w:rPr>
          <w:rFonts w:ascii="Calibri" w:hAnsi="Calibri"/>
          <w:b/>
          <w:color w:val="525866"/>
          <w:sz w:val="22"/>
        </w:rPr>
        <w:t xml:space="preserve">Organic Growth Acceleration — Positive Read-Through: </w:t>
      </w:r>
      <w:r>
        <w:rPr>
          <w:rFonts w:ascii="Calibri" w:hAnsi="Calibri"/>
          <w:color w:val="525866"/>
          <w:sz w:val="22"/>
        </w:rPr>
        <w:t xml:space="preserve">MMC’s overall underlying revenue growth accelerated to 5% in Q2 (from 4% in Q1), with Marsh Risk up 4% on an underlying basis. US &amp; Canada underlying growth increased sequentially to 4% (from 3% in Q1), driven by strong new business. International underlying growth remained solid at 5% (EMEA +5%, Asia-Pacific +5%, Latin America +8%). This broad-based acceleration is a </w:t>
      </w:r>
      <w:r>
        <w:rPr>
          <w:rFonts w:ascii="Calibri" w:hAnsi="Calibri"/>
          <w:b/>
          <w:color w:val="525866"/>
          <w:sz w:val="22"/>
        </w:rPr>
        <w:t>positive read-through for AON’s commercial risk segment</w:t>
      </w:r>
      <w:r>
        <w:rPr>
          <w:rFonts w:ascii="Calibri" w:hAnsi="Calibri"/>
          <w:color w:val="525866"/>
          <w:sz w:val="22"/>
        </w:rPr>
        <w:t>, which has been running at 6–7% organic — above MMC’s pace — suggesting AON’s outperformance vs. the industry (440 bps per CFO Reese) is plausible.</w:t>
      </w:r>
    </w:p>
    <w:p>
      <w:pPr>
        <w:pStyle w:val="ListBullet"/>
        <w:ind w:left="360" w:hanging="360"/>
      </w:pPr>
      <w:r>
        <w:rPr>
          <w:rFonts w:ascii="Calibri" w:hAnsi="Calibri"/>
          <w:b/>
          <w:color w:val="525866"/>
          <w:sz w:val="22"/>
        </w:rPr>
        <w:t xml:space="preserve">Commercial Risk Pricing — Mixed Read-Through: </w:t>
      </w:r>
      <w:r>
        <w:rPr>
          <w:rFonts w:ascii="Calibri" w:hAnsi="Calibri"/>
          <w:color w:val="525866"/>
          <w:sz w:val="22"/>
        </w:rPr>
        <w:t xml:space="preserve">Per the Marsh Global Insurance Market Index, primary commercial insurance rates decreased 6% in Q2 (accelerating from -5% in Q1). Global property rates decreased 12% YoY (accelerating from prior quarter). U.S. rates decreased only 2%, while international markets saw larger declines (Canada, UK, Latin America down high single digits; Pacific down double digits). Casualty rates increased 2% globally, with U.S. excess casualty up 15%. </w:t>
      </w:r>
      <w:r>
        <w:rPr>
          <w:rFonts w:ascii="Calibri" w:hAnsi="Calibri"/>
          <w:b/>
          <w:color w:val="525866"/>
          <w:sz w:val="22"/>
        </w:rPr>
        <w:t xml:space="preserve">Implication for AON: </w:t>
      </w:r>
      <w:r>
        <w:rPr>
          <w:rFonts w:ascii="Calibri" w:hAnsi="Calibri"/>
          <w:color w:val="525866"/>
          <w:sz w:val="22"/>
        </w:rPr>
        <w:t>Accelerating property rate declines are a headwind for commercial risk organic growth, but AON’s exposure skews to large/complex accounts where new business wins and exposure growth can offset rate. U.S. excess casualty strength (+15%) is a tailwind for AON’s casualty book.</w:t>
      </w:r>
    </w:p>
    <w:p>
      <w:pPr>
        <w:pStyle w:val="ListBullet"/>
        <w:ind w:left="360" w:hanging="360"/>
      </w:pPr>
      <w:r>
        <w:rPr>
          <w:rFonts w:ascii="Calibri" w:hAnsi="Calibri"/>
          <w:b/>
          <w:color w:val="525866"/>
          <w:sz w:val="22"/>
        </w:rPr>
        <w:t xml:space="preserve">Reinsurance (Guy Carpenter) — Negative Read-Through: </w:t>
      </w:r>
      <w:r>
        <w:rPr>
          <w:rFonts w:ascii="Calibri" w:hAnsi="Calibri"/>
          <w:color w:val="525866"/>
          <w:sz w:val="22"/>
        </w:rPr>
        <w:t xml:space="preserve">Guy Carpenter revenue was down 2% on an underlying basis in Q2, with property cat rate online index down 16% at midyear — the steepest year-over-year decline in 25 years. Property represents 50% of Guy Carpenter’s global portfolio. Outside property, international facultative grew double-digit and casualty grew mid-single digits. </w:t>
      </w:r>
      <w:r>
        <w:rPr>
          <w:rFonts w:ascii="Calibri" w:hAnsi="Calibri"/>
          <w:b/>
          <w:color w:val="525866"/>
          <w:sz w:val="22"/>
        </w:rPr>
        <w:t xml:space="preserve">Implication for AON: </w:t>
      </w:r>
      <w:r>
        <w:rPr>
          <w:rFonts w:ascii="Calibri" w:hAnsi="Calibri"/>
          <w:color w:val="525866"/>
          <w:sz w:val="22"/>
        </w:rPr>
        <w:t>AON’s reinsurance segment faces the same property cat pricing headwind. Management guided to April 1 renewal rates down 15–20% in the U.S. and Japan, partially offset by ~10% higher demand. Consensus already expects AON reinsurance organic of ~3.7% in Q2 (vs. 6% in Q2 2025), so the bar is set low. The key question is whether international facultative and STG growth can offset, as it did for Guy Carpenter.</w:t>
      </w:r>
    </w:p>
    <w:p>
      <w:pPr>
        <w:pStyle w:val="ListBullet"/>
        <w:ind w:left="360" w:hanging="360"/>
      </w:pPr>
      <w:r>
        <w:rPr>
          <w:rFonts w:ascii="Calibri" w:hAnsi="Calibri"/>
          <w:b/>
          <w:color w:val="525866"/>
          <w:sz w:val="22"/>
        </w:rPr>
        <w:t xml:space="preserve">Digital Infrastructure / Data Centers — Positive Read-Through: </w:t>
      </w:r>
      <w:r>
        <w:rPr>
          <w:rFonts w:ascii="Calibri" w:hAnsi="Calibri"/>
          <w:color w:val="525866"/>
          <w:sz w:val="22"/>
        </w:rPr>
        <w:t xml:space="preserve">MMC highlighted a “very robust pipeline in digital infrastructure, beginning to make a meaningful contribution to growth.” Marsh is creating “multi-billion dollar insurance solutions for counterparty credit exposures” in the digital infrastructure ecosystem, integrating traditional insurance and reinsurance sidecars backed by third-party capital. </w:t>
      </w:r>
      <w:r>
        <w:rPr>
          <w:rFonts w:ascii="Calibri" w:hAnsi="Calibri"/>
          <w:b/>
          <w:color w:val="525866"/>
          <w:sz w:val="22"/>
        </w:rPr>
        <w:t xml:space="preserve">Implication for AON: </w:t>
      </w:r>
      <w:r>
        <w:rPr>
          <w:rFonts w:ascii="Calibri" w:hAnsi="Calibri"/>
          <w:color w:val="525866"/>
          <w:sz w:val="22"/>
        </w:rPr>
        <w:t>Validates AON’s data center thesis. AON’s DCLP capacity of $3.5B and pipeline tracking 3x higher than last year positions it as a market leader in this space. MMC’s commentary confirms the opportunity is real and growing.</w:t>
      </w:r>
    </w:p>
    <w:p>
      <w:pPr>
        <w:pStyle w:val="ListBullet"/>
        <w:ind w:left="360" w:hanging="360"/>
      </w:pPr>
      <w:r>
        <w:rPr>
          <w:rFonts w:ascii="Calibri" w:hAnsi="Calibri"/>
          <w:b/>
          <w:color w:val="525866"/>
          <w:sz w:val="22"/>
        </w:rPr>
        <w:t xml:space="preserve">Health / Benefits — Neutral Read-Through: </w:t>
      </w:r>
      <w:r>
        <w:rPr>
          <w:rFonts w:ascii="Calibri" w:hAnsi="Calibri"/>
          <w:color w:val="525866"/>
          <w:sz w:val="22"/>
        </w:rPr>
        <w:t xml:space="preserve">Mercer health grew 3% in Q2 (first sub-4% quarter in several years, below the 6% run rate). Management cautioned against extrapolating from one quarter, noting 5% H1 growth is a better reflection of the underlying profile. Medical costs remained elevated (8–10% trend). </w:t>
      </w:r>
      <w:r>
        <w:rPr>
          <w:rFonts w:ascii="Calibri" w:hAnsi="Calibri"/>
          <w:b/>
          <w:color w:val="525866"/>
          <w:sz w:val="22"/>
        </w:rPr>
        <w:t xml:space="preserve">Implication for AON: </w:t>
      </w:r>
      <w:r>
        <w:rPr>
          <w:rFonts w:ascii="Calibri" w:hAnsi="Calibri"/>
          <w:color w:val="525866"/>
          <w:sz w:val="22"/>
        </w:rPr>
        <w:t>AON’s health solutions segment has been running at 4–6% organic. MMC’s deceleration in Q2 is a mild caution flag, though AON’s health book has different client mix and geographic exposure.</w:t>
      </w:r>
    </w:p>
    <w:p>
      <w:pPr>
        <w:pStyle w:val="ListBullet"/>
        <w:ind w:left="360" w:hanging="360"/>
      </w:pPr>
      <w:r>
        <w:rPr>
          <w:rFonts w:ascii="Calibri" w:hAnsi="Calibri"/>
          <w:b/>
          <w:color w:val="525866"/>
          <w:sz w:val="22"/>
        </w:rPr>
        <w:t xml:space="preserve">Capital Deployment — Positive Sentiment Read-Through: </w:t>
      </w:r>
      <w:r>
        <w:rPr>
          <w:rFonts w:ascii="Calibri" w:hAnsi="Calibri"/>
          <w:color w:val="525866"/>
          <w:sz w:val="22"/>
        </w:rPr>
        <w:t>MMC raised its 2026 capital deployment target to $5.5B (from $5B), announced a 10% dividend increase (17th consecutive year of increases), and noted strong talent acquisition in H1. This signals broad sector confidence in earnings durability and cash generation.</w:t>
      </w:r>
    </w:p>
    <w:p>
      <w:pPr>
        <w:pStyle w:val="Heading3"/>
      </w:pPr>
      <w:r>
        <w:rPr>
          <w:rFonts w:ascii="Calibri" w:hAnsi="Calibri"/>
          <w:b/>
          <w:color w:val="3B4259"/>
          <w:sz w:val="24"/>
        </w:rPr>
        <w:t>AJG (Arthur J. Gallagher) — Pre-Q2 2026 Investor Meeting with Management (June 17, 2026)</w:t>
      </w:r>
    </w:p>
    <w:p>
      <w:r>
        <w:rPr>
          <w:rFonts w:ascii="Calibri" w:hAnsi="Calibri"/>
          <w:i/>
          <w:color w:val="525866"/>
          <w:sz w:val="22"/>
        </w:rPr>
        <w:t>Relevance: AJG is a direct competitor in commercial risk brokerage and middle market, with significant overlap in client segments and geographies. The June 17 investor meeting provided explicit Q2 2026 guidance, making it highly relevant as a forward-looking read-through.</w:t>
      </w:r>
    </w:p>
    <w:p>
      <w:pPr>
        <w:pStyle w:val="ListBullet"/>
        <w:ind w:left="360" w:hanging="360"/>
      </w:pPr>
      <w:r>
        <w:rPr>
          <w:rFonts w:ascii="Calibri" w:hAnsi="Calibri"/>
          <w:b/>
          <w:color w:val="525866"/>
          <w:sz w:val="22"/>
        </w:rPr>
        <w:t xml:space="preserve">Q2 2026 Organic Growth Guidance — Positive Read-Through: </w:t>
      </w:r>
      <w:r>
        <w:rPr>
          <w:rFonts w:ascii="Calibri" w:hAnsi="Calibri"/>
          <w:color w:val="525866"/>
          <w:sz w:val="22"/>
        </w:rPr>
        <w:t xml:space="preserve">AJG guided Q2 brokerage segment organic growth of ~5% and full-year 2026 combined brokerage + risk management organic of ~6%. Americas specialty and retail P&amp;C: mid-single-digit organic. UK/Australia/NZ retail and London specialty: mid-single-digit organic. Gallagher Re (reinsurance): strong start to 2026 with bullish outlook. </w:t>
      </w:r>
      <w:r>
        <w:rPr>
          <w:rFonts w:ascii="Calibri" w:hAnsi="Calibri"/>
          <w:b/>
          <w:color w:val="525866"/>
          <w:sz w:val="22"/>
        </w:rPr>
        <w:t xml:space="preserve">Implication for AON: </w:t>
      </w:r>
      <w:r>
        <w:rPr>
          <w:rFonts w:ascii="Calibri" w:hAnsi="Calibri"/>
          <w:color w:val="525866"/>
          <w:sz w:val="22"/>
        </w:rPr>
        <w:t>AJG’s 5% Q2 brokerage guidance is consistent with AON’s ~5% consensus, suggesting the demand environment supports AON’s guidance. AJG’s full-year 6% target is also consistent with AON’s “mid-single-digit or greater” guidance.</w:t>
      </w:r>
    </w:p>
    <w:p>
      <w:pPr>
        <w:pStyle w:val="ListBullet"/>
        <w:ind w:left="360" w:hanging="360"/>
      </w:pPr>
      <w:r>
        <w:rPr>
          <w:rFonts w:ascii="Calibri" w:hAnsi="Calibri"/>
          <w:b/>
          <w:color w:val="525866"/>
          <w:sz w:val="22"/>
        </w:rPr>
        <w:t xml:space="preserve">Commercial Risk Pricing — Consistent with MMC: </w:t>
      </w:r>
      <w:r>
        <w:rPr>
          <w:rFonts w:ascii="Calibri" w:hAnsi="Calibri"/>
          <w:color w:val="525866"/>
          <w:sz w:val="22"/>
        </w:rPr>
        <w:t xml:space="preserve">AJG reported property lines down 9% globally (U.S. retail property down 11%), casualty up 5% (general liability +1%, commercial auto +4%, umbrella +8%), D&amp;O/cyber/professional lines up 2%, workers’ comp flat. Excluding property, renewal premium changes up ~3%. </w:t>
      </w:r>
      <w:r>
        <w:rPr>
          <w:rFonts w:ascii="Calibri" w:hAnsi="Calibri"/>
          <w:b/>
          <w:color w:val="525866"/>
          <w:sz w:val="22"/>
        </w:rPr>
        <w:t xml:space="preserve">Implication for AON: </w:t>
      </w:r>
      <w:r>
        <w:rPr>
          <w:rFonts w:ascii="Calibri" w:hAnsi="Calibri"/>
          <w:color w:val="525866"/>
          <w:sz w:val="22"/>
        </w:rPr>
        <w:t>Consistent with MMC’s data. Property rate declines are accelerating but casualty remains firm. AON’s commercial risk organic growth has historically outperformed peers on new business wins, which can offset rate headwinds.</w:t>
      </w:r>
    </w:p>
    <w:p>
      <w:pPr>
        <w:pStyle w:val="ListBullet"/>
        <w:ind w:left="360" w:hanging="360"/>
      </w:pPr>
      <w:r>
        <w:rPr>
          <w:rFonts w:ascii="Calibri" w:hAnsi="Calibri"/>
          <w:b/>
          <w:color w:val="525866"/>
          <w:sz w:val="22"/>
        </w:rPr>
        <w:t xml:space="preserve">Middle Market Resilience — Positive Read-Through: </w:t>
      </w:r>
      <w:r>
        <w:rPr>
          <w:rFonts w:ascii="Calibri" w:hAnsi="Calibri"/>
          <w:color w:val="525866"/>
          <w:sz w:val="22"/>
        </w:rPr>
        <w:t xml:space="preserve">AJG described middle market clients as “robust” and able to deal with tariffs and inflation. CFO Hall noted that in the middle market, brokers are “showing clients tools, data and benchmarking at the point of sale that smaller brokers simply do not have.” Pricing is “only around 1% of our organic outlook today,” meaning volume and new business are driving growth. </w:t>
      </w:r>
      <w:r>
        <w:rPr>
          <w:rFonts w:ascii="Calibri" w:hAnsi="Calibri"/>
          <w:b/>
          <w:color w:val="525866"/>
          <w:sz w:val="22"/>
        </w:rPr>
        <w:t xml:space="preserve">Implication for AON: </w:t>
      </w:r>
      <w:r>
        <w:rPr>
          <w:rFonts w:ascii="Calibri" w:hAnsi="Calibri"/>
          <w:color w:val="525866"/>
          <w:sz w:val="22"/>
        </w:rPr>
        <w:t>Directly validates AON’s NFP middle market strategy. AON’s ABS platform and analyzer suite are analogous to AJG’s differentiation tools. Middle market resilience supports AON’s accretive middle market growth thesis.</w:t>
      </w:r>
    </w:p>
    <w:p>
      <w:pPr>
        <w:pStyle w:val="ListBullet"/>
        <w:ind w:left="360" w:hanging="360"/>
      </w:pPr>
      <w:r>
        <w:rPr>
          <w:rFonts w:ascii="Calibri" w:hAnsi="Calibri"/>
          <w:b/>
          <w:color w:val="525866"/>
          <w:sz w:val="22"/>
        </w:rPr>
        <w:t xml:space="preserve">Data Center Insurance — Positive Read-Through: </w:t>
      </w:r>
      <w:r>
        <w:rPr>
          <w:rFonts w:ascii="Calibri" w:hAnsi="Calibri"/>
          <w:color w:val="525866"/>
          <w:sz w:val="22"/>
        </w:rPr>
        <w:t xml:space="preserve">AJG described data centers as “one of the fastest growing and most complex risks in the market today” and reported a “very large win just last week” in the data center space. Pipeline described as “robust.” AJG noted it “wouldn’t overstate it financially” but confirmed it is a positive area. </w:t>
      </w:r>
      <w:r>
        <w:rPr>
          <w:rFonts w:ascii="Calibri" w:hAnsi="Calibri"/>
          <w:b/>
          <w:color w:val="525866"/>
          <w:sz w:val="22"/>
        </w:rPr>
        <w:t xml:space="preserve">Implication for AON: </w:t>
      </w:r>
      <w:r>
        <w:rPr>
          <w:rFonts w:ascii="Calibri" w:hAnsi="Calibri"/>
          <w:color w:val="525866"/>
          <w:sz w:val="22"/>
        </w:rPr>
        <w:t>Confirms the data center opportunity is real and competitive. AON’s $3.5B DCLP facility and 3x pipeline growth suggest it is better positioned than AJG in this space given its capital markets capabilities.</w:t>
      </w:r>
    </w:p>
    <w:p>
      <w:pPr>
        <w:pStyle w:val="ListBullet"/>
        <w:ind w:left="360" w:hanging="360"/>
      </w:pPr>
      <w:r>
        <w:rPr>
          <w:rFonts w:ascii="Calibri" w:hAnsi="Calibri"/>
          <w:b/>
          <w:color w:val="525866"/>
          <w:sz w:val="22"/>
        </w:rPr>
        <w:t xml:space="preserve">Health Solutions — Elevated Cost Trends: </w:t>
      </w:r>
      <w:r>
        <w:rPr>
          <w:rFonts w:ascii="Calibri" w:hAnsi="Calibri"/>
          <w:color w:val="525866"/>
          <w:sz w:val="22"/>
        </w:rPr>
        <w:t xml:space="preserve">AJG reported fully insured renewals at largest carriers showing high single-digit to ~10% premium increases; stop loss showing mid-teens to above 20% increases. Medical cost trends driven by utilization, hospital workforce shortages, and GLP-1 drugs. </w:t>
      </w:r>
      <w:r>
        <w:rPr>
          <w:rFonts w:ascii="Calibri" w:hAnsi="Calibri"/>
          <w:b/>
          <w:color w:val="525866"/>
          <w:sz w:val="22"/>
        </w:rPr>
        <w:t xml:space="preserve">Implication for AON: </w:t>
      </w:r>
      <w:r>
        <w:rPr>
          <w:rFonts w:ascii="Calibri" w:hAnsi="Calibri"/>
          <w:color w:val="525866"/>
          <w:sz w:val="22"/>
        </w:rPr>
        <w:t>Elevated health cost trends drive demand for AON’s advisory and consulting capabilities, supporting health solutions organic growth.</w:t>
      </w:r>
    </w:p>
    <w:p>
      <w:pPr>
        <w:pStyle w:val="ListBullet"/>
        <w:ind w:left="360" w:hanging="360"/>
      </w:pPr>
      <w:r>
        <w:rPr>
          <w:rFonts w:ascii="Calibri" w:hAnsi="Calibri"/>
          <w:b/>
          <w:color w:val="525866"/>
          <w:sz w:val="22"/>
        </w:rPr>
        <w:t xml:space="preserve">Reinsurance — Constructive Despite Rate Pressure: </w:t>
      </w:r>
      <w:r>
        <w:rPr>
          <w:rFonts w:ascii="Calibri" w:hAnsi="Calibri"/>
          <w:color w:val="525866"/>
          <w:sz w:val="22"/>
        </w:rPr>
        <w:t xml:space="preserve">Gallagher Re finished 2025 with 14% organic growth and described a “strong start to 2026.” June 1 Florida cat renewals saw rate reductions but market remains “well capitalized” with “abundant capacity.” July 1 renewals backdrop described as consistent with prior renewals. </w:t>
      </w:r>
      <w:r>
        <w:rPr>
          <w:rFonts w:ascii="Calibri" w:hAnsi="Calibri"/>
          <w:b/>
          <w:color w:val="525866"/>
          <w:sz w:val="22"/>
        </w:rPr>
        <w:t xml:space="preserve">Implication for AON: </w:t>
      </w:r>
      <w:r>
        <w:rPr>
          <w:rFonts w:ascii="Calibri" w:hAnsi="Calibri"/>
          <w:color w:val="525866"/>
          <w:sz w:val="22"/>
        </w:rPr>
        <w:t>Reinsurance volume growth (demand up ~10%) can partially offset rate declines. AON’s reinsurance segment has been growing through volume and international facultative, consistent with this dynamic.</w:t>
      </w:r>
    </w:p>
    <w:p>
      <w:pPr>
        <w:pStyle w:val="Heading3"/>
      </w:pPr>
      <w:r>
        <w:rPr>
          <w:rFonts w:ascii="Calibri" w:hAnsi="Calibri"/>
          <w:b/>
          <w:color w:val="3B4259"/>
          <w:sz w:val="24"/>
        </w:rPr>
        <w:t>BRO (Brown &amp; Brown) — Q2 2026 Earnings Call (July 28, 2026)</w:t>
      </w:r>
    </w:p>
    <w:p>
      <w:r>
        <w:rPr>
          <w:rFonts w:ascii="Calibri" w:hAnsi="Calibri"/>
          <w:i/>
          <w:color w:val="525866"/>
          <w:sz w:val="22"/>
        </w:rPr>
        <w:t>Relevance: BRO is a mid-market and specialty insurance broker with significant retail and specialty distribution exposure. Less direct overlap with AON than MMC/AJG, but provides useful color on pricing trends and middle market demand.</w:t>
      </w:r>
    </w:p>
    <w:p>
      <w:pPr>
        <w:pStyle w:val="ListBullet"/>
        <w:ind w:left="360" w:hanging="360"/>
      </w:pPr>
      <w:r>
        <w:rPr>
          <w:rFonts w:ascii="Calibri" w:hAnsi="Calibri"/>
          <w:b/>
          <w:color w:val="525866"/>
          <w:sz w:val="22"/>
        </w:rPr>
        <w:t xml:space="preserve">Organic Growth — Neutral Read-Through: </w:t>
      </w:r>
      <w:r>
        <w:rPr>
          <w:rFonts w:ascii="Calibri" w:hAnsi="Calibri"/>
          <w:color w:val="525866"/>
          <w:sz w:val="22"/>
        </w:rPr>
        <w:t xml:space="preserve">BRO reported retail organic growth of 2.5% including contingents (1.5% excluding), slightly above expectations. Specialty distribution organic was -1.6% with contingents (-3.5% excluding), impacted by ~$10M of delayed new business revenue (timing issue, expected to record in Q3). Management guided H2 retail organic of 1.5–2.5% and specialty distribution of 2–4%. </w:t>
      </w:r>
      <w:r>
        <w:rPr>
          <w:rFonts w:ascii="Calibri" w:hAnsi="Calibri"/>
          <w:b/>
          <w:color w:val="525866"/>
          <w:sz w:val="22"/>
        </w:rPr>
        <w:t xml:space="preserve">Implication for AON: </w:t>
      </w:r>
      <w:r>
        <w:rPr>
          <w:rFonts w:ascii="Calibri" w:hAnsi="Calibri"/>
          <w:color w:val="525866"/>
          <w:sz w:val="22"/>
        </w:rPr>
        <w:t>BRO’s lower organic growth reflects its smaller-account, more commoditized book vs. AON’s large/complex client focus. Limited direct read-through, but confirms the market is not uniformly strong.</w:t>
      </w:r>
    </w:p>
    <w:p>
      <w:pPr>
        <w:pStyle w:val="ListBullet"/>
        <w:ind w:left="360" w:hanging="360"/>
      </w:pPr>
      <w:r>
        <w:rPr>
          <w:rFonts w:ascii="Calibri" w:hAnsi="Calibri"/>
          <w:b/>
          <w:color w:val="525866"/>
          <w:sz w:val="22"/>
        </w:rPr>
        <w:t xml:space="preserve">Commercial Risk Pricing — Consistent with Peers: </w:t>
      </w:r>
      <w:r>
        <w:rPr>
          <w:rFonts w:ascii="Calibri" w:hAnsi="Calibri"/>
          <w:color w:val="525866"/>
          <w:sz w:val="22"/>
        </w:rPr>
        <w:t xml:space="preserve">BRO reported Q2 rate changes broadly consistent with Q1: workers’ comp and non-cat property flat to down 5%, primary casualty and professional liability up 5%, excess casualty under more rate pressure, property/cat property down 15–35%. Management expects rates to “moderate slightly” in H2 with no significant changes. </w:t>
      </w:r>
      <w:r>
        <w:rPr>
          <w:rFonts w:ascii="Calibri" w:hAnsi="Calibri"/>
          <w:b/>
          <w:color w:val="525866"/>
          <w:sz w:val="22"/>
        </w:rPr>
        <w:t xml:space="preserve">Implication for AON: </w:t>
      </w:r>
      <w:r>
        <w:rPr>
          <w:rFonts w:ascii="Calibri" w:hAnsi="Calibri"/>
          <w:color w:val="525866"/>
          <w:sz w:val="22"/>
        </w:rPr>
        <w:t>Consistent with MMC and AJG data. Cat property pricing at 2017–2020 levels in southeast Florida. The pricing environment is well-understood and already embedded in AON’s guidance.</w:t>
      </w:r>
    </w:p>
    <w:p>
      <w:pPr>
        <w:pStyle w:val="ListBullet"/>
        <w:ind w:left="360" w:hanging="360"/>
      </w:pPr>
      <w:r>
        <w:rPr>
          <w:rFonts w:ascii="Calibri" w:hAnsi="Calibri"/>
          <w:b/>
          <w:color w:val="525866"/>
          <w:sz w:val="22"/>
        </w:rPr>
        <w:t xml:space="preserve">Middle Market Economy — Neutral Read-Through: </w:t>
      </w:r>
      <w:r>
        <w:rPr>
          <w:rFonts w:ascii="Calibri" w:hAnsi="Calibri"/>
          <w:color w:val="525866"/>
          <w:sz w:val="22"/>
        </w:rPr>
        <w:t xml:space="preserve">BRO described economic conditions as “relatively consistent with previous quarters.” Customers maintaining “fairly neutral position towards hiring and investment.” Positive audit premium activity suggests continued business growth. Customers monitoring inflation, oil prices, and geopolitical matters. </w:t>
      </w:r>
      <w:r>
        <w:rPr>
          <w:rFonts w:ascii="Calibri" w:hAnsi="Calibri"/>
          <w:b/>
          <w:color w:val="525866"/>
          <w:sz w:val="22"/>
        </w:rPr>
        <w:t xml:space="preserve">Implication for AON: </w:t>
      </w:r>
      <w:r>
        <w:rPr>
          <w:rFonts w:ascii="Calibri" w:hAnsi="Calibri"/>
          <w:color w:val="525866"/>
          <w:sz w:val="22"/>
        </w:rPr>
        <w:t>Middle market is stable but not accelerating. Consistent with AON’s mid-single-digit organic growth guidance rather than an acceleration scenario.</w:t>
      </w:r>
    </w:p>
    <w:p>
      <w:pPr>
        <w:pStyle w:val="ListBullet"/>
        <w:ind w:left="360" w:hanging="360"/>
      </w:pPr>
      <w:r>
        <w:rPr>
          <w:rFonts w:ascii="Calibri" w:hAnsi="Calibri"/>
          <w:b/>
          <w:color w:val="525866"/>
          <w:sz w:val="22"/>
        </w:rPr>
        <w:t xml:space="preserve">AI / Technology — Positive Sentiment Read-Through: </w:t>
      </w:r>
      <w:r>
        <w:rPr>
          <w:rFonts w:ascii="Calibri" w:hAnsi="Calibri"/>
          <w:color w:val="525866"/>
          <w:sz w:val="22"/>
        </w:rPr>
        <w:t xml:space="preserve">BRO expects AI to “drive incremental organic growth and margins over time” through faster cycle times, higher productivity, and stronger organic growth. </w:t>
      </w:r>
      <w:r>
        <w:rPr>
          <w:rFonts w:ascii="Calibri" w:hAnsi="Calibri"/>
          <w:b/>
          <w:color w:val="525866"/>
          <w:sz w:val="22"/>
        </w:rPr>
        <w:t xml:space="preserve">Implication for AON: </w:t>
      </w:r>
      <w:r>
        <w:rPr>
          <w:rFonts w:ascii="Calibri" w:hAnsi="Calibri"/>
          <w:color w:val="525866"/>
          <w:sz w:val="22"/>
        </w:rPr>
        <w:t>Validates AON’s ABS/AI investment thesis. AON is further ahead in AI deployment (specific productivity metrics cited: 50% invoicing cycle time reduction, 95% certificate of insurance handle time reduction) than BRO, suggesting AON should capture more of this benefit.</w:t>
      </w:r>
    </w:p>
    <w:p>
      <w:pPr>
        <w:pStyle w:val="ListBullet"/>
        <w:ind w:left="360" w:hanging="360"/>
      </w:pPr>
      <w:r>
        <w:rPr>
          <w:rFonts w:ascii="Calibri" w:hAnsi="Calibri"/>
          <w:b/>
          <w:color w:val="525866"/>
          <w:sz w:val="22"/>
        </w:rPr>
        <w:t xml:space="preserve">Health Solutions — Elevated Trends: </w:t>
      </w:r>
      <w:r>
        <w:rPr>
          <w:rFonts w:ascii="Calibri" w:hAnsi="Calibri"/>
          <w:color w:val="525866"/>
          <w:sz w:val="22"/>
        </w:rPr>
        <w:t xml:space="preserve">BRO reported medical costs up 8–10% and pharmacy costs up over 10%, driving demand for advisory capabilities. Pharmacy consulting business negatively impacted organic growth by ~60 bps in Q2. </w:t>
      </w:r>
      <w:r>
        <w:rPr>
          <w:rFonts w:ascii="Calibri" w:hAnsi="Calibri"/>
          <w:b/>
          <w:color w:val="525866"/>
          <w:sz w:val="22"/>
        </w:rPr>
        <w:t xml:space="preserve">Implication for AON: </w:t>
      </w:r>
      <w:r>
        <w:rPr>
          <w:rFonts w:ascii="Calibri" w:hAnsi="Calibri"/>
          <w:color w:val="525866"/>
          <w:sz w:val="22"/>
        </w:rPr>
        <w:t>Consistent with AJG’s commentary. Elevated health cost trends are a demand driver for AON’s health solutions segment.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Read-Through for AON Q2</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Commercial Risk Organic Growth</w:t>
            </w:r>
          </w:p>
        </w:tc>
        <w:tc>
          <w:tcPr>
            <w:tcW w:type="dxa" w:w="2160"/>
          </w:tcPr>
          <w:p>
            <w:r>
              <w:rPr>
                <w:rFonts w:ascii="Calibri" w:hAnsi="Calibri"/>
                <w:sz w:val="22"/>
              </w:rPr>
              <w:t>MMC Marsh Risk +4% underlying; AJG brokerage ~5% Q2 guidance</w:t>
            </w:r>
          </w:p>
        </w:tc>
        <w:tc>
          <w:tcPr>
            <w:tcW w:type="dxa" w:w="2160"/>
          </w:tcPr>
          <w:p>
            <w:r>
              <w:rPr>
                <w:rFonts w:ascii="Calibri" w:hAnsi="Calibri"/>
                <w:sz w:val="22"/>
              </w:rPr>
              <w:t>Demand environment supports AON’s ~5.7% commercial risk consensus; AON historically outperforms peers</w:t>
            </w:r>
          </w:p>
        </w:tc>
        <w:tc>
          <w:tcPr>
            <w:tcW w:type="dxa" w:w="2160"/>
          </w:tcPr>
          <w:p>
            <w:r>
              <w:rPr>
                <w:rFonts w:ascii="Calibri" w:hAnsi="Calibri"/>
                <w:b/>
                <w:color w:val="30A46C"/>
                <w:sz w:val="22"/>
              </w:rPr>
              <w:t>Positive</w:t>
            </w:r>
          </w:p>
        </w:tc>
      </w:tr>
      <w:tr>
        <w:tc>
          <w:tcPr>
            <w:tcW w:type="dxa" w:w="2160"/>
          </w:tcPr>
          <w:p>
            <w:r>
              <w:rPr>
                <w:rFonts w:ascii="Calibri" w:hAnsi="Calibri"/>
                <w:sz w:val="22"/>
              </w:rPr>
              <w:t>Property Rate Declines</w:t>
            </w:r>
          </w:p>
        </w:tc>
        <w:tc>
          <w:tcPr>
            <w:tcW w:type="dxa" w:w="2160"/>
          </w:tcPr>
          <w:p>
            <w:r>
              <w:rPr>
                <w:rFonts w:ascii="Calibri" w:hAnsi="Calibri"/>
                <w:sz w:val="22"/>
              </w:rPr>
              <w:t>MMC global property -12% YoY (accelerating); AJG property -9% globally; BRO cat property -15% to -35%</w:t>
            </w:r>
          </w:p>
        </w:tc>
        <w:tc>
          <w:tcPr>
            <w:tcW w:type="dxa" w:w="2160"/>
          </w:tcPr>
          <w:p>
            <w:r>
              <w:rPr>
                <w:rFonts w:ascii="Calibri" w:hAnsi="Calibri"/>
                <w:sz w:val="22"/>
              </w:rPr>
              <w:t>Headwind for commercial risk organic; partially offset by exposure growth and new business wins</w:t>
            </w:r>
          </w:p>
        </w:tc>
        <w:tc>
          <w:tcPr>
            <w:tcW w:type="dxa" w:w="2160"/>
          </w:tcPr>
          <w:p>
            <w:r>
              <w:rPr>
                <w:rFonts w:ascii="Calibri" w:hAnsi="Calibri"/>
                <w:b/>
                <w:color w:val="E5484D"/>
                <w:sz w:val="22"/>
              </w:rPr>
              <w:t>Negative</w:t>
            </w:r>
          </w:p>
        </w:tc>
      </w:tr>
      <w:tr>
        <w:tc>
          <w:tcPr>
            <w:tcW w:type="dxa" w:w="2160"/>
          </w:tcPr>
          <w:p>
            <w:r>
              <w:rPr>
                <w:rFonts w:ascii="Calibri" w:hAnsi="Calibri"/>
                <w:sz w:val="22"/>
              </w:rPr>
              <w:t>Reinsurance Pricing</w:t>
            </w:r>
          </w:p>
        </w:tc>
        <w:tc>
          <w:tcPr>
            <w:tcW w:type="dxa" w:w="2160"/>
          </w:tcPr>
          <w:p>
            <w:r>
              <w:rPr>
                <w:rFonts w:ascii="Calibri" w:hAnsi="Calibri"/>
                <w:sz w:val="22"/>
              </w:rPr>
              <w:t>MMC Guy Carpenter property cat rate online index -16% at midyear (steepest in 25 years); flat underlying H1</w:t>
            </w:r>
          </w:p>
        </w:tc>
        <w:tc>
          <w:tcPr>
            <w:tcW w:type="dxa" w:w="2160"/>
          </w:tcPr>
          <w:p>
            <w:r>
              <w:rPr>
                <w:rFonts w:ascii="Calibri" w:hAnsi="Calibri"/>
                <w:sz w:val="22"/>
              </w:rPr>
              <w:t>Validates AON’s reinsurance headwind; bar already set low (~3.7% consensus organic); volume growth partially offsets</w:t>
            </w:r>
          </w:p>
        </w:tc>
        <w:tc>
          <w:tcPr>
            <w:tcW w:type="dxa" w:w="2160"/>
          </w:tcPr>
          <w:p>
            <w:r>
              <w:rPr>
                <w:rFonts w:ascii="Calibri" w:hAnsi="Calibri"/>
                <w:b/>
                <w:color w:val="E5484D"/>
                <w:sz w:val="22"/>
              </w:rPr>
              <w:t>Negative (but priced in)</w:t>
            </w:r>
          </w:p>
        </w:tc>
      </w:tr>
      <w:tr>
        <w:tc>
          <w:tcPr>
            <w:tcW w:type="dxa" w:w="2160"/>
          </w:tcPr>
          <w:p>
            <w:r>
              <w:rPr>
                <w:rFonts w:ascii="Calibri" w:hAnsi="Calibri"/>
                <w:sz w:val="22"/>
              </w:rPr>
              <w:t>Data Center / Digital Infrastructure</w:t>
            </w:r>
          </w:p>
        </w:tc>
        <w:tc>
          <w:tcPr>
            <w:tcW w:type="dxa" w:w="2160"/>
          </w:tcPr>
          <w:p>
            <w:r>
              <w:rPr>
                <w:rFonts w:ascii="Calibri" w:hAnsi="Calibri"/>
                <w:sz w:val="22"/>
              </w:rPr>
              <w:t>MMC: “very robust pipeline in digital infrastructure, beginning to make meaningful contribution”; AJG: “very large win just last week”</w:t>
            </w:r>
          </w:p>
        </w:tc>
        <w:tc>
          <w:tcPr>
            <w:tcW w:type="dxa" w:w="2160"/>
          </w:tcPr>
          <w:p>
            <w:r>
              <w:rPr>
                <w:rFonts w:ascii="Calibri" w:hAnsi="Calibri"/>
                <w:sz w:val="22"/>
              </w:rPr>
              <w:t>Validates AON’s data center thesis; AON’s $3.5B DCLP facility and 3x pipeline growth suggest market leadership</w:t>
            </w:r>
          </w:p>
        </w:tc>
        <w:tc>
          <w:tcPr>
            <w:tcW w:type="dxa" w:w="2160"/>
          </w:tcPr>
          <w:p>
            <w:r>
              <w:rPr>
                <w:rFonts w:ascii="Calibri" w:hAnsi="Calibri"/>
                <w:b/>
                <w:color w:val="30A46C"/>
                <w:sz w:val="22"/>
              </w:rPr>
              <w:t>Positive</w:t>
            </w:r>
          </w:p>
        </w:tc>
      </w:tr>
      <w:tr>
        <w:tc>
          <w:tcPr>
            <w:tcW w:type="dxa" w:w="2160"/>
          </w:tcPr>
          <w:p>
            <w:r>
              <w:rPr>
                <w:rFonts w:ascii="Calibri" w:hAnsi="Calibri"/>
                <w:sz w:val="22"/>
              </w:rPr>
              <w:t>Middle Market Resilience</w:t>
            </w:r>
          </w:p>
        </w:tc>
        <w:tc>
          <w:tcPr>
            <w:tcW w:type="dxa" w:w="2160"/>
          </w:tcPr>
          <w:p>
            <w:r>
              <w:rPr>
                <w:rFonts w:ascii="Calibri" w:hAnsi="Calibri"/>
                <w:sz w:val="22"/>
              </w:rPr>
              <w:t>AJG: middle market “robust”; BRO: stable, “fairly neutral” hiring/investment; pricing only ~1% of organic</w:t>
            </w:r>
          </w:p>
        </w:tc>
        <w:tc>
          <w:tcPr>
            <w:tcW w:type="dxa" w:w="2160"/>
          </w:tcPr>
          <w:p>
            <w:r>
              <w:rPr>
                <w:rFonts w:ascii="Calibri" w:hAnsi="Calibri"/>
                <w:sz w:val="22"/>
              </w:rPr>
              <w:t>Supports AON’s NFP middle market strategy; volume/new business driving growth, not rate</w:t>
            </w:r>
          </w:p>
        </w:tc>
        <w:tc>
          <w:tcPr>
            <w:tcW w:type="dxa" w:w="2160"/>
          </w:tcPr>
          <w:p>
            <w:r>
              <w:rPr>
                <w:rFonts w:ascii="Calibri" w:hAnsi="Calibri"/>
                <w:b/>
                <w:color w:val="30A46C"/>
                <w:sz w:val="22"/>
              </w:rPr>
              <w:t>Positive</w:t>
            </w:r>
          </w:p>
        </w:tc>
      </w:tr>
      <w:tr>
        <w:tc>
          <w:tcPr>
            <w:tcW w:type="dxa" w:w="2160"/>
          </w:tcPr>
          <w:p>
            <w:r>
              <w:rPr>
                <w:rFonts w:ascii="Calibri" w:hAnsi="Calibri"/>
                <w:sz w:val="22"/>
              </w:rPr>
              <w:t>Health Cost Trends</w:t>
            </w:r>
          </w:p>
        </w:tc>
        <w:tc>
          <w:tcPr>
            <w:tcW w:type="dxa" w:w="2160"/>
          </w:tcPr>
          <w:p>
            <w:r>
              <w:rPr>
                <w:rFonts w:ascii="Calibri" w:hAnsi="Calibri"/>
                <w:sz w:val="22"/>
              </w:rPr>
              <w:t>AJG: fully insured renewals +high single to 10%; stop loss +mid-teens to 20%+; BRO: medical +8–10%, pharmacy +10%+</w:t>
            </w:r>
          </w:p>
        </w:tc>
        <w:tc>
          <w:tcPr>
            <w:tcW w:type="dxa" w:w="2160"/>
          </w:tcPr>
          <w:p>
            <w:r>
              <w:rPr>
                <w:rFonts w:ascii="Calibri" w:hAnsi="Calibri"/>
                <w:sz w:val="22"/>
              </w:rPr>
              <w:t>Elevated health costs drive demand for AON’s advisory capabilities; supports health solutions organic growth</w:t>
            </w:r>
          </w:p>
        </w:tc>
        <w:tc>
          <w:tcPr>
            <w:tcW w:type="dxa" w:w="2160"/>
          </w:tcPr>
          <w:p>
            <w:r>
              <w:rPr>
                <w:rFonts w:ascii="Calibri" w:hAnsi="Calibri"/>
                <w:b/>
                <w:color w:val="30A46C"/>
                <w:sz w:val="22"/>
              </w:rPr>
              <w:t>Positive</w:t>
            </w:r>
          </w:p>
        </w:tc>
      </w:tr>
      <w:tr>
        <w:tc>
          <w:tcPr>
            <w:tcW w:type="dxa" w:w="2160"/>
          </w:tcPr>
          <w:p>
            <w:r>
              <w:rPr>
                <w:rFonts w:ascii="Calibri" w:hAnsi="Calibri"/>
                <w:sz w:val="22"/>
              </w:rPr>
              <w:t>Casualty Pricing</w:t>
            </w:r>
          </w:p>
        </w:tc>
        <w:tc>
          <w:tcPr>
            <w:tcW w:type="dxa" w:w="2160"/>
          </w:tcPr>
          <w:p>
            <w:r>
              <w:rPr>
                <w:rFonts w:ascii="Calibri" w:hAnsi="Calibri"/>
                <w:sz w:val="22"/>
              </w:rPr>
              <w:t>MMC: U.S. excess casualty +15%; AJG: casualty +5% (umbrella +8%); BRO: primary casualty/professional +5%</w:t>
            </w:r>
          </w:p>
        </w:tc>
        <w:tc>
          <w:tcPr>
            <w:tcW w:type="dxa" w:w="2160"/>
          </w:tcPr>
          <w:p>
            <w:r>
              <w:rPr>
                <w:rFonts w:ascii="Calibri" w:hAnsi="Calibri"/>
                <w:sz w:val="22"/>
              </w:rPr>
              <w:t>Firm casualty pricing is a tailwind for AON’s casualty book; partially offsets property rate declines</w:t>
            </w:r>
          </w:p>
        </w:tc>
        <w:tc>
          <w:tcPr>
            <w:tcW w:type="dxa" w:w="2160"/>
          </w:tcPr>
          <w:p>
            <w:r>
              <w:rPr>
                <w:rFonts w:ascii="Calibri" w:hAnsi="Calibri"/>
                <w:b/>
                <w:color w:val="30A46C"/>
                <w:sz w:val="22"/>
              </w:rPr>
              <w:t>Positive</w:t>
            </w:r>
          </w:p>
        </w:tc>
      </w:tr>
      <w:tr>
        <w:tc>
          <w:tcPr>
            <w:tcW w:type="dxa" w:w="2160"/>
          </w:tcPr>
          <w:p>
            <w:r>
              <w:rPr>
                <w:rFonts w:ascii="Calibri" w:hAnsi="Calibri"/>
                <w:sz w:val="22"/>
              </w:rPr>
              <w:t>AI / Technology Differentiation</w:t>
            </w:r>
          </w:p>
        </w:tc>
        <w:tc>
          <w:tcPr>
            <w:tcW w:type="dxa" w:w="2160"/>
          </w:tcPr>
          <w:p>
            <w:r>
              <w:rPr>
                <w:rFonts w:ascii="Calibri" w:hAnsi="Calibri"/>
                <w:sz w:val="22"/>
              </w:rPr>
              <w:t>MMC: Coverage Intelligence platform for middle market; BRO: AI expected to drive incremental organic growth and margins</w:t>
            </w:r>
          </w:p>
        </w:tc>
        <w:tc>
          <w:tcPr>
            <w:tcW w:type="dxa" w:w="2160"/>
          </w:tcPr>
          <w:p>
            <w:r>
              <w:rPr>
                <w:rFonts w:ascii="Calibri" w:hAnsi="Calibri"/>
                <w:sz w:val="22"/>
              </w:rPr>
              <w:t>AON’s ABS/AI deployment is more advanced (specific productivity metrics cited); validates the investment thesis</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June 9 Morgan Stanley conference, where CFO Reese confirmed leverage is below target (2.6x vs. 2.9x objective) and reiterated the data center pipeline is expanding — </w:t>
      </w:r>
      <w:r>
        <w:rPr>
          <w:rFonts w:ascii="Calibri" w:hAnsi="Calibri"/>
          <w:b/>
          <w:color w:val="525866"/>
          <w:sz w:val="22"/>
        </w:rPr>
        <w:t>signaling continued aggressive buybacks and a growing data center revenue contribution in Q2.</w:t>
      </w:r>
    </w:p>
    <w:p>
      <w:pPr>
        <w:pStyle w:val="ListBullet"/>
        <w:ind w:left="360" w:hanging="360"/>
      </w:pPr>
      <w:r>
        <w:rPr>
          <w:rFonts w:ascii="Calibri" w:hAnsi="Calibri"/>
          <w:b/>
          <w:color w:val="525866"/>
          <w:sz w:val="22"/>
        </w:rPr>
        <w:t xml:space="preserve">June 9, 2026 — Morgan Stanley U.S. Financials Conference (CFO Reese): </w:t>
      </w:r>
      <w:r>
        <w:rPr>
          <w:rFonts w:ascii="Calibri" w:hAnsi="Calibri"/>
          <w:color w:val="525866"/>
          <w:sz w:val="22"/>
        </w:rPr>
        <w:t xml:space="preserve">CFO Edmund Reese confirmed leverage is now 2.6x, below the 2.9x stated objective, and that the balance sheet is “stronger than ever.” Reiterated that the market “does not currently recognize the intrinsic value of the firm,” signaling continued aggressive buybacks. Data center facility expanded to $3.5B (from $1B less than a year ago) with further expansion expected. M&amp;A pipeline described as “still strong” but private market valuations “don’t fully reflect the current market,” suggesting continued preference for buybacks over large M&amp;A. Commercial risk organic outperforming industry by 440 bps. </w:t>
      </w:r>
      <w:r>
        <w:rPr>
          <w:rFonts w:ascii="Calibri" w:hAnsi="Calibri"/>
          <w:i/>
          <w:color w:val="525866"/>
          <w:sz w:val="22"/>
        </w:rPr>
        <w:t>Implication: Bullish on capital return; validates Q2 buyback continuation.</w:t>
      </w:r>
    </w:p>
    <w:p>
      <w:pPr>
        <w:pStyle w:val="ListBullet"/>
        <w:ind w:left="360" w:hanging="360"/>
      </w:pPr>
      <w:r>
        <w:rPr>
          <w:rFonts w:ascii="Calibri" w:hAnsi="Calibri"/>
          <w:b/>
          <w:color w:val="525866"/>
          <w:sz w:val="22"/>
        </w:rPr>
        <w:t xml:space="preserve">May 1, 2026 — Q1 2026 Earnings Beat &amp; Guidance Reaffirmation: </w:t>
      </w:r>
      <w:r>
        <w:rPr>
          <w:rFonts w:ascii="Calibri" w:hAnsi="Calibri"/>
          <w:color w:val="525866"/>
          <w:sz w:val="22"/>
        </w:rPr>
        <w:t xml:space="preserve">AON reported Q1 2026 EPS of $6.48 (vs. $6.36 consensus, +1.9% beat) and organic revenue growth of 5% (in line). Adjusted operating margin expanded 70 bps to 39.1%. Free cash flow surged. </w:t>
      </w:r>
      <w:r>
        <w:rPr>
          <w:rFonts w:ascii="Calibri" w:hAnsi="Calibri"/>
          <w:b/>
          <w:color w:val="525866"/>
          <w:sz w:val="22"/>
        </w:rPr>
        <w:t xml:space="preserve">Key highlights: </w:t>
      </w:r>
      <w:r>
        <w:rPr>
          <w:rFonts w:ascii="Calibri" w:hAnsi="Calibri"/>
          <w:color w:val="525866"/>
          <w:sz w:val="22"/>
        </w:rPr>
        <w:t xml:space="preserve">(1) $500M in share repurchases in Q1 alone (2x prior 8-quarter average); (2) data center revenue pipeline tracking 3x higher than last year; (3) DCLP capacity increased to $3.5B; (4) NFP savings target raised to $450M (from $350M); (5) quarterly dividend raised 10% to $0.82/share (6th consecutive year of double-digit increases). Full-year guidance reaffirmed across all metrics. </w:t>
      </w:r>
      <w:r>
        <w:rPr>
          <w:rFonts w:ascii="Calibri" w:hAnsi="Calibri"/>
          <w:i/>
          <w:color w:val="525866"/>
          <w:sz w:val="22"/>
        </w:rPr>
        <w:t>Implication: Strong execution baseline heading into Q2.</w:t>
      </w:r>
    </w:p>
    <w:p>
      <w:pPr>
        <w:pStyle w:val="ListBullet"/>
        <w:ind w:left="360" w:hanging="360"/>
      </w:pPr>
      <w:r>
        <w:rPr>
          <w:rFonts w:ascii="Calibri" w:hAnsi="Calibri"/>
          <w:b/>
          <w:color w:val="525866"/>
          <w:sz w:val="22"/>
        </w:rPr>
        <w:t xml:space="preserve">May 1, 2026 — Quarterly Dividend Raised 10% to $0.82/Share: </w:t>
      </w:r>
      <w:r>
        <w:rPr>
          <w:rFonts w:ascii="Calibri" w:hAnsi="Calibri"/>
          <w:color w:val="525866"/>
          <w:sz w:val="22"/>
        </w:rPr>
        <w:t xml:space="preserve">Announced on Q1 earnings call. Marks the sixth consecutive year of double-digit dividend increases. </w:t>
      </w:r>
      <w:r>
        <w:rPr>
          <w:rFonts w:ascii="Calibri" w:hAnsi="Calibri"/>
          <w:i/>
          <w:color w:val="525866"/>
          <w:sz w:val="22"/>
        </w:rPr>
        <w:t>Implication: Signals management confidence in cash generation durability.</w:t>
      </w:r>
    </w:p>
    <w:p>
      <w:pPr>
        <w:pStyle w:val="ListBullet"/>
        <w:ind w:left="360" w:hanging="360"/>
      </w:pPr>
      <w:r>
        <w:rPr>
          <w:rFonts w:ascii="Calibri" w:hAnsi="Calibri"/>
          <w:b/>
          <w:color w:val="525866"/>
          <w:sz w:val="22"/>
        </w:rPr>
        <w:t xml:space="preserve">Q2 2026 — Reinsurance April 1 Renewals (Rate Pressure): </w:t>
      </w:r>
      <w:r>
        <w:rPr>
          <w:rFonts w:ascii="Calibri" w:hAnsi="Calibri"/>
          <w:color w:val="525866"/>
          <w:sz w:val="22"/>
        </w:rPr>
        <w:t xml:space="preserve">Management guided on the Q1 call to April 1 renewal rates down 15–20% in the U.S. and Japan, partially offset by ~10% higher demand. MMC’s Guy Carpenter subsequently confirmed property cat rate online index down 16% at midyear — the steepest decline in 25 years. </w:t>
      </w:r>
      <w:r>
        <w:rPr>
          <w:rFonts w:ascii="Calibri" w:hAnsi="Calibri"/>
          <w:i/>
          <w:color w:val="525866"/>
          <w:sz w:val="22"/>
        </w:rPr>
        <w:t>Implication: Reinsurance organic growth headwind is real and well-flagged; consensus already reflects this (~3.7% Q2 organic vs. 6% in Q2 2025).</w:t>
      </w:r>
    </w:p>
    <w:p>
      <w:pPr>
        <w:pStyle w:val="ListBullet"/>
        <w:ind w:left="360" w:hanging="360"/>
      </w:pPr>
      <w:r>
        <w:rPr>
          <w:rFonts w:ascii="Calibri" w:hAnsi="Calibri"/>
          <w:b/>
          <w:color w:val="525866"/>
          <w:sz w:val="22"/>
        </w:rPr>
        <w:t xml:space="preserve">Q2 2026 — Data Center Pipeline Expansion: </w:t>
      </w:r>
      <w:r>
        <w:rPr>
          <w:rFonts w:ascii="Calibri" w:hAnsi="Calibri"/>
          <w:color w:val="525866"/>
          <w:sz w:val="22"/>
        </w:rPr>
        <w:t xml:space="preserve">AON’s data center life cycle insurance program (DCLP) capacity increased to $3.5B (from $2.5B at Q4 2025 earnings, and from $1B less than a year ago). Revenue pipeline tracking 3x higher than last year. Construction (which includes data center) grew at a double-digit rate in Q1. </w:t>
      </w:r>
      <w:r>
        <w:rPr>
          <w:rFonts w:ascii="Calibri" w:hAnsi="Calibri"/>
          <w:i/>
          <w:color w:val="525866"/>
          <w:sz w:val="22"/>
        </w:rPr>
        <w:t>Implication: Data center is becoming a material revenue contributor; Q2 should show continued double-digit construction growth.</w:t>
      </w:r>
    </w:p>
    <w:p>
      <w:pPr>
        <w:pStyle w:val="ListBullet"/>
        <w:ind w:left="360" w:hanging="360"/>
      </w:pPr>
      <w:r>
        <w:rPr>
          <w:rFonts w:ascii="Calibri" w:hAnsi="Calibri"/>
          <w:b/>
          <w:color w:val="525866"/>
          <w:sz w:val="22"/>
        </w:rPr>
        <w:t xml:space="preserve">Q2 2026 — NFP Middle Market M&amp;A Continues: </w:t>
      </w:r>
      <w:r>
        <w:rPr>
          <w:rFonts w:ascii="Calibri" w:hAnsi="Calibri"/>
          <w:color w:val="525866"/>
          <w:sz w:val="22"/>
        </w:rPr>
        <w:t xml:space="preserve">AON deployed $349M toward tuck-in acquisitions in Q1 2026, primarily through the NFP platform. CFO Reese confirmed at the June 9 conference that the middle market M&amp;A pipeline remains active, with focus on commercial risk in the U.S., international markets (France, Germany, Japan, Latin America), and MGA/MGU opportunities. </w:t>
      </w:r>
      <w:r>
        <w:rPr>
          <w:rFonts w:ascii="Calibri" w:hAnsi="Calibri"/>
          <w:i/>
          <w:color w:val="525866"/>
          <w:sz w:val="22"/>
        </w:rPr>
        <w:t>Implication: Inorganic contribution to middle market growth continues in Q2.</w:t>
      </w:r>
    </w:p>
    <w:p>
      <w:pPr>
        <w:pStyle w:val="ListBullet"/>
        <w:ind w:left="360" w:hanging="360"/>
      </w:pPr>
      <w:r>
        <w:rPr>
          <w:rFonts w:ascii="Calibri" w:hAnsi="Calibri"/>
          <w:b/>
          <w:color w:val="525866"/>
          <w:sz w:val="22"/>
        </w:rPr>
        <w:t xml:space="preserve">July 21, 2026 — MMC Q2 2026 Earnings Beat (Positive Sector Read-Through): </w:t>
      </w:r>
      <w:r>
        <w:rPr>
          <w:rFonts w:ascii="Calibri" w:hAnsi="Calibri"/>
          <w:color w:val="525866"/>
          <w:sz w:val="22"/>
        </w:rPr>
        <w:t xml:space="preserve">MMC reported Q2 2026 underlying revenue growth of 5% (accelerating from 4% in Q1), with Marsh Risk up 4% and consulting up 8%. MMC raised 2026 capital deployment target to $5.5B and announced a 10% dividend increase. </w:t>
      </w:r>
      <w:r>
        <w:rPr>
          <w:rFonts w:ascii="Calibri" w:hAnsi="Calibri"/>
          <w:i/>
          <w:color w:val="525866"/>
          <w:sz w:val="22"/>
        </w:rPr>
        <w:t>Implication: Confirms the insurance broker demand environment is healthy heading into AON’s Q2 print; likely contributed to AON’s stock rally in late July.</w:t>
      </w:r>
    </w:p>
    <w:p>
      <w:pPr>
        <w:pStyle w:val="ListBullet"/>
        <w:ind w:left="360" w:hanging="360"/>
      </w:pPr>
      <w:r>
        <w:rPr>
          <w:rFonts w:ascii="Calibri" w:hAnsi="Calibri"/>
          <w:b/>
          <w:color w:val="525866"/>
          <w:sz w:val="22"/>
        </w:rPr>
        <w:t xml:space="preserve">July 28, 2026 — BRO Q2 2026 Earnings (Neutral Read-Through): </w:t>
      </w:r>
      <w:r>
        <w:rPr>
          <w:rFonts w:ascii="Calibri" w:hAnsi="Calibri"/>
          <w:color w:val="525866"/>
          <w:sz w:val="22"/>
        </w:rPr>
        <w:t xml:space="preserve">BRO reported retail organic growth of 2.5% (including contingents), slightly above expectations. Specialty distribution organic was -1.6% due to timing issues. Commercial risk pricing broadly consistent with Q1. </w:t>
      </w:r>
      <w:r>
        <w:rPr>
          <w:rFonts w:ascii="Calibri" w:hAnsi="Calibri"/>
          <w:i/>
          <w:color w:val="525866"/>
          <w:sz w:val="22"/>
        </w:rPr>
        <w:t>Implication: BRO’s lower organic growth reflects its smaller-account book; limited direct read-through for AON’s large/complex client focus.</w:t>
      </w:r>
    </w:p>
    <w:p>
      <w:pPr>
        <w:pStyle w:val="ListBullet"/>
        <w:ind w:left="360" w:hanging="360"/>
      </w:pPr>
      <w:r>
        <w:rPr>
          <w:rFonts w:ascii="Calibri" w:hAnsi="Calibri"/>
          <w:b/>
          <w:color w:val="525866"/>
          <w:sz w:val="22"/>
        </w:rPr>
        <w:t xml:space="preserve">Ongoing — AI / ABS Platform Productivity Gains: </w:t>
      </w:r>
      <w:r>
        <w:rPr>
          <w:rFonts w:ascii="Calibri" w:hAnsi="Calibri"/>
          <w:color w:val="525866"/>
          <w:sz w:val="22"/>
        </w:rPr>
        <w:t xml:space="preserve">AON continues to cite specific, measurable AI productivity metrics: 50% reduction in invoicing cycle time (22 to 11 days), 95% reduction in certificate of insurance handle time (hours to &lt;5 minutes), 95% reduction in policy check time (48 hours to 30 minutes). Broker Copilot and Claims Copilot are being scaled across the platform. </w:t>
      </w:r>
      <w:r>
        <w:rPr>
          <w:rFonts w:ascii="Calibri" w:hAnsi="Calibri"/>
          <w:i/>
          <w:color w:val="525866"/>
          <w:sz w:val="22"/>
        </w:rPr>
        <w:t>Implication: ABS operating leverage is real and should continue to support 70–80 bps margin expansion in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executives since the Q1 earnings date — the only transactions are routine: annual director equity grants (June 25) with associated tax-withholding dispositions, a CFO RSU vesting (July 1), and a General Counsel 10b5-1 planned sale (July 7). </w:t>
      </w:r>
      <w:r>
        <w:rPr>
          <w:rFonts w:ascii="Calibri" w:hAnsi="Calibri"/>
          <w:b/>
          <w:color w:val="525866"/>
          <w:sz w:val="22"/>
        </w:rPr>
        <w:t>Nothing signals unusual insider conviction in either direction.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Zeidel, Darren</w:t>
            </w:r>
          </w:p>
        </w:tc>
        <w:tc>
          <w:tcPr>
            <w:tcW w:type="dxa" w:w="1440"/>
          </w:tcPr>
          <w:p>
            <w:r>
              <w:rPr>
                <w:rFonts w:ascii="Calibri" w:hAnsi="Calibri"/>
                <w:sz w:val="22"/>
              </w:rPr>
              <w:t>General Counsel</w:t>
            </w:r>
          </w:p>
        </w:tc>
        <w:tc>
          <w:tcPr>
            <w:tcW w:type="dxa" w:w="1440"/>
          </w:tcPr>
          <w:p>
            <w:r>
              <w:rPr>
                <w:rFonts w:ascii="Calibri" w:hAnsi="Calibri"/>
                <w:sz w:val="22"/>
              </w:rPr>
              <w:t>10b5-1 Planned Sale</w:t>
            </w:r>
          </w:p>
        </w:tc>
        <w:tc>
          <w:tcPr>
            <w:tcW w:type="dxa" w:w="1440"/>
          </w:tcPr>
          <w:p>
            <w:r>
              <w:rPr>
                <w:rFonts w:ascii="Calibri" w:hAnsi="Calibri"/>
                <w:sz w:val="22"/>
              </w:rPr>
              <w:t>600 shares</w:t>
            </w:r>
          </w:p>
        </w:tc>
        <w:tc>
          <w:tcPr>
            <w:tcW w:type="dxa" w:w="1440"/>
          </w:tcPr>
          <w:p>
            <w:r>
              <w:rPr>
                <w:rFonts w:ascii="Calibri" w:hAnsi="Calibri"/>
                <w:sz w:val="22"/>
              </w:rPr>
              <w:t>Jul 7, 2026</w:t>
            </w:r>
          </w:p>
        </w:tc>
        <w:tc>
          <w:tcPr>
            <w:tcW w:type="dxa" w:w="1440"/>
          </w:tcPr>
          <w:p>
            <w:r>
              <w:rPr>
                <w:rFonts w:ascii="Calibri" w:hAnsi="Calibri"/>
                <w:sz w:val="22"/>
              </w:rPr>
              <w:t>Pre-scheduled 10b5-1 plan sale; not discretionary. Retains 15,354 shares.</w:t>
            </w:r>
          </w:p>
        </w:tc>
      </w:tr>
      <w:tr>
        <w:tc>
          <w:tcPr>
            <w:tcW w:type="dxa" w:w="1440"/>
          </w:tcPr>
          <w:p>
            <w:r>
              <w:rPr>
                <w:rFonts w:ascii="Calibri" w:hAnsi="Calibri"/>
                <w:sz w:val="22"/>
              </w:rPr>
              <w:t>Reese, Edmund</w:t>
            </w:r>
          </w:p>
        </w:tc>
        <w:tc>
          <w:tcPr>
            <w:tcW w:type="dxa" w:w="1440"/>
          </w:tcPr>
          <w:p>
            <w:r>
              <w:rPr>
                <w:rFonts w:ascii="Calibri" w:hAnsi="Calibri"/>
                <w:sz w:val="22"/>
              </w:rPr>
              <w:t>Chief Financial Officer</w:t>
            </w:r>
          </w:p>
        </w:tc>
        <w:tc>
          <w:tcPr>
            <w:tcW w:type="dxa" w:w="1440"/>
          </w:tcPr>
          <w:p>
            <w:r>
              <w:rPr>
                <w:rFonts w:ascii="Calibri" w:hAnsi="Calibri"/>
                <w:sz w:val="22"/>
              </w:rPr>
              <w:t>RSU Vesting / Tax Withholding</w:t>
            </w:r>
          </w:p>
        </w:tc>
        <w:tc>
          <w:tcPr>
            <w:tcW w:type="dxa" w:w="1440"/>
          </w:tcPr>
          <w:p>
            <w:r>
              <w:rPr>
                <w:rFonts w:ascii="Calibri" w:hAnsi="Calibri"/>
                <w:sz w:val="22"/>
              </w:rPr>
              <w:t>3,975 RSUs vested; 2,198 shares withheld for taxes</w:t>
            </w:r>
          </w:p>
        </w:tc>
        <w:tc>
          <w:tcPr>
            <w:tcW w:type="dxa" w:w="1440"/>
          </w:tcPr>
          <w:p>
            <w:r>
              <w:rPr>
                <w:rFonts w:ascii="Calibri" w:hAnsi="Calibri"/>
                <w:sz w:val="22"/>
              </w:rPr>
              <w:t>Jul 1, 2026</w:t>
            </w:r>
          </w:p>
        </w:tc>
        <w:tc>
          <w:tcPr>
            <w:tcW w:type="dxa" w:w="1440"/>
          </w:tcPr>
          <w:p>
            <w:r>
              <w:rPr>
                <w:rFonts w:ascii="Calibri" w:hAnsi="Calibri"/>
                <w:sz w:val="22"/>
              </w:rPr>
              <w:t>Routine RSU vesting with mandatory tax withholding (code F). Not a discretionary sale. Net 1,777 shares acquired.</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Annual Equity Grant / Tax Withholding</w:t>
            </w:r>
          </w:p>
        </w:tc>
        <w:tc>
          <w:tcPr>
            <w:tcW w:type="dxa" w:w="1440"/>
          </w:tcPr>
          <w:p>
            <w:r>
              <w:rPr>
                <w:rFonts w:ascii="Calibri" w:hAnsi="Calibri"/>
                <w:sz w:val="22"/>
              </w:rPr>
              <w:t>776 shares granted each; 186–396 shares withheld for taxes (varies by director)</w:t>
            </w:r>
          </w:p>
        </w:tc>
        <w:tc>
          <w:tcPr>
            <w:tcW w:type="dxa" w:w="1440"/>
          </w:tcPr>
          <w:p>
            <w:r>
              <w:rPr>
                <w:rFonts w:ascii="Calibri" w:hAnsi="Calibri"/>
                <w:sz w:val="22"/>
              </w:rPr>
              <w:t>Jun 25, 2026</w:t>
            </w:r>
          </w:p>
        </w:tc>
        <w:tc>
          <w:tcPr>
            <w:tcW w:type="dxa" w:w="1440"/>
          </w:tcPr>
          <w:p>
            <w:r>
              <w:rPr>
                <w:rFonts w:ascii="Calibri" w:hAnsi="Calibri"/>
                <w:sz w:val="22"/>
              </w:rPr>
              <w:t>Routine annual director equity compensation grants with associated tax-withholding dispositions. Not discretionary sales. Directors: Alvarez, Cai, Campbell, Francis, Jenkins, Karaboutis, Notebaert, Santona, Smith, Spruell, Stavridis.</w:t>
            </w:r>
          </w:p>
        </w:tc>
      </w:tr>
      <w:tr>
        <w:tc>
          <w:tcPr>
            <w:tcW w:type="dxa" w:w="1440"/>
          </w:tcPr>
          <w:p>
            <w:r>
              <w:rPr>
                <w:rFonts w:ascii="Calibri" w:hAnsi="Calibri"/>
                <w:sz w:val="22"/>
              </w:rPr>
              <w:t>Knight, Lester B.</w:t>
            </w:r>
          </w:p>
        </w:tc>
        <w:tc>
          <w:tcPr>
            <w:tcW w:type="dxa" w:w="1440"/>
          </w:tcPr>
          <w:p>
            <w:r>
              <w:rPr>
                <w:rFonts w:ascii="Calibri" w:hAnsi="Calibri"/>
                <w:sz w:val="22"/>
              </w:rPr>
              <w:t>Director</w:t>
            </w:r>
          </w:p>
        </w:tc>
        <w:tc>
          <w:tcPr>
            <w:tcW w:type="dxa" w:w="1440"/>
          </w:tcPr>
          <w:p>
            <w:r>
              <w:rPr>
                <w:rFonts w:ascii="Calibri" w:hAnsi="Calibri"/>
                <w:sz w:val="22"/>
              </w:rPr>
              <w:t>Annual Equity Grant (No Withholding)</w:t>
            </w:r>
          </w:p>
        </w:tc>
        <w:tc>
          <w:tcPr>
            <w:tcW w:type="dxa" w:w="1440"/>
          </w:tcPr>
          <w:p>
            <w:r>
              <w:rPr>
                <w:rFonts w:ascii="Calibri" w:hAnsi="Calibri"/>
                <w:sz w:val="22"/>
              </w:rPr>
              <w:t>1,488 shares granted</w:t>
            </w:r>
          </w:p>
        </w:tc>
        <w:tc>
          <w:tcPr>
            <w:tcW w:type="dxa" w:w="1440"/>
          </w:tcPr>
          <w:p>
            <w:r>
              <w:rPr>
                <w:rFonts w:ascii="Calibri" w:hAnsi="Calibri"/>
                <w:sz w:val="22"/>
              </w:rPr>
              <w:t>Jun 25, 2026</w:t>
            </w:r>
          </w:p>
        </w:tc>
        <w:tc>
          <w:tcPr>
            <w:tcW w:type="dxa" w:w="1440"/>
          </w:tcPr>
          <w:p>
            <w:r>
              <w:rPr>
                <w:rFonts w:ascii="Calibri" w:hAnsi="Calibri"/>
                <w:sz w:val="22"/>
              </w:rPr>
              <w:t>Larger grant (1,488 vs. 776 for other directors); no tax withholding disposition filed. Routine director compensation.</w:t>
            </w:r>
          </w:p>
        </w:tc>
      </w:tr>
      <w:tr>
        <w:tc>
          <w:tcPr>
            <w:tcW w:type="dxa" w:w="1440"/>
          </w:tcPr>
          <w:p>
            <w:r>
              <w:rPr>
                <w:rFonts w:ascii="Calibri" w:hAnsi="Calibri"/>
                <w:sz w:val="22"/>
              </w:rPr>
              <w:t>Notebaert, Richard C.</w:t>
            </w:r>
          </w:p>
        </w:tc>
        <w:tc>
          <w:tcPr>
            <w:tcW w:type="dxa" w:w="1440"/>
          </w:tcPr>
          <w:p>
            <w:r>
              <w:rPr>
                <w:rFonts w:ascii="Calibri" w:hAnsi="Calibri"/>
                <w:sz w:val="22"/>
              </w:rPr>
              <w:t>Director</w:t>
            </w:r>
          </w:p>
        </w:tc>
        <w:tc>
          <w:tcPr>
            <w:tcW w:type="dxa" w:w="1440"/>
          </w:tcPr>
          <w:p>
            <w:r>
              <w:rPr>
                <w:rFonts w:ascii="Calibri" w:hAnsi="Calibri"/>
                <w:sz w:val="22"/>
              </w:rPr>
              <w:t>Gift / Transfer (Code G)</w:t>
            </w:r>
          </w:p>
        </w:tc>
        <w:tc>
          <w:tcPr>
            <w:tcW w:type="dxa" w:w="1440"/>
          </w:tcPr>
          <w:p>
            <w:r>
              <w:rPr>
                <w:rFonts w:ascii="Calibri" w:hAnsi="Calibri"/>
                <w:sz w:val="22"/>
              </w:rPr>
              <w:t>1,438 shares</w:t>
            </w:r>
          </w:p>
        </w:tc>
        <w:tc>
          <w:tcPr>
            <w:tcW w:type="dxa" w:w="1440"/>
          </w:tcPr>
          <w:p>
            <w:r>
              <w:rPr>
                <w:rFonts w:ascii="Calibri" w:hAnsi="Calibri"/>
                <w:sz w:val="22"/>
              </w:rPr>
              <w:t>May 12, 2026</w:t>
            </w:r>
          </w:p>
        </w:tc>
        <w:tc>
          <w:tcPr>
            <w:tcW w:type="dxa" w:w="1440"/>
          </w:tcPr>
          <w:p>
            <w:r>
              <w:rPr>
                <w:rFonts w:ascii="Calibri" w:hAnsi="Calibri"/>
                <w:sz w:val="22"/>
              </w:rPr>
              <w:t>Gift/transfer of shares (code G); not a market sale. Retains 27,738 shares.</w:t>
            </w:r>
          </w:p>
        </w:tc>
      </w:tr>
    </w:tbl>
    <w:p>
      <w:r>
        <w:rPr>
          <w:rFonts w:ascii="Calibri" w:hAnsi="Calibri"/>
          <w:b/>
          <w:color w:val="525866"/>
          <w:sz w:val="22"/>
        </w:rPr>
        <w:t xml:space="preserve">Summary: </w:t>
      </w:r>
      <w:r>
        <w:rPr>
          <w:rFonts w:ascii="Calibri" w:hAnsi="Calibri"/>
          <w:color w:val="525866"/>
          <w:sz w:val="22"/>
        </w:rPr>
        <w:t xml:space="preserve">There are no open-market buys (code P) or discretionary open-market sells (code S without a 10b5-1 plan) from any executive or director since the Q1 2026 earnings date. The General Counsel’s 600-share sale on July 7 is under a pre-scheduled 10b5-1 plan and is not a signal of negative conviction. The CFO’s RSU vesting is routine. The cluster of director transactions on June 25 reflects the annual equity compensation cycle. </w:t>
      </w:r>
      <w:r>
        <w:rPr>
          <w:rFonts w:ascii="Calibri" w:hAnsi="Calibri"/>
          <w:b/>
          <w:color w:val="525866"/>
          <w:sz w:val="22"/>
        </w:rPr>
        <w:t>Insider activity is neutral — no unusual signals in either direction.</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