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Aon plc (AON)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Aon plc</w:t>
            </w:r>
          </w:p>
        </w:tc>
      </w:tr>
      <w:tr>
        <w:tc>
          <w:tcPr>
            <w:tcW w:type="dxa" w:w="4320"/>
          </w:tcPr>
          <w:p>
            <w:r>
              <w:rPr>
                <w:rFonts w:ascii="Calibri" w:hAnsi="Calibri"/>
                <w:b/>
                <w:sz w:val="22"/>
              </w:rPr>
              <w:t>Ticker</w:t>
            </w:r>
          </w:p>
        </w:tc>
        <w:tc>
          <w:tcPr>
            <w:tcW w:type="dxa" w:w="4320"/>
          </w:tcPr>
          <w:p>
            <w:r>
              <w:rPr>
                <w:rFonts w:ascii="Calibri" w:hAnsi="Calibri"/>
                <w:sz w:val="22"/>
              </w:rPr>
              <w:t>AON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8:30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May 1, 2026 (Q1 2026)</w:t>
            </w:r>
          </w:p>
        </w:tc>
      </w:tr>
      <w:tr>
        <w:tc>
          <w:tcPr>
            <w:tcW w:type="dxa" w:w="4320"/>
          </w:tcPr>
          <w:p>
            <w:r>
              <w:rPr>
                <w:rFonts w:ascii="Calibri" w:hAnsi="Calibri"/>
                <w:b/>
                <w:sz w:val="22"/>
              </w:rPr>
              <w:t>Sector ETF (Chart)</w:t>
            </w:r>
          </w:p>
        </w:tc>
        <w:tc>
          <w:tcPr>
            <w:tcW w:type="dxa" w:w="4320"/>
          </w:tcPr>
          <w:p>
            <w:r>
              <w:rPr>
                <w:rFonts w:ascii="Calibri" w:hAnsi="Calibri"/>
                <w:sz w:val="22"/>
              </w:rPr>
              <w:t>KIE (SPDR S&amp;P Insurance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at a manageable bar with organic growth expected at ~5% and adjusted EPS of ~$3.80 — but the single biggest swing factor is whether </w:t>
      </w:r>
      <w:r>
        <w:rPr>
          <w:rFonts w:ascii="Calibri" w:hAnsi="Calibri"/>
          <w:b/>
          <w:color w:val="525866"/>
          <w:sz w:val="22"/>
        </w:rPr>
        <w:t>Commercial Risk can sustain its 6%+ organic growth streak</w:t>
      </w:r>
      <w:r>
        <w:rPr>
          <w:rFonts w:ascii="Calibri" w:hAnsi="Calibri"/>
          <w:color w:val="525866"/>
          <w:sz w:val="22"/>
        </w:rPr>
        <w:t xml:space="preserve"> despite accelerating property rate headwinds flagged by every peer that has already reported.</w:t>
      </w:r>
    </w:p>
    <w:p>
      <w:r>
        <w:rPr>
          <w:rFonts w:ascii="Calibri" w:hAnsi="Calibri"/>
          <w:color w:val="525866"/>
          <w:sz w:val="22"/>
        </w:rPr>
        <w:t xml:space="preserve">Aon enters Q2 2026 with momentum from a strong Q1 beat (5% organic, 70 bps margin expansion, 14% EPS growth) and a reaffirmed full-year guidance framework of mid-single-digit-or-greater organic growth, 70–80 bps of margin expansion, and double-digit free cash flow growth. The bar for Q2 is not particularly elevated — consensus organic growth of ~5% is in line with the low end of guidance, and the adjusted EPS estimate of ~$3.80 represents a modest step-up from the prior-year $3.49 — but the quarter carries a specific headwind: management guided explicitly at Q1 earnings that April 1 reinsurance renewals would see rates down 15–20% in both the U.S. and Japan, partially offset by ~10% higher demand, creating a known drag on the Reinsurance segment. Peer commentary from Marsh McLennan (Q2 reported July 21) and Brown &amp; Brown (Q2 reported July 28) confirms that </w:t>
      </w:r>
      <w:r>
        <w:rPr>
          <w:rFonts w:ascii="Calibri" w:hAnsi="Calibri"/>
          <w:b/>
          <w:color w:val="525866"/>
          <w:sz w:val="22"/>
        </w:rPr>
        <w:t>property cat rates continued to decline 15–35%</w:t>
      </w:r>
      <w:r>
        <w:rPr>
          <w:rFonts w:ascii="Calibri" w:hAnsi="Calibri"/>
          <w:color w:val="525866"/>
          <w:sz w:val="22"/>
        </w:rPr>
        <w:t xml:space="preserve"> in Q2, while casualty remained firm and new business activity was broadly healthy — a mixed but navigable backdrop for Aon's diversified book. Estimate revisions have drifted modestly lower since Q1 earnings (Q2 EPS consensus slipped from ~$3.81 to ~$3.80), suggesting the Street has already absorbed the reinsurance headwind without panic. The stock has rallied ~22% since the Q1 print (from $311.51 to $367.17 as of July 27), driven almost entirely by </w:t>
      </w:r>
      <w:r>
        <w:rPr>
          <w:rFonts w:ascii="Calibri" w:hAnsi="Calibri"/>
          <w:b/>
          <w:color w:val="525866"/>
          <w:sz w:val="22"/>
        </w:rPr>
        <w:t>multiple re-rating rather than estimate upgrades</w:t>
      </w:r>
      <w:r>
        <w:rPr>
          <w:rFonts w:ascii="Calibri" w:hAnsi="Calibri"/>
          <w:color w:val="525866"/>
          <w:sz w:val="22"/>
        </w:rPr>
        <w:t xml:space="preserve">, which means the stock is pricing in execution rather than upside surprise. The wildcard is the </w:t>
      </w:r>
      <w:r>
        <w:rPr>
          <w:rFonts w:ascii="Calibri" w:hAnsi="Calibri"/>
          <w:b/>
          <w:color w:val="525866"/>
          <w:sz w:val="22"/>
        </w:rPr>
        <w:t>data center revenue pipeline</w:t>
      </w:r>
      <w:r>
        <w:rPr>
          <w:rFonts w:ascii="Calibri" w:hAnsi="Calibri"/>
          <w:color w:val="525866"/>
          <w:sz w:val="22"/>
        </w:rPr>
        <w:t>, which management described as tracking 3x higher than last year — any incremental color on conversion timing or capacity expansion beyond the current $3.5B DCLP facility could be the catalyst that moves the stock on print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low-to-mid bar heading into Q2 — organic growth at ~5% sits at the floor of guidance and EPS at ~$3.80 is a modest step-up from prior year. The bigger swing factor is </w:t>
      </w:r>
      <w:r>
        <w:rPr>
          <w:rFonts w:ascii="Calibri" w:hAnsi="Calibri"/>
          <w:b/>
          <w:color w:val="525866"/>
          <w:sz w:val="22"/>
        </w:rPr>
        <w:t>Commercial Risk organic growth</w:t>
      </w:r>
      <w:r>
        <w:rPr>
          <w:rFonts w:ascii="Calibri" w:hAnsi="Calibri"/>
          <w:color w:val="525866"/>
          <w:sz w:val="22"/>
        </w:rPr>
        <w:t>, where any print at or above 6% (the four-quarter streak) would be a positive signal, while a deceleration below 5% driven by reinsurance rate pressure would disappoint.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$5.034B</w:t>
            </w:r>
          </w:p>
        </w:tc>
        <w:tc>
          <w:tcPr>
            <w:tcW w:type="dxa" w:w="1234"/>
          </w:tcPr>
          <w:p>
            <w:r>
              <w:rPr>
                <w:rFonts w:ascii="Calibri" w:hAnsi="Calibri"/>
                <w:sz w:val="22"/>
              </w:rPr>
              <w:t>$4.155B</w:t>
            </w:r>
          </w:p>
        </w:tc>
        <w:tc>
          <w:tcPr>
            <w:tcW w:type="dxa" w:w="1234"/>
          </w:tcPr>
          <w:p>
            <w:r>
              <w:rPr>
                <w:rFonts w:ascii="Calibri" w:hAnsi="Calibri"/>
                <w:sz w:val="22"/>
              </w:rPr>
              <w:t>$4.274B</w:t>
            </w:r>
          </w:p>
        </w:tc>
        <w:tc>
          <w:tcPr>
            <w:tcW w:type="dxa" w:w="1234"/>
          </w:tcPr>
          <w:p>
            <w:r>
              <w:rPr>
                <w:rFonts w:ascii="Calibri" w:hAnsi="Calibri"/>
                <w:sz w:val="22"/>
              </w:rPr>
              <w:t>+2.9% YoY</w:t>
            </w:r>
          </w:p>
        </w:tc>
        <w:tc>
          <w:tcPr>
            <w:tcW w:type="dxa" w:w="1234"/>
          </w:tcPr>
          <w:p>
            <w:r>
              <w:rPr>
                <w:rFonts w:ascii="Calibri" w:hAnsi="Calibri"/>
                <w:sz w:val="22"/>
              </w:rPr>
              <w:t>Mid-single-digit or greater organic growth (no absolute revenue guide)</w:t>
            </w:r>
          </w:p>
        </w:tc>
        <w:tc>
          <w:tcPr>
            <w:tcW w:type="dxa" w:w="1234"/>
          </w:tcPr>
          <w:p>
            <w:r>
              <w:rPr>
                <w:rFonts w:ascii="Calibri" w:hAnsi="Calibri"/>
                <w:sz w:val="22"/>
              </w:rPr>
              <w:t>N/A (no absolute revenue guidance)</w:t>
            </w:r>
          </w:p>
        </w:tc>
      </w:tr>
      <w:tr>
        <w:tc>
          <w:tcPr>
            <w:tcW w:type="dxa" w:w="1234"/>
          </w:tcPr>
          <w:p>
            <w:r>
              <w:rPr>
                <w:rFonts w:ascii="Calibri" w:hAnsi="Calibri"/>
                <w:sz w:val="22"/>
              </w:rPr>
              <w:t>Organic Revenue Growth (%)</w:t>
            </w:r>
          </w:p>
        </w:tc>
        <w:tc>
          <w:tcPr>
            <w:tcW w:type="dxa" w:w="1234"/>
          </w:tcPr>
          <w:p>
            <w:r>
              <w:rPr>
                <w:rFonts w:ascii="Calibri" w:hAnsi="Calibri"/>
                <w:sz w:val="22"/>
              </w:rPr>
              <w:t>5.0%</w:t>
            </w:r>
          </w:p>
        </w:tc>
        <w:tc>
          <w:tcPr>
            <w:tcW w:type="dxa" w:w="1234"/>
          </w:tcPr>
          <w:p>
            <w:r>
              <w:rPr>
                <w:rFonts w:ascii="Calibri" w:hAnsi="Calibri"/>
                <w:sz w:val="22"/>
              </w:rPr>
              <w:t>6.0%</w:t>
            </w:r>
          </w:p>
        </w:tc>
        <w:tc>
          <w:tcPr>
            <w:tcW w:type="dxa" w:w="1234"/>
          </w:tcPr>
          <w:p>
            <w:r>
              <w:rPr>
                <w:rFonts w:ascii="Calibri" w:hAnsi="Calibri"/>
                <w:sz w:val="22"/>
              </w:rPr>
              <w:t>~5.0%</w:t>
            </w:r>
          </w:p>
        </w:tc>
        <w:tc>
          <w:tcPr>
            <w:tcW w:type="dxa" w:w="1234"/>
          </w:tcPr>
          <w:p>
            <w:r>
              <w:rPr>
                <w:rFonts w:ascii="Calibri" w:hAnsi="Calibri"/>
                <w:sz w:val="22"/>
              </w:rPr>
              <w:t>-100 bps YoY</w:t>
            </w:r>
          </w:p>
        </w:tc>
        <w:tc>
          <w:tcPr>
            <w:tcW w:type="dxa" w:w="1234"/>
          </w:tcPr>
          <w:p>
            <w:r>
              <w:rPr>
                <w:rFonts w:ascii="Calibri" w:hAnsi="Calibri"/>
                <w:sz w:val="22"/>
              </w:rPr>
              <w:t>Mid-single-digit or greater (i.e., ≥5%)</w:t>
            </w:r>
          </w:p>
        </w:tc>
        <w:tc>
          <w:tcPr>
            <w:tcW w:type="dxa" w:w="1234"/>
          </w:tcPr>
          <w:p>
            <w:r>
              <w:rPr>
                <w:rFonts w:ascii="Calibri" w:hAnsi="Calibri"/>
                <w:sz w:val="22"/>
              </w:rPr>
              <w:t>At floor of guidance range</w:t>
            </w:r>
          </w:p>
        </w:tc>
      </w:tr>
      <w:tr>
        <w:tc>
          <w:tcPr>
            <w:tcW w:type="dxa" w:w="1234"/>
          </w:tcPr>
          <w:p>
            <w:r>
              <w:rPr>
                <w:rFonts w:ascii="Calibri" w:hAnsi="Calibri"/>
                <w:sz w:val="22"/>
              </w:rPr>
              <w:t>Adj. EPS — Diluted Operating (Continuing Ops)</w:t>
            </w:r>
          </w:p>
        </w:tc>
        <w:tc>
          <w:tcPr>
            <w:tcW w:type="dxa" w:w="1234"/>
          </w:tcPr>
          <w:p>
            <w:r>
              <w:rPr>
                <w:rFonts w:ascii="Calibri" w:hAnsi="Calibri"/>
                <w:sz w:val="22"/>
              </w:rPr>
              <w:t>$6.48</w:t>
            </w:r>
          </w:p>
        </w:tc>
        <w:tc>
          <w:tcPr>
            <w:tcW w:type="dxa" w:w="1234"/>
          </w:tcPr>
          <w:p>
            <w:r>
              <w:rPr>
                <w:rFonts w:ascii="Calibri" w:hAnsi="Calibri"/>
                <w:sz w:val="22"/>
              </w:rPr>
              <w:t>$3.49</w:t>
            </w:r>
          </w:p>
        </w:tc>
        <w:tc>
          <w:tcPr>
            <w:tcW w:type="dxa" w:w="1234"/>
          </w:tcPr>
          <w:p>
            <w:r>
              <w:rPr>
                <w:rFonts w:ascii="Calibri" w:hAnsi="Calibri"/>
                <w:sz w:val="22"/>
              </w:rPr>
              <w:t>~$3.80</w:t>
            </w:r>
          </w:p>
        </w:tc>
        <w:tc>
          <w:tcPr>
            <w:tcW w:type="dxa" w:w="1234"/>
          </w:tcPr>
          <w:p>
            <w:r>
              <w:rPr>
                <w:rFonts w:ascii="Calibri" w:hAnsi="Calibri"/>
                <w:sz w:val="22"/>
              </w:rPr>
              <w:t>+8.9% YoY</w:t>
            </w:r>
          </w:p>
        </w:tc>
        <w:tc>
          <w:tcPr>
            <w:tcW w:type="dxa" w:w="1234"/>
          </w:tcPr>
          <w:p>
            <w:r>
              <w:rPr>
                <w:rFonts w:ascii="Calibri" w:hAnsi="Calibri"/>
                <w:sz w:val="22"/>
              </w:rPr>
              <w:t>Strong earnings growth; FY2026 consensus ~$19.10</w:t>
            </w:r>
          </w:p>
        </w:tc>
        <w:tc>
          <w:tcPr>
            <w:tcW w:type="dxa" w:w="1234"/>
          </w:tcPr>
          <w:p>
            <w:r>
              <w:rPr>
                <w:rFonts w:ascii="Calibri" w:hAnsi="Calibri"/>
                <w:sz w:val="22"/>
              </w:rPr>
              <w:t>FY consensus ~$19.10 vs. implied guidance of strong growth</w:t>
            </w:r>
          </w:p>
        </w:tc>
      </w:tr>
      <w:tr>
        <w:tc>
          <w:tcPr>
            <w:tcW w:type="dxa" w:w="1234"/>
          </w:tcPr>
          <w:p>
            <w:r>
              <w:rPr>
                <w:rFonts w:ascii="Calibri" w:hAnsi="Calibri"/>
                <w:sz w:val="22"/>
              </w:rPr>
              <w:t>Free Cash Flow ($B)</w:t>
            </w:r>
          </w:p>
        </w:tc>
        <w:tc>
          <w:tcPr>
            <w:tcW w:type="dxa" w:w="1234"/>
          </w:tcPr>
          <w:p>
            <w:r>
              <w:rPr>
                <w:rFonts w:ascii="Calibri" w:hAnsi="Calibri"/>
                <w:sz w:val="22"/>
              </w:rPr>
              <w:t>$0.363B</w:t>
            </w:r>
          </w:p>
        </w:tc>
        <w:tc>
          <w:tcPr>
            <w:tcW w:type="dxa" w:w="1234"/>
          </w:tcPr>
          <w:p>
            <w:r>
              <w:rPr>
                <w:rFonts w:ascii="Calibri" w:hAnsi="Calibri"/>
                <w:sz w:val="22"/>
              </w:rPr>
              <w:t>$0.732B</w:t>
            </w:r>
          </w:p>
        </w:tc>
        <w:tc>
          <w:tcPr>
            <w:tcW w:type="dxa" w:w="1234"/>
          </w:tcPr>
          <w:p>
            <w:r>
              <w:rPr>
                <w:rFonts w:ascii="Calibri" w:hAnsi="Calibri"/>
                <w:sz w:val="22"/>
              </w:rPr>
              <w:t>~$0.748B</w:t>
            </w:r>
          </w:p>
        </w:tc>
        <w:tc>
          <w:tcPr>
            <w:tcW w:type="dxa" w:w="1234"/>
          </w:tcPr>
          <w:p>
            <w:r>
              <w:rPr>
                <w:rFonts w:ascii="Calibri" w:hAnsi="Calibri"/>
                <w:sz w:val="22"/>
              </w:rPr>
              <w:t>+2.2% YoY</w:t>
            </w:r>
          </w:p>
        </w:tc>
        <w:tc>
          <w:tcPr>
            <w:tcW w:type="dxa" w:w="1234"/>
          </w:tcPr>
          <w:p>
            <w:r>
              <w:rPr>
                <w:rFonts w:ascii="Calibri" w:hAnsi="Calibri"/>
                <w:sz w:val="22"/>
              </w:rPr>
              <w:t>Double-digit FCF growth for FY2026; FY guide ~$4.3B (before $300M tax impact)</w:t>
            </w:r>
          </w:p>
        </w:tc>
        <w:tc>
          <w:tcPr>
            <w:tcW w:type="dxa" w:w="1234"/>
          </w:tcPr>
          <w:p>
            <w:r>
              <w:rPr>
                <w:rFonts w:ascii="Calibri" w:hAnsi="Calibri"/>
                <w:sz w:val="22"/>
              </w:rPr>
              <w:t>FY consensus $3.78B vs. guided ~$4.3B; Q2 consensus below prior year</w:t>
            </w:r>
          </w:p>
        </w:tc>
      </w:tr>
    </w:tbl>
    <w:p>
      <w:r>
        <w:rPr>
          <w:rFonts w:ascii="Calibri" w:hAnsi="Calibri"/>
          <w:i/>
          <w:color w:val="525866"/>
          <w:sz w:val="22"/>
        </w:rPr>
        <w:t>Sources: Visible Alpha Consensus and Actuals Data</w:t>
      </w:r>
      <w:r>
        <w:rPr>
          <w:rFonts w:ascii="Calibri" w:hAnsi="Calibri"/>
          <w:i/>
          <w:color w:val="525866"/>
          <w:sz w:val="22"/>
        </w:rPr>
        <w:t xml:space="preserve"> — Total Revenue: </w:t>
      </w:r>
      <w:r>
        <w:rPr>
          <w:rFonts w:ascii="Calibri" w:hAnsi="Calibri"/>
          <w:i/>
          <w:color w:val="525866"/>
          <w:sz w:val="22"/>
        </w:rPr>
        <w:t>VA IS/RV; Organic Revenue Growth: VA RV; Adj. EPS (Diluted Operating): VA IS; Free Cash Flow: VA CF. Q2 2026 consensus as of July 28,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6.0%</w:t>
            </w:r>
          </w:p>
        </w:tc>
        <w:tc>
          <w:tcPr>
            <w:tcW w:type="dxa" w:w="1728"/>
          </w:tcPr>
          <w:p>
            <w:r>
              <w:rPr>
                <w:rFonts w:ascii="Calibri" w:hAnsi="Calibri"/>
                <w:sz w:val="22"/>
              </w:rPr>
              <w:t>N/A — not in VA for that period</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7.0%</w:t>
            </w:r>
          </w:p>
        </w:tc>
        <w:tc>
          <w:tcPr>
            <w:tcW w:type="dxa" w:w="1728"/>
          </w:tcPr>
          <w:p>
            <w:r>
              <w:rPr>
                <w:rFonts w:ascii="Calibri" w:hAnsi="Calibri"/>
                <w:sz w:val="22"/>
              </w:rPr>
              <w:t>4.9%</w:t>
            </w:r>
          </w:p>
        </w:tc>
        <w:tc>
          <w:tcPr>
            <w:tcW w:type="dxa" w:w="1728"/>
          </w:tcPr>
          <w:p>
            <w:r>
              <w:rPr>
                <w:rFonts w:ascii="Calibri" w:hAnsi="Calibri"/>
                <w:sz w:val="22"/>
              </w:rPr>
              <w:t>+210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6.0%</w:t>
            </w:r>
          </w:p>
        </w:tc>
        <w:tc>
          <w:tcPr>
            <w:tcW w:type="dxa" w:w="1728"/>
          </w:tcPr>
          <w:p>
            <w:r>
              <w:rPr>
                <w:rFonts w:ascii="Calibri" w:hAnsi="Calibri"/>
                <w:sz w:val="22"/>
              </w:rPr>
              <w:t>5.4%</w:t>
            </w:r>
          </w:p>
        </w:tc>
        <w:tc>
          <w:tcPr>
            <w:tcW w:type="dxa" w:w="1728"/>
          </w:tcPr>
          <w:p>
            <w:r>
              <w:rPr>
                <w:rFonts w:ascii="Calibri" w:hAnsi="Calibri"/>
                <w:sz w:val="22"/>
              </w:rPr>
              <w:t>+60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5.0%</w:t>
            </w:r>
          </w:p>
        </w:tc>
        <w:tc>
          <w:tcPr>
            <w:tcW w:type="dxa" w:w="1728"/>
          </w:tcPr>
          <w:p>
            <w:r>
              <w:rPr>
                <w:rFonts w:ascii="Calibri" w:hAnsi="Calibri"/>
                <w:sz w:val="22"/>
              </w:rPr>
              <w:t>6.1%</w:t>
            </w:r>
          </w:p>
        </w:tc>
        <w:tc>
          <w:tcPr>
            <w:tcW w:type="dxa" w:w="1728"/>
          </w:tcPr>
          <w:p>
            <w:r>
              <w:rPr>
                <w:rFonts w:ascii="Calibri" w:hAnsi="Calibri"/>
                <w:sz w:val="22"/>
              </w:rPr>
              <w:t>-110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6.0%</w:t>
            </w:r>
          </w:p>
        </w:tc>
        <w:tc>
          <w:tcPr>
            <w:tcW w:type="dxa" w:w="1728"/>
          </w:tcPr>
          <w:p>
            <w:r>
              <w:rPr>
                <w:rFonts w:ascii="Calibri" w:hAnsi="Calibri"/>
                <w:sz w:val="22"/>
              </w:rPr>
              <w:t>4.8%</w:t>
            </w:r>
          </w:p>
        </w:tc>
        <w:tc>
          <w:tcPr>
            <w:tcW w:type="dxa" w:w="1728"/>
          </w:tcPr>
          <w:p>
            <w:r>
              <w:rPr>
                <w:rFonts w:ascii="Calibri" w:hAnsi="Calibri"/>
                <w:sz w:val="22"/>
              </w:rPr>
              <w:t>+120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7.0%</w:t>
            </w:r>
          </w:p>
        </w:tc>
        <w:tc>
          <w:tcPr>
            <w:tcW w:type="dxa" w:w="1728"/>
          </w:tcPr>
          <w:p>
            <w:r>
              <w:rPr>
                <w:rFonts w:ascii="Calibri" w:hAnsi="Calibri"/>
                <w:sz w:val="22"/>
              </w:rPr>
              <w:t>5.4%</w:t>
            </w:r>
          </w:p>
        </w:tc>
        <w:tc>
          <w:tcPr>
            <w:tcW w:type="dxa" w:w="1728"/>
          </w:tcPr>
          <w:p>
            <w:r>
              <w:rPr>
                <w:rFonts w:ascii="Calibri" w:hAnsi="Calibri"/>
                <w:sz w:val="22"/>
              </w:rPr>
              <w:t>+160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5.0%</w:t>
            </w:r>
          </w:p>
        </w:tc>
        <w:tc>
          <w:tcPr>
            <w:tcW w:type="dxa" w:w="1728"/>
          </w:tcPr>
          <w:p>
            <w:r>
              <w:rPr>
                <w:rFonts w:ascii="Calibri" w:hAnsi="Calibri"/>
                <w:sz w:val="22"/>
              </w:rPr>
              <w:t>5.2%</w:t>
            </w:r>
          </w:p>
        </w:tc>
        <w:tc>
          <w:tcPr>
            <w:tcW w:type="dxa" w:w="1728"/>
          </w:tcPr>
          <w:p>
            <w:r>
              <w:rPr>
                <w:rFonts w:ascii="Calibri" w:hAnsi="Calibri"/>
                <w:sz w:val="22"/>
              </w:rPr>
              <w:t>-20 bps</w:t>
            </w:r>
          </w:p>
        </w:tc>
        <w:tc>
          <w:tcPr>
            <w:tcW w:type="dxa" w:w="1728"/>
          </w:tcPr>
          <w:p>
            <w:r>
              <w:rPr>
                <w:rFonts w:ascii="Calibri" w:hAnsi="Calibri"/>
                <w:b/>
                <w:color w:val="E5484D"/>
                <w:sz w:val="22"/>
              </w:rPr>
              <w:t>In-Line / Slight Miss</w:t>
            </w:r>
          </w:p>
        </w:tc>
      </w:tr>
      <w:tr>
        <w:tc>
          <w:tcPr>
            <w:tcW w:type="dxa" w:w="1728"/>
          </w:tcPr>
          <w:p>
            <w:r>
              <w:rPr>
                <w:rFonts w:ascii="Calibri" w:hAnsi="Calibri"/>
                <w:sz w:val="22"/>
              </w:rPr>
              <w:t>Q1 2026</w:t>
            </w:r>
          </w:p>
        </w:tc>
        <w:tc>
          <w:tcPr>
            <w:tcW w:type="dxa" w:w="1728"/>
          </w:tcPr>
          <w:p>
            <w:r>
              <w:rPr>
                <w:rFonts w:ascii="Calibri" w:hAnsi="Calibri"/>
                <w:sz w:val="22"/>
              </w:rPr>
              <w:t>5.0%</w:t>
            </w:r>
          </w:p>
        </w:tc>
        <w:tc>
          <w:tcPr>
            <w:tcW w:type="dxa" w:w="1728"/>
          </w:tcPr>
          <w:p>
            <w:r>
              <w:rPr>
                <w:rFonts w:ascii="Calibri" w:hAnsi="Calibri"/>
                <w:sz w:val="22"/>
              </w:rPr>
              <w:t>5.1%</w:t>
            </w:r>
          </w:p>
        </w:tc>
        <w:tc>
          <w:tcPr>
            <w:tcW w:type="dxa" w:w="1728"/>
          </w:tcPr>
          <w:p>
            <w:r>
              <w:rPr>
                <w:rFonts w:ascii="Calibri" w:hAnsi="Calibri"/>
                <w:sz w:val="22"/>
              </w:rPr>
              <w:t>-10 bps</w:t>
            </w:r>
          </w:p>
        </w:tc>
        <w:tc>
          <w:tcPr>
            <w:tcW w:type="dxa" w:w="1728"/>
          </w:tcPr>
          <w:p>
            <w:r>
              <w:rPr>
                <w:rFonts w:ascii="Calibri" w:hAnsi="Calibri"/>
                <w:b/>
                <w:color w:val="30A46C"/>
                <w:sz w:val="22"/>
              </w:rPr>
              <w:t>In-Line</w:t>
            </w:r>
          </w:p>
        </w:tc>
      </w:tr>
    </w:tbl>
    <w:p>
      <w:r>
        <w:rPr>
          <w:rFonts w:ascii="Calibri" w:hAnsi="Calibri"/>
          <w:b/>
          <w:color w:val="525866"/>
          <w:sz w:val="22"/>
        </w:rPr>
        <w:t xml:space="preserve">Pattern: </w:t>
      </w:r>
      <w:r>
        <w:rPr>
          <w:rFonts w:ascii="Calibri" w:hAnsi="Calibri"/>
          <w:color w:val="525866"/>
          <w:sz w:val="22"/>
        </w:rPr>
        <w:t>Aon has beaten organic growth consensus in 5 of the last 7 quarters with available data, with the two misses being modest (10–20 bps). The Street has historically underestimated Aon's Commercial Risk momentum, though the Q1 2025 miss (when consensus was set too high at 6.1%) shows the risk of a high bar. Source: Visible Alpha Consensus and Actuals Data.</w:t>
      </w:r>
    </w:p>
    <w:p>
      <w:pPr>
        <w:pStyle w:val="Heading4"/>
      </w:pPr>
      <w:r>
        <w:rPr>
          <w:rFonts w:ascii="Calibri" w:hAnsi="Calibri"/>
          <w:b/>
          <w:color w:val="3B4259"/>
          <w:sz w:val="22"/>
        </w:rPr>
        <w:t>Top KPI #2: Adjusted EPS — Diluted Operating (Continuing Ops)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$3.49</w:t>
            </w:r>
          </w:p>
        </w:tc>
        <w:tc>
          <w:tcPr>
            <w:tcW w:type="dxa" w:w="1728"/>
          </w:tcPr>
          <w:p>
            <w:r>
              <w:rPr>
                <w:rFonts w:ascii="Calibri" w:hAnsi="Calibri"/>
                <w:sz w:val="22"/>
              </w:rPr>
              <w:t>$3.40</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$2.72</w:t>
            </w:r>
          </w:p>
        </w:tc>
        <w:tc>
          <w:tcPr>
            <w:tcW w:type="dxa" w:w="1728"/>
          </w:tcPr>
          <w:p>
            <w:r>
              <w:rPr>
                <w:rFonts w:ascii="Calibri" w:hAnsi="Calibri"/>
                <w:sz w:val="22"/>
              </w:rPr>
              <w:t>$2.47</w:t>
            </w:r>
          </w:p>
        </w:tc>
        <w:tc>
          <w:tcPr>
            <w:tcW w:type="dxa" w:w="1728"/>
          </w:tcPr>
          <w:p>
            <w:r>
              <w:rPr>
                <w:rFonts w:ascii="Calibri" w:hAnsi="Calibri"/>
                <w:sz w:val="22"/>
              </w:rPr>
              <w:t>+10.1%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$4.42</w:t>
            </w:r>
          </w:p>
        </w:tc>
        <w:tc>
          <w:tcPr>
            <w:tcW w:type="dxa" w:w="1728"/>
          </w:tcPr>
          <w:p>
            <w:r>
              <w:rPr>
                <w:rFonts w:ascii="Calibri" w:hAnsi="Calibri"/>
                <w:sz w:val="22"/>
              </w:rPr>
              <w:t>$4.24</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$5.67</w:t>
            </w:r>
          </w:p>
        </w:tc>
        <w:tc>
          <w:tcPr>
            <w:tcW w:type="dxa" w:w="1728"/>
          </w:tcPr>
          <w:p>
            <w:r>
              <w:rPr>
                <w:rFonts w:ascii="Calibri" w:hAnsi="Calibri"/>
                <w:sz w:val="22"/>
              </w:rPr>
              <w:t>$6.02</w:t>
            </w:r>
          </w:p>
        </w:tc>
        <w:tc>
          <w:tcPr>
            <w:tcW w:type="dxa" w:w="1728"/>
          </w:tcPr>
          <w:p>
            <w:r>
              <w:rPr>
                <w:rFonts w:ascii="Calibri" w:hAnsi="Calibri"/>
                <w:sz w:val="22"/>
              </w:rPr>
              <w:t>-5.8%</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$3.49</w:t>
            </w:r>
          </w:p>
        </w:tc>
        <w:tc>
          <w:tcPr>
            <w:tcW w:type="dxa" w:w="1728"/>
          </w:tcPr>
          <w:p>
            <w:r>
              <w:rPr>
                <w:rFonts w:ascii="Calibri" w:hAnsi="Calibri"/>
                <w:sz w:val="22"/>
              </w:rPr>
              <w:t>$3.40</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$3.05</w:t>
            </w:r>
          </w:p>
        </w:tc>
        <w:tc>
          <w:tcPr>
            <w:tcW w:type="dxa" w:w="1728"/>
          </w:tcPr>
          <w:p>
            <w:r>
              <w:rPr>
                <w:rFonts w:ascii="Calibri" w:hAnsi="Calibri"/>
                <w:sz w:val="22"/>
              </w:rPr>
              <w:t>$2.91</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$4.85</w:t>
            </w:r>
          </w:p>
        </w:tc>
        <w:tc>
          <w:tcPr>
            <w:tcW w:type="dxa" w:w="1728"/>
          </w:tcPr>
          <w:p>
            <w:r>
              <w:rPr>
                <w:rFonts w:ascii="Calibri" w:hAnsi="Calibri"/>
                <w:sz w:val="22"/>
              </w:rPr>
              <w:t>$4.74</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$6.48</w:t>
            </w:r>
          </w:p>
        </w:tc>
        <w:tc>
          <w:tcPr>
            <w:tcW w:type="dxa" w:w="1728"/>
          </w:tcPr>
          <w:p>
            <w:r>
              <w:rPr>
                <w:rFonts w:ascii="Calibri" w:hAnsi="Calibri"/>
                <w:sz w:val="22"/>
              </w:rPr>
              <w:t>$6.36</w:t>
            </w:r>
          </w:p>
        </w:tc>
        <w:tc>
          <w:tcPr>
            <w:tcW w:type="dxa" w:w="1728"/>
          </w:tcPr>
          <w:p>
            <w:r>
              <w:rPr>
                <w:rFonts w:ascii="Calibri" w:hAnsi="Calibri"/>
                <w:sz w:val="22"/>
              </w:rPr>
              <w:t>+1.9%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Aon has beaten adjusted EPS consensus in 7 of the last 8 quarters, with the sole miss in Q1 2025 driven by a one-time elevated consensus bar. Beat magnitude has been consistent at 2–10%, suggesting the Street tends to set a slightly conservative EPS bar.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fully reaffirmed since Q1 earnings with no formal revisions, but management's tone has grown incrementally more confident on capital allocation — the </w:t>
      </w:r>
      <w:r>
        <w:rPr>
          <w:rFonts w:ascii="Calibri" w:hAnsi="Calibri"/>
          <w:b/>
          <w:color w:val="525866"/>
          <w:sz w:val="22"/>
        </w:rPr>
        <w:t>$7.5B buyback authorization</w:t>
      </w:r>
      <w:r>
        <w:rPr>
          <w:rFonts w:ascii="Calibri" w:hAnsi="Calibri"/>
          <w:color w:val="525866"/>
          <w:sz w:val="22"/>
        </w:rPr>
        <w:t xml:space="preserve"> approved June 26 is the most significant post-earnings development and signals conviction in intrinsic value well above current market price.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Revenue Growth (FY2026)</w:t>
            </w:r>
          </w:p>
        </w:tc>
        <w:tc>
          <w:tcPr>
            <w:tcW w:type="dxa" w:w="1728"/>
          </w:tcPr>
          <w:p>
            <w:r>
              <w:rPr>
                <w:rFonts w:ascii="Calibri" w:hAnsi="Calibri"/>
                <w:sz w:val="22"/>
              </w:rPr>
              <w:t>Mid-single-digit or greater</w:t>
            </w:r>
          </w:p>
        </w:tc>
        <w:tc>
          <w:tcPr>
            <w:tcW w:type="dxa" w:w="1728"/>
          </w:tcPr>
          <w:p>
            <w:r>
              <w:rPr>
                <w:rFonts w:ascii="Calibri" w:hAnsi="Calibri"/>
                <w:sz w:val="22"/>
              </w:rPr>
              <w:t>—</w:t>
            </w:r>
          </w:p>
        </w:tc>
        <w:tc>
          <w:tcPr>
            <w:tcW w:type="dxa" w:w="1728"/>
          </w:tcPr>
          <w:p>
            <w:r>
              <w:rPr>
                <w:rFonts w:ascii="Calibri" w:hAnsi="Calibri"/>
                <w:sz w:val="22"/>
              </w:rPr>
              <w:t>~5.0% (FY2026)</w:t>
            </w:r>
          </w:p>
        </w:tc>
        <w:tc>
          <w:tcPr>
            <w:tcW w:type="dxa" w:w="1728"/>
          </w:tcPr>
          <w:p>
            <w:r>
              <w:rPr>
                <w:rFonts w:ascii="Calibri" w:hAnsi="Calibri"/>
                <w:sz w:val="22"/>
              </w:rPr>
              <w:t>Reaffirmed at Morgan Stanley Financials Conference (June 9, 2026); management expressed continued confidence in mid-single-digit or greater growth in all pricing environments</w:t>
            </w:r>
          </w:p>
        </w:tc>
      </w:tr>
      <w:tr>
        <w:tc>
          <w:tcPr>
            <w:tcW w:type="dxa" w:w="1728"/>
          </w:tcPr>
          <w:p>
            <w:r>
              <w:rPr>
                <w:rFonts w:ascii="Calibri" w:hAnsi="Calibri"/>
                <w:sz w:val="22"/>
              </w:rPr>
              <w:t>Adj. Operating Margin Expansion (FY2026)</w:t>
            </w:r>
          </w:p>
        </w:tc>
        <w:tc>
          <w:tcPr>
            <w:tcW w:type="dxa" w:w="1728"/>
          </w:tcPr>
          <w:p>
            <w:r>
              <w:rPr>
                <w:rFonts w:ascii="Calibri" w:hAnsi="Calibri"/>
                <w:sz w:val="22"/>
              </w:rPr>
              <w:t>70–80 bps expansion</w:t>
            </w:r>
          </w:p>
        </w:tc>
        <w:tc>
          <w:tcPr>
            <w:tcW w:type="dxa" w:w="1728"/>
          </w:tcPr>
          <w:p>
            <w:r>
              <w:rPr>
                <w:rFonts w:ascii="Calibri" w:hAnsi="Calibri"/>
                <w:sz w:val="22"/>
              </w:rPr>
              <w:t>—</w:t>
            </w:r>
          </w:p>
        </w:tc>
        <w:tc>
          <w:tcPr>
            <w:tcW w:type="dxa" w:w="1728"/>
          </w:tcPr>
          <w:p>
            <w:r>
              <w:rPr>
                <w:rFonts w:ascii="Calibri" w:hAnsi="Calibri"/>
                <w:sz w:val="22"/>
              </w:rPr>
              <w:t>Consensus implies ~70 bps expansion</w:t>
            </w:r>
          </w:p>
        </w:tc>
        <w:tc>
          <w:tcPr>
            <w:tcW w:type="dxa" w:w="1728"/>
          </w:tcPr>
          <w:p>
            <w:r>
              <w:rPr>
                <w:rFonts w:ascii="Calibri" w:hAnsi="Calibri"/>
                <w:sz w:val="22"/>
              </w:rPr>
              <w:t>Unchanged; ABS leverage (40–50 bps) + restructuring savings ($100M / ~50 bps) partially offset by fiduciary income headwind (~20 bps)</w:t>
            </w:r>
          </w:p>
        </w:tc>
      </w:tr>
      <w:tr>
        <w:tc>
          <w:tcPr>
            <w:tcW w:type="dxa" w:w="1728"/>
          </w:tcPr>
          <w:p>
            <w:r>
              <w:rPr>
                <w:rFonts w:ascii="Calibri" w:hAnsi="Calibri"/>
                <w:sz w:val="22"/>
              </w:rPr>
              <w:t>Free Cash Flow (FY2026)</w:t>
            </w:r>
          </w:p>
        </w:tc>
        <w:tc>
          <w:tcPr>
            <w:tcW w:type="dxa" w:w="1728"/>
          </w:tcPr>
          <w:p>
            <w:r>
              <w:rPr>
                <w:rFonts w:ascii="Calibri" w:hAnsi="Calibri"/>
                <w:sz w:val="22"/>
              </w:rPr>
              <w:t>Double-digit FCF growth; ~$4.3B (before $300M tax impact from NFP Wealth sale)</w:t>
            </w:r>
          </w:p>
        </w:tc>
        <w:tc>
          <w:tcPr>
            <w:tcW w:type="dxa" w:w="1728"/>
          </w:tcPr>
          <w:p>
            <w:r>
              <w:rPr>
                <w:rFonts w:ascii="Calibri" w:hAnsi="Calibri"/>
                <w:sz w:val="22"/>
              </w:rPr>
              <w:t>—</w:t>
            </w:r>
          </w:p>
        </w:tc>
        <w:tc>
          <w:tcPr>
            <w:tcW w:type="dxa" w:w="1728"/>
          </w:tcPr>
          <w:p>
            <w:r>
              <w:rPr>
                <w:rFonts w:ascii="Calibri" w:hAnsi="Calibri"/>
                <w:sz w:val="22"/>
              </w:rPr>
              <w:t>~$3.78B (FY2026 consensus)</w:t>
            </w:r>
          </w:p>
        </w:tc>
        <w:tc>
          <w:tcPr>
            <w:tcW w:type="dxa" w:w="1728"/>
          </w:tcPr>
          <w:p>
            <w:r>
              <w:rPr>
                <w:rFonts w:ascii="Calibri" w:hAnsi="Calibri"/>
                <w:sz w:val="22"/>
              </w:rPr>
              <w:t>Consensus sits below guided level; gap likely reflects Street conservatism on timing of FCF conversion; no formal revision</w:t>
            </w:r>
          </w:p>
        </w:tc>
      </w:tr>
      <w:tr>
        <w:tc>
          <w:tcPr>
            <w:tcW w:type="dxa" w:w="1728"/>
          </w:tcPr>
          <w:p>
            <w:r>
              <w:rPr>
                <w:rFonts w:ascii="Calibri" w:hAnsi="Calibri"/>
                <w:sz w:val="22"/>
              </w:rPr>
              <w:t>Share Repurchases (FY2026)</w:t>
            </w:r>
          </w:p>
        </w:tc>
        <w:tc>
          <w:tcPr>
            <w:tcW w:type="dxa" w:w="1728"/>
          </w:tcPr>
          <w:p>
            <w:r>
              <w:rPr>
                <w:rFonts w:ascii="Calibri" w:hAnsi="Calibri"/>
                <w:sz w:val="22"/>
              </w:rPr>
              <w:t>At least $1B for the year; $500M deployed in Q1 (2x prior 8-quarter average)</w:t>
            </w:r>
          </w:p>
        </w:tc>
        <w:tc>
          <w:tcPr>
            <w:tcW w:type="dxa" w:w="1728"/>
          </w:tcPr>
          <w:p>
            <w:r>
              <w:rPr>
                <w:rFonts w:ascii="Calibri" w:hAnsi="Calibri"/>
                <w:sz w:val="22"/>
              </w:rPr>
              <w:t>↑ Board approved additional $7.5B buyback authorization (June 26, 2026 — 8-K)</w:t>
            </w:r>
          </w:p>
        </w:tc>
        <w:tc>
          <w:tcPr>
            <w:tcW w:type="dxa" w:w="1728"/>
          </w:tcPr>
          <w:p>
            <w:r>
              <w:rPr>
                <w:rFonts w:ascii="Calibri" w:hAnsi="Calibri"/>
                <w:sz w:val="22"/>
              </w:rPr>
              <w:t>N/A — not modeled in consensus</w:t>
            </w:r>
          </w:p>
        </w:tc>
        <w:tc>
          <w:tcPr>
            <w:tcW w:type="dxa" w:w="1728"/>
          </w:tcPr>
          <w:p>
            <w:r>
              <w:rPr>
                <w:rFonts w:ascii="Calibri" w:hAnsi="Calibri"/>
                <w:sz w:val="22"/>
              </w:rPr>
              <w:t>↑ Significant upgrade: new $7.5B authorization added to ~$0.8B remaining; signals management conviction that stock trades well below intrinsic value</w:t>
            </w:r>
          </w:p>
        </w:tc>
      </w:tr>
      <w:tr>
        <w:tc>
          <w:tcPr>
            <w:tcW w:type="dxa" w:w="1728"/>
          </w:tcPr>
          <w:p>
            <w:r>
              <w:rPr>
                <w:rFonts w:ascii="Calibri" w:hAnsi="Calibri"/>
                <w:sz w:val="22"/>
              </w:rPr>
              <w:t>Leverage (FY2026)</w:t>
            </w:r>
          </w:p>
        </w:tc>
        <w:tc>
          <w:tcPr>
            <w:tcW w:type="dxa" w:w="1728"/>
          </w:tcPr>
          <w:p>
            <w:r>
              <w:rPr>
                <w:rFonts w:ascii="Calibri" w:hAnsi="Calibri"/>
                <w:sz w:val="22"/>
              </w:rPr>
              <w:t>Objective: at least 2.9x; Q1 actual: 2.7x (below objective)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At Morgan Stanley conference (June 9), CFO noted leverage is now below stated objectives; M&amp;A pipeline strong but private market valuations not yet fully reflecting public market conditions — preference for buybacks near-term</w:t>
            </w:r>
          </w:p>
        </w:tc>
      </w:tr>
      <w:tr>
        <w:tc>
          <w:tcPr>
            <w:tcW w:type="dxa" w:w="1728"/>
          </w:tcPr>
          <w:p>
            <w:r>
              <w:rPr>
                <w:rFonts w:ascii="Calibri" w:hAnsi="Calibri"/>
                <w:sz w:val="22"/>
              </w:rPr>
              <w:t>Restructuring Savings (FY2026)</w:t>
            </w:r>
          </w:p>
        </w:tc>
        <w:tc>
          <w:tcPr>
            <w:tcW w:type="dxa" w:w="1728"/>
          </w:tcPr>
          <w:p>
            <w:r>
              <w:rPr>
                <w:rFonts w:ascii="Calibri" w:hAnsi="Calibri"/>
                <w:sz w:val="22"/>
              </w:rPr>
              <w:t>$100M savings in 2026; advancing toward $450M total by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2026 is final year of restructuring investment</w:t>
            </w:r>
          </w:p>
        </w:tc>
      </w:tr>
      <w:tr>
        <w:tc>
          <w:tcPr>
            <w:tcW w:type="dxa" w:w="1728"/>
          </w:tcPr>
          <w:p>
            <w:r>
              <w:rPr>
                <w:rFonts w:ascii="Calibri" w:hAnsi="Calibri"/>
                <w:sz w:val="22"/>
              </w:rPr>
              <w:t>Effective Tax Rate (FY2026)</w:t>
            </w:r>
          </w:p>
        </w:tc>
        <w:tc>
          <w:tcPr>
            <w:tcW w:type="dxa" w:w="1728"/>
          </w:tcPr>
          <w:p>
            <w:r>
              <w:rPr>
                <w:rFonts w:ascii="Calibri" w:hAnsi="Calibri"/>
                <w:sz w:val="22"/>
              </w:rPr>
              <w:t>19.5%–20.5%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Revenue-Generating Talent Growth (FY2026)</w:t>
            </w:r>
          </w:p>
        </w:tc>
        <w:tc>
          <w:tcPr>
            <w:tcW w:type="dxa" w:w="1728"/>
          </w:tcPr>
          <w:p>
            <w:r>
              <w:rPr>
                <w:rFonts w:ascii="Calibri" w:hAnsi="Calibri"/>
                <w:sz w:val="22"/>
              </w:rPr>
              <w:t>4%–8% net increase in revenue-generating population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2024/2025 cohorts contributed 75 bps to Q1 organic growth with compounding effect building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essentially flat since Q1 earnings — a sign the Street has absorbed the known reinsurance headwind without cutting numbers. The </w:t>
      </w:r>
      <w:r>
        <w:rPr>
          <w:rFonts w:ascii="Calibri" w:hAnsi="Calibri"/>
          <w:b/>
          <w:color w:val="525866"/>
          <w:sz w:val="22"/>
        </w:rPr>
        <w:t>FY2026 FCF consensus ($3.78B) remains well below management's guided ~$4.3B</w:t>
      </w:r>
      <w:r>
        <w:rPr>
          <w:rFonts w:ascii="Calibri" w:hAnsi="Calibri"/>
          <w:color w:val="525866"/>
          <w:sz w:val="22"/>
        </w:rPr>
        <w:t>, representing the largest gap and a potential source of upside if conversion improves in H2.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Organic Revenue Growth — Q2 2026</w:t>
            </w:r>
          </w:p>
        </w:tc>
        <w:tc>
          <w:tcPr>
            <w:tcW w:type="dxa" w:w="1080"/>
          </w:tcPr>
          <w:p>
            <w:r>
              <w:rPr>
                <w:rFonts w:ascii="Calibri" w:hAnsi="Calibri"/>
                <w:sz w:val="22"/>
              </w:rPr>
              <w:t>5.02%</w:t>
            </w:r>
          </w:p>
        </w:tc>
        <w:tc>
          <w:tcPr>
            <w:tcW w:type="dxa" w:w="1080"/>
          </w:tcPr>
          <w:p>
            <w:r>
              <w:rPr>
                <w:rFonts w:ascii="Calibri" w:hAnsi="Calibri"/>
                <w:sz w:val="22"/>
              </w:rPr>
              <w:t>5.01%</w:t>
            </w:r>
          </w:p>
        </w:tc>
        <w:tc>
          <w:tcPr>
            <w:tcW w:type="dxa" w:w="1080"/>
          </w:tcPr>
          <w:p>
            <w:r>
              <w:rPr>
                <w:rFonts w:ascii="Calibri" w:hAnsi="Calibri"/>
                <w:sz w:val="22"/>
              </w:rPr>
              <w:t>-0.2%</w:t>
            </w:r>
          </w:p>
        </w:tc>
        <w:tc>
          <w:tcPr>
            <w:tcW w:type="dxa" w:w="1080"/>
          </w:tcPr>
          <w:p>
            <w:r>
              <w:rPr>
                <w:rFonts w:ascii="Calibri" w:hAnsi="Calibri"/>
                <w:sz w:val="22"/>
              </w:rPr>
              <w:t>Mid-single-digit or greater (≥5%)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floor of guidance</w:t>
            </w:r>
          </w:p>
        </w:tc>
      </w:tr>
      <w:tr>
        <w:tc>
          <w:tcPr>
            <w:tcW w:type="dxa" w:w="1080"/>
          </w:tcPr>
          <w:p>
            <w:r>
              <w:rPr>
                <w:rFonts w:ascii="Calibri" w:hAnsi="Calibri"/>
                <w:sz w:val="22"/>
              </w:rPr>
              <w:t>Organic Revenue Growth — FY2026</w:t>
            </w:r>
          </w:p>
        </w:tc>
        <w:tc>
          <w:tcPr>
            <w:tcW w:type="dxa" w:w="1080"/>
          </w:tcPr>
          <w:p>
            <w:r>
              <w:rPr>
                <w:rFonts w:ascii="Calibri" w:hAnsi="Calibri"/>
                <w:sz w:val="22"/>
              </w:rPr>
              <w:t>4.98%</w:t>
            </w:r>
          </w:p>
        </w:tc>
        <w:tc>
          <w:tcPr>
            <w:tcW w:type="dxa" w:w="1080"/>
          </w:tcPr>
          <w:p>
            <w:r>
              <w:rPr>
                <w:rFonts w:ascii="Calibri" w:hAnsi="Calibri"/>
                <w:sz w:val="22"/>
              </w:rPr>
              <w:t>4.99%</w:t>
            </w:r>
          </w:p>
        </w:tc>
        <w:tc>
          <w:tcPr>
            <w:tcW w:type="dxa" w:w="1080"/>
          </w:tcPr>
          <w:p>
            <w:r>
              <w:rPr>
                <w:rFonts w:ascii="Calibri" w:hAnsi="Calibri"/>
                <w:sz w:val="22"/>
              </w:rPr>
              <w:t>+0.2%</w:t>
            </w:r>
          </w:p>
        </w:tc>
        <w:tc>
          <w:tcPr>
            <w:tcW w:type="dxa" w:w="1080"/>
          </w:tcPr>
          <w:p>
            <w:r>
              <w:rPr>
                <w:rFonts w:ascii="Calibri" w:hAnsi="Calibri"/>
                <w:sz w:val="22"/>
              </w:rPr>
              <w:t>Mid-single-digit or greater (≥5%)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Just below floor of guidance</w:t>
            </w:r>
          </w:p>
        </w:tc>
      </w:tr>
      <w:tr>
        <w:tc>
          <w:tcPr>
            <w:tcW w:type="dxa" w:w="1080"/>
          </w:tcPr>
          <w:p>
            <w:r>
              <w:rPr>
                <w:rFonts w:ascii="Calibri" w:hAnsi="Calibri"/>
                <w:sz w:val="22"/>
              </w:rPr>
              <w:t>Adj. EPS (Diluted Operating) — Q2 2026</w:t>
            </w:r>
          </w:p>
        </w:tc>
        <w:tc>
          <w:tcPr>
            <w:tcW w:type="dxa" w:w="1080"/>
          </w:tcPr>
          <w:p>
            <w:r>
              <w:rPr>
                <w:rFonts w:ascii="Calibri" w:hAnsi="Calibri"/>
                <w:sz w:val="22"/>
              </w:rPr>
              <w:t>$3.81</w:t>
            </w:r>
          </w:p>
        </w:tc>
        <w:tc>
          <w:tcPr>
            <w:tcW w:type="dxa" w:w="1080"/>
          </w:tcPr>
          <w:p>
            <w:r>
              <w:rPr>
                <w:rFonts w:ascii="Calibri" w:hAnsi="Calibri"/>
                <w:sz w:val="22"/>
              </w:rPr>
              <w:t>$3.80</w:t>
            </w:r>
          </w:p>
        </w:tc>
        <w:tc>
          <w:tcPr>
            <w:tcW w:type="dxa" w:w="1080"/>
          </w:tcPr>
          <w:p>
            <w:r>
              <w:rPr>
                <w:rFonts w:ascii="Calibri" w:hAnsi="Calibri"/>
                <w:sz w:val="22"/>
              </w:rPr>
              <w:t>-0.3%</w:t>
            </w:r>
          </w:p>
        </w:tc>
        <w:tc>
          <w:tcPr>
            <w:tcW w:type="dxa" w:w="1080"/>
          </w:tcPr>
          <w:p>
            <w:r>
              <w:rPr>
                <w:rFonts w:ascii="Calibri" w:hAnsi="Calibri"/>
                <w:sz w:val="22"/>
              </w:rPr>
              <w:t>Strong earnings growth (no specific Q2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Q2 EPS guidance)</w:t>
            </w:r>
          </w:p>
        </w:tc>
      </w:tr>
      <w:tr>
        <w:tc>
          <w:tcPr>
            <w:tcW w:type="dxa" w:w="1080"/>
          </w:tcPr>
          <w:p>
            <w:r>
              <w:rPr>
                <w:rFonts w:ascii="Calibri" w:hAnsi="Calibri"/>
                <w:sz w:val="22"/>
              </w:rPr>
              <w:t>Adj. EPS (Diluted Operating) — FY2026</w:t>
            </w:r>
          </w:p>
        </w:tc>
        <w:tc>
          <w:tcPr>
            <w:tcW w:type="dxa" w:w="1080"/>
          </w:tcPr>
          <w:p>
            <w:r>
              <w:rPr>
                <w:rFonts w:ascii="Calibri" w:hAnsi="Calibri"/>
                <w:sz w:val="22"/>
              </w:rPr>
              <w:t>$19.11</w:t>
            </w:r>
          </w:p>
        </w:tc>
        <w:tc>
          <w:tcPr>
            <w:tcW w:type="dxa" w:w="1080"/>
          </w:tcPr>
          <w:p>
            <w:r>
              <w:rPr>
                <w:rFonts w:ascii="Calibri" w:hAnsi="Calibri"/>
                <w:sz w:val="22"/>
              </w:rPr>
              <w:t>$19.10</w:t>
            </w:r>
          </w:p>
        </w:tc>
        <w:tc>
          <w:tcPr>
            <w:tcW w:type="dxa" w:w="1080"/>
          </w:tcPr>
          <w:p>
            <w:r>
              <w:rPr>
                <w:rFonts w:ascii="Calibri" w:hAnsi="Calibri"/>
                <w:sz w:val="22"/>
              </w:rPr>
              <w:t>-0.1%</w:t>
            </w:r>
          </w:p>
        </w:tc>
        <w:tc>
          <w:tcPr>
            <w:tcW w:type="dxa" w:w="1080"/>
          </w:tcPr>
          <w:p>
            <w:r>
              <w:rPr>
                <w:rFonts w:ascii="Calibri" w:hAnsi="Calibri"/>
                <w:sz w:val="22"/>
              </w:rPr>
              <w:t>Strong earnings growth (no specific FY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FY EPS guidance)</w:t>
            </w:r>
          </w:p>
        </w:tc>
      </w:tr>
      <w:tr>
        <w:tc>
          <w:tcPr>
            <w:tcW w:type="dxa" w:w="1080"/>
          </w:tcPr>
          <w:p>
            <w:r>
              <w:rPr>
                <w:rFonts w:ascii="Calibri" w:hAnsi="Calibri"/>
                <w:sz w:val="22"/>
              </w:rPr>
              <w:t>Free Cash Flow — Q2 2026</w:t>
            </w:r>
          </w:p>
        </w:tc>
        <w:tc>
          <w:tcPr>
            <w:tcW w:type="dxa" w:w="1080"/>
          </w:tcPr>
          <w:p>
            <w:r>
              <w:rPr>
                <w:rFonts w:ascii="Calibri" w:hAnsi="Calibri"/>
                <w:sz w:val="22"/>
              </w:rPr>
              <w:t>$0.888B</w:t>
            </w:r>
          </w:p>
        </w:tc>
        <w:tc>
          <w:tcPr>
            <w:tcW w:type="dxa" w:w="1080"/>
          </w:tcPr>
          <w:p>
            <w:r>
              <w:rPr>
                <w:rFonts w:ascii="Calibri" w:hAnsi="Calibri"/>
                <w:sz w:val="22"/>
              </w:rPr>
              <w:t>$0.748B</w:t>
            </w:r>
          </w:p>
        </w:tc>
        <w:tc>
          <w:tcPr>
            <w:tcW w:type="dxa" w:w="1080"/>
          </w:tcPr>
          <w:p>
            <w:r>
              <w:rPr>
                <w:rFonts w:ascii="Calibri" w:hAnsi="Calibri"/>
                <w:sz w:val="22"/>
              </w:rPr>
              <w:t>-15.8%</w:t>
            </w:r>
          </w:p>
        </w:tc>
        <w:tc>
          <w:tcPr>
            <w:tcW w:type="dxa" w:w="1080"/>
          </w:tcPr>
          <w:p>
            <w:r>
              <w:rPr>
                <w:rFonts w:ascii="Calibri" w:hAnsi="Calibri"/>
                <w:sz w:val="22"/>
              </w:rPr>
              <w:t>Double-digit FCF growth for FY2026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Q2 consensus well below prior-year $0.732B; FCF is lumpy by quarter</w:t>
            </w:r>
          </w:p>
        </w:tc>
      </w:tr>
      <w:tr>
        <w:tc>
          <w:tcPr>
            <w:tcW w:type="dxa" w:w="1080"/>
          </w:tcPr>
          <w:p>
            <w:r>
              <w:rPr>
                <w:rFonts w:ascii="Calibri" w:hAnsi="Calibri"/>
                <w:sz w:val="22"/>
              </w:rPr>
              <w:t>Free Cash Flow — FY2026</w:t>
            </w:r>
          </w:p>
        </w:tc>
        <w:tc>
          <w:tcPr>
            <w:tcW w:type="dxa" w:w="1080"/>
          </w:tcPr>
          <w:p>
            <w:r>
              <w:rPr>
                <w:rFonts w:ascii="Calibri" w:hAnsi="Calibri"/>
                <w:sz w:val="22"/>
              </w:rPr>
              <w:t>$3.935B</w:t>
            </w:r>
          </w:p>
        </w:tc>
        <w:tc>
          <w:tcPr>
            <w:tcW w:type="dxa" w:w="1080"/>
          </w:tcPr>
          <w:p>
            <w:r>
              <w:rPr>
                <w:rFonts w:ascii="Calibri" w:hAnsi="Calibri"/>
                <w:sz w:val="22"/>
              </w:rPr>
              <w:t>$3.775B</w:t>
            </w:r>
          </w:p>
        </w:tc>
        <w:tc>
          <w:tcPr>
            <w:tcW w:type="dxa" w:w="1080"/>
          </w:tcPr>
          <w:p>
            <w:r>
              <w:rPr>
                <w:rFonts w:ascii="Calibri" w:hAnsi="Calibri"/>
                <w:sz w:val="22"/>
              </w:rPr>
              <w:t>-4.1%</w:t>
            </w:r>
          </w:p>
        </w:tc>
        <w:tc>
          <w:tcPr>
            <w:tcW w:type="dxa" w:w="1080"/>
          </w:tcPr>
          <w:p>
            <w:r>
              <w:rPr>
                <w:rFonts w:ascii="Calibri" w:hAnsi="Calibri"/>
                <w:sz w:val="22"/>
              </w:rPr>
              <w:t>~$4.3B (before $300M NFP Wealth tax impact)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~12% below guided level; largest gap vs. guidance across all KPIs</w:t>
            </w:r>
          </w:p>
        </w:tc>
      </w:tr>
    </w:tbl>
    <w:p>
      <w:r>
        <w:rPr>
          <w:rFonts w:ascii="Calibri" w:hAnsi="Calibri"/>
          <w:color w:val="525866"/>
          <w:sz w:val="22"/>
        </w:rPr>
        <w:t>Estimates have been remarkably stable since Q1 earnings — organic growth and EPS estimates moved less than 0.3% in either direction, confirming the Street has fully priced in the known reinsurance rate headwind. The FCF gap (consensus $3.78B vs. guided ~$4.3B) is the most notable divergence and likely reflects Street conservatism on the $300M NFP Wealth tax payment timing; any H2 FCF acceleration commentary would be a positive catalyst.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AON has rallied ~22% since the Q1 print (May 1 → July 27), dramatically outperforming both KIE (+14%) and the S&amp;P 500 (+3%). Virtually all of the outperformance is </w:t>
      </w:r>
      <w:r>
        <w:rPr>
          <w:rFonts w:ascii="Calibri" w:hAnsi="Calibri"/>
          <w:b/>
          <w:color w:val="525866"/>
          <w:sz w:val="22"/>
        </w:rPr>
        <w:t>multiple re-rating</w:t>
      </w:r>
      <w:r>
        <w:rPr>
          <w:rFonts w:ascii="Calibri" w:hAnsi="Calibri"/>
          <w:color w:val="525866"/>
          <w:sz w:val="22"/>
        </w:rPr>
        <w:t xml:space="preserve"> — EV/EBITDA expanded from ~12.8x to ~14.4x over the past month — driven by the $7.5B buyback authorization and growing conviction in the data center opportunity, not estimate upgrades. The stock is no longer cheap on a near-term basis, raising the execution bar for the print.</w:t>
      </w:r>
    </w:p>
    <w:p>
      <w:r>
        <w:rPr>
          <w:rFonts w:ascii="Calibri" w:hAnsi="Calibri"/>
          <w:i/>
          <w:color w:val="525866"/>
          <w:sz w:val="22"/>
        </w:rPr>
        <w:t>Chart: AON vs. KIE (SPDR S&amp;P Insurance ETF) vs. S&amp;P 500 — Indexed to 100 at May 1, 2026 (Q1 2026 Earnings Date). Prices indexed to 100 at close on May 1, 2026. Last data point: July 27, 2026 (last available regular-session close before earnings). Note: July 29, 2026 earnings-day price not included as the session was not yet complete at time of preparation.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AON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1,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18, 2026</w:t>
            </w:r>
          </w:p>
        </w:tc>
        <w:tc>
          <w:tcPr>
            <w:tcW w:type="dxa" w:w="2160"/>
          </w:tcPr>
          <w:p>
            <w:r>
              <w:rPr>
                <w:rFonts w:ascii="Calibri" w:hAnsi="Calibri"/>
                <w:sz w:val="22"/>
              </w:rPr>
              <w:t>104.8</w:t>
            </w:r>
          </w:p>
        </w:tc>
        <w:tc>
          <w:tcPr>
            <w:tcW w:type="dxa" w:w="2160"/>
          </w:tcPr>
          <w:p>
            <w:r>
              <w:rPr>
                <w:rFonts w:ascii="Calibri" w:hAnsi="Calibri"/>
                <w:sz w:val="22"/>
              </w:rPr>
              <w:t>102.3</w:t>
            </w:r>
          </w:p>
        </w:tc>
        <w:tc>
          <w:tcPr>
            <w:tcW w:type="dxa" w:w="2160"/>
          </w:tcPr>
          <w:p>
            <w:r>
              <w:rPr>
                <w:rFonts w:ascii="Calibri" w:hAnsi="Calibri"/>
                <w:sz w:val="22"/>
              </w:rPr>
              <w:t>102.5</w:t>
            </w:r>
          </w:p>
        </w:tc>
      </w:tr>
      <w:tr>
        <w:tc>
          <w:tcPr>
            <w:tcW w:type="dxa" w:w="2160"/>
          </w:tcPr>
          <w:p>
            <w:r>
              <w:rPr>
                <w:rFonts w:ascii="Calibri" w:hAnsi="Calibri"/>
                <w:sz w:val="22"/>
              </w:rPr>
              <w:t>Jun 9, 2026 (Morgan Stanley Conference)</w:t>
            </w:r>
          </w:p>
        </w:tc>
        <w:tc>
          <w:tcPr>
            <w:tcW w:type="dxa" w:w="2160"/>
          </w:tcPr>
          <w:p>
            <w:r>
              <w:rPr>
                <w:rFonts w:ascii="Calibri" w:hAnsi="Calibri"/>
                <w:sz w:val="22"/>
              </w:rPr>
              <w:t>106.4</w:t>
            </w:r>
          </w:p>
        </w:tc>
        <w:tc>
          <w:tcPr>
            <w:tcW w:type="dxa" w:w="2160"/>
          </w:tcPr>
          <w:p>
            <w:r>
              <w:rPr>
                <w:rFonts w:ascii="Calibri" w:hAnsi="Calibri"/>
                <w:sz w:val="22"/>
              </w:rPr>
              <w:t>100.3</w:t>
            </w:r>
          </w:p>
        </w:tc>
        <w:tc>
          <w:tcPr>
            <w:tcW w:type="dxa" w:w="2160"/>
          </w:tcPr>
          <w:p>
            <w:r>
              <w:rPr>
                <w:rFonts w:ascii="Calibri" w:hAnsi="Calibri"/>
                <w:sz w:val="22"/>
              </w:rPr>
              <w:t>102.3</w:t>
            </w:r>
          </w:p>
        </w:tc>
      </w:tr>
      <w:tr>
        <w:tc>
          <w:tcPr>
            <w:tcW w:type="dxa" w:w="2160"/>
          </w:tcPr>
          <w:p>
            <w:r>
              <w:rPr>
                <w:rFonts w:ascii="Calibri" w:hAnsi="Calibri"/>
                <w:sz w:val="22"/>
              </w:rPr>
              <w:t>Jun 26, 2026 ($7.5B Buyback Authorization)</w:t>
            </w:r>
          </w:p>
        </w:tc>
        <w:tc>
          <w:tcPr>
            <w:tcW w:type="dxa" w:w="2160"/>
          </w:tcPr>
          <w:p>
            <w:r>
              <w:rPr>
                <w:rFonts w:ascii="Calibri" w:hAnsi="Calibri"/>
                <w:sz w:val="22"/>
              </w:rPr>
              <w:t>105.5</w:t>
            </w:r>
          </w:p>
        </w:tc>
        <w:tc>
          <w:tcPr>
            <w:tcW w:type="dxa" w:w="2160"/>
          </w:tcPr>
          <w:p>
            <w:r>
              <w:rPr>
                <w:rFonts w:ascii="Calibri" w:hAnsi="Calibri"/>
                <w:sz w:val="22"/>
              </w:rPr>
              <w:t>107.5</w:t>
            </w:r>
          </w:p>
        </w:tc>
        <w:tc>
          <w:tcPr>
            <w:tcW w:type="dxa" w:w="2160"/>
          </w:tcPr>
          <w:p>
            <w:r>
              <w:rPr>
                <w:rFonts w:ascii="Calibri" w:hAnsi="Calibri"/>
                <w:sz w:val="22"/>
              </w:rPr>
              <w:t>101.2</w:t>
            </w:r>
          </w:p>
        </w:tc>
      </w:tr>
      <w:tr>
        <w:tc>
          <w:tcPr>
            <w:tcW w:type="dxa" w:w="2160"/>
          </w:tcPr>
          <w:p>
            <w:r>
              <w:rPr>
                <w:rFonts w:ascii="Calibri" w:hAnsi="Calibri"/>
                <w:sz w:val="22"/>
              </w:rPr>
              <w:t>Jul 2, 2026</w:t>
            </w:r>
          </w:p>
        </w:tc>
        <w:tc>
          <w:tcPr>
            <w:tcW w:type="dxa" w:w="2160"/>
          </w:tcPr>
          <w:p>
            <w:r>
              <w:rPr>
                <w:rFonts w:ascii="Calibri" w:hAnsi="Calibri"/>
                <w:sz w:val="22"/>
              </w:rPr>
              <w:t>114.7</w:t>
            </w:r>
          </w:p>
        </w:tc>
        <w:tc>
          <w:tcPr>
            <w:tcW w:type="dxa" w:w="2160"/>
          </w:tcPr>
          <w:p>
            <w:r>
              <w:rPr>
                <w:rFonts w:ascii="Calibri" w:hAnsi="Calibri"/>
                <w:sz w:val="22"/>
              </w:rPr>
              <w:t>112.8</w:t>
            </w:r>
          </w:p>
        </w:tc>
        <w:tc>
          <w:tcPr>
            <w:tcW w:type="dxa" w:w="2160"/>
          </w:tcPr>
          <w:p>
            <w:r>
              <w:rPr>
                <w:rFonts w:ascii="Calibri" w:hAnsi="Calibri"/>
                <w:sz w:val="22"/>
              </w:rPr>
              <w:t>103.3</w:t>
            </w:r>
          </w:p>
        </w:tc>
      </w:tr>
      <w:tr>
        <w:tc>
          <w:tcPr>
            <w:tcW w:type="dxa" w:w="2160"/>
          </w:tcPr>
          <w:p>
            <w:r>
              <w:rPr>
                <w:rFonts w:ascii="Calibri" w:hAnsi="Calibri"/>
                <w:sz w:val="22"/>
              </w:rPr>
              <w:t>Jul 13, 2026</w:t>
            </w:r>
          </w:p>
        </w:tc>
        <w:tc>
          <w:tcPr>
            <w:tcW w:type="dxa" w:w="2160"/>
          </w:tcPr>
          <w:p>
            <w:r>
              <w:rPr>
                <w:rFonts w:ascii="Calibri" w:hAnsi="Calibri"/>
                <w:sz w:val="22"/>
              </w:rPr>
              <w:t>117.9</w:t>
            </w:r>
          </w:p>
        </w:tc>
        <w:tc>
          <w:tcPr>
            <w:tcW w:type="dxa" w:w="2160"/>
          </w:tcPr>
          <w:p>
            <w:r>
              <w:rPr>
                <w:rFonts w:ascii="Calibri" w:hAnsi="Calibri"/>
                <w:sz w:val="22"/>
              </w:rPr>
              <w:t>113.5</w:t>
            </w:r>
          </w:p>
        </w:tc>
        <w:tc>
          <w:tcPr>
            <w:tcW w:type="dxa" w:w="2160"/>
          </w:tcPr>
          <w:p>
            <w:r>
              <w:rPr>
                <w:rFonts w:ascii="Calibri" w:hAnsi="Calibri"/>
                <w:sz w:val="22"/>
              </w:rPr>
              <w:t>104.0</w:t>
            </w:r>
          </w:p>
        </w:tc>
      </w:tr>
      <w:tr>
        <w:tc>
          <w:tcPr>
            <w:tcW w:type="dxa" w:w="2160"/>
          </w:tcPr>
          <w:p>
            <w:r>
              <w:rPr>
                <w:rFonts w:ascii="Calibri" w:hAnsi="Calibri"/>
                <w:sz w:val="22"/>
              </w:rPr>
              <w:t>Jul 27, 2026 (Last Close)</w:t>
            </w:r>
          </w:p>
        </w:tc>
        <w:tc>
          <w:tcPr>
            <w:tcW w:type="dxa" w:w="2160"/>
          </w:tcPr>
          <w:p>
            <w:r>
              <w:rPr>
                <w:rFonts w:ascii="Calibri" w:hAnsi="Calibri"/>
                <w:sz w:val="22"/>
              </w:rPr>
              <w:t>117.9</w:t>
            </w:r>
          </w:p>
        </w:tc>
        <w:tc>
          <w:tcPr>
            <w:tcW w:type="dxa" w:w="2160"/>
          </w:tcPr>
          <w:p>
            <w:r>
              <w:rPr>
                <w:rFonts w:ascii="Calibri" w:hAnsi="Calibri"/>
                <w:sz w:val="22"/>
              </w:rPr>
              <w:t>114.0</w:t>
            </w:r>
          </w:p>
        </w:tc>
        <w:tc>
          <w:tcPr>
            <w:tcW w:type="dxa" w:w="2160"/>
          </w:tcPr>
          <w:p>
            <w:r>
              <w:rPr>
                <w:rFonts w:ascii="Calibri" w:hAnsi="Calibri"/>
                <w:sz w:val="22"/>
              </w:rPr>
              <w:t>102.6</w:t>
            </w:r>
          </w:p>
        </w:tc>
      </w:tr>
    </w:tbl>
    <w:p>
      <w:r>
        <w:rPr>
          <w:rFonts w:ascii="Calibri" w:hAnsi="Calibri"/>
          <w:b/>
          <w:color w:val="525866"/>
          <w:sz w:val="22"/>
        </w:rPr>
        <w:t xml:space="preserve">Stock Performance Decomposition (NTM EV/EBITDA): </w:t>
      </w:r>
      <w:r>
        <w:rPr>
          <w:rFonts w:ascii="Calibri" w:hAnsi="Calibri"/>
          <w:color w:val="525866"/>
          <w:sz w:val="22"/>
        </w:rPr>
        <w:t>Over the past month, AON's price rose +16.0% while NTM EV/EBITDA expanded +12.6% (from 12.82x to 14.42x), confirming that multiple re-rating — not estimate upgrades — drove the bulk of the move. Over 12 months, the stock is up only +2.3% as multiple compression (-9.4%, from 15.92x to 14.42x) offset underlying earnings growth. The recent re-rating reflects the $7.5B buyback authorization and renewed data center conviction, but leaves the stock more dependent on execution at the print. Source: Visible Alpha Consensus and Actuals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$7.5B share repurchase authorization</w:t>
      </w:r>
      <w:r>
        <w:rPr>
          <w:rFonts w:ascii="Calibri" w:hAnsi="Calibri"/>
          <w:color w:val="525866"/>
          <w:sz w:val="22"/>
        </w:rPr>
        <w:t xml:space="preserve"> (June 26) is the most consequential post-Q1 development — it signals management's conviction that the stock is materially undervalued and provides a multi-year capital return floor that the Street has not yet fully modeled.</w:t>
      </w:r>
    </w:p>
    <w:p>
      <w:pPr>
        <w:pStyle w:val="ListBullet"/>
        <w:ind w:left="360" w:hanging="360"/>
      </w:pPr>
      <w:r>
        <w:rPr>
          <w:rFonts w:ascii="Calibri" w:hAnsi="Calibri"/>
          <w:b/>
          <w:color w:val="525866"/>
          <w:sz w:val="22"/>
        </w:rPr>
        <w:t>July 29, 2026 — Q2 2026 Earnings Call (8:30 AM ET).</w:t>
      </w:r>
      <w:r>
        <w:rPr>
          <w:rFonts w:ascii="Calibri" w:hAnsi="Calibri"/>
          <w:color w:val="525866"/>
          <w:sz w:val="22"/>
        </w:rPr>
        <w:t xml:space="preserve"> Aon reports Q2 2026 results. Key watch items: Commercial Risk organic growth vs. 6%+ streak, Reinsurance segment performance amid 15–20% rate declines, data center pipeline update, and any post-3x3 Plan strategic framing.</w:t>
      </w:r>
    </w:p>
    <w:p>
      <w:pPr>
        <w:pStyle w:val="ListBullet"/>
        <w:ind w:left="360" w:hanging="360"/>
      </w:pPr>
      <w:r>
        <w:rPr>
          <w:rFonts w:ascii="Calibri" w:hAnsi="Calibri"/>
          <w:b/>
          <w:color w:val="525866"/>
          <w:sz w:val="22"/>
        </w:rPr>
        <w:t>June 26, 2026 — Board Approves $7.5B Additional Share Repurchase Authorization (8-K).</w:t>
      </w:r>
      <w:r>
        <w:rPr>
          <w:rFonts w:ascii="Calibri" w:hAnsi="Calibri"/>
          <w:color w:val="525866"/>
          <w:sz w:val="22"/>
        </w:rPr>
        <w:t xml:space="preserve"> Board authorized an incremental $7.5B buyback, adding to ~$0.8B remaining from prior program. Total available capacity now ~$8.3B. Implication: </w:t>
      </w:r>
      <w:r>
        <w:rPr>
          <w:rFonts w:ascii="Calibri" w:hAnsi="Calibri"/>
          <w:b/>
          <w:color w:val="525866"/>
          <w:sz w:val="22"/>
        </w:rPr>
        <w:t>Strongest capital return signal in Aon's recent history</w:t>
      </w:r>
      <w:r>
        <w:rPr>
          <w:rFonts w:ascii="Calibri" w:hAnsi="Calibri"/>
          <w:color w:val="525866"/>
          <w:sz w:val="22"/>
        </w:rPr>
        <w:t>; management explicitly characterized the stock as trading at a compelling discount to intrinsic value. Expect Q2 repurchase activity to be elevated again.</w:t>
      </w:r>
    </w:p>
    <w:p>
      <w:pPr>
        <w:pStyle w:val="ListBullet"/>
        <w:ind w:left="360" w:hanging="360"/>
      </w:pPr>
      <w:r>
        <w:rPr>
          <w:rFonts w:ascii="Calibri" w:hAnsi="Calibri"/>
          <w:b/>
          <w:color w:val="525866"/>
          <w:sz w:val="22"/>
        </w:rPr>
        <w:t>June 26, 2026 — Shareholders Reject Executive Pay Package (8-K / Annual Meeting).</w:t>
      </w:r>
      <w:r>
        <w:rPr>
          <w:rFonts w:ascii="Calibri" w:hAnsi="Calibri"/>
          <w:color w:val="525866"/>
          <w:sz w:val="22"/>
        </w:rPr>
        <w:t xml:space="preserve"> Advisory vote on executive compensation failed: 110.8M Against vs. 69.9M For (61% against). All 13 director nominees were elected. Implication: </w:t>
      </w:r>
      <w:r>
        <w:rPr>
          <w:rFonts w:ascii="Calibri" w:hAnsi="Calibri"/>
          <w:b/>
          <w:color w:val="525866"/>
          <w:sz w:val="22"/>
        </w:rPr>
        <w:t>Governance overhang</w:t>
      </w:r>
      <w:r>
        <w:rPr>
          <w:rFonts w:ascii="Calibri" w:hAnsi="Calibri"/>
          <w:color w:val="525866"/>
          <w:sz w:val="22"/>
        </w:rPr>
        <w:t>; management will need to engage with shareholders on compensation structure. Not a near-term earnings driver but a reputational and governance risk to monitor.</w:t>
      </w:r>
    </w:p>
    <w:p>
      <w:pPr>
        <w:pStyle w:val="ListBullet"/>
        <w:ind w:left="360" w:hanging="360"/>
      </w:pPr>
      <w:r>
        <w:rPr>
          <w:rFonts w:ascii="Calibri" w:hAnsi="Calibri"/>
          <w:b/>
          <w:color w:val="525866"/>
          <w:sz w:val="22"/>
        </w:rPr>
        <w:t>June 26, 2026 — CEO Greg Case International Assignment Extended to June 30, 2027 (8-K EX-10.1).</w:t>
      </w:r>
      <w:r>
        <w:rPr>
          <w:rFonts w:ascii="Calibri" w:hAnsi="Calibri"/>
          <w:color w:val="525866"/>
          <w:sz w:val="22"/>
        </w:rPr>
        <w:t xml:space="preserve"> Amendment extends Case's international assignment letter by one year. Implication: Leadership continuity confirmed through the post-3x3 Plan transition period; removes any near-term succession uncertainty.</w:t>
      </w:r>
    </w:p>
    <w:p>
      <w:pPr>
        <w:pStyle w:val="ListBullet"/>
        <w:ind w:left="360" w:hanging="360"/>
      </w:pPr>
      <w:r>
        <w:rPr>
          <w:rFonts w:ascii="Calibri" w:hAnsi="Calibri"/>
          <w:b/>
          <w:color w:val="525866"/>
          <w:sz w:val="22"/>
        </w:rPr>
        <w:t>June 9, 2026 — Morgan Stanley U.S. Financials Conference.</w:t>
      </w:r>
      <w:r>
        <w:rPr>
          <w:rFonts w:ascii="Calibri" w:hAnsi="Calibri"/>
          <w:color w:val="525866"/>
          <w:sz w:val="22"/>
        </w:rPr>
        <w:t xml:space="preserve"> CFO reiterated full-year guidance across all metrics. Key incremental disclosures: leverage now at 2.6x (below 2.9x objective), M&amp;A pipeline strong but private market valuations not yet reflecting public market conditions (preference for buybacks near-term), data center facility expanded to $3.5B with further expansion expected. Implication: </w:t>
      </w:r>
      <w:r>
        <w:rPr>
          <w:rFonts w:ascii="Calibri" w:hAnsi="Calibri"/>
          <w:b/>
          <w:color w:val="525866"/>
          <w:sz w:val="22"/>
        </w:rPr>
        <w:t>Tone incrementally more bullish on buybacks vs. M&amp;A</w:t>
      </w:r>
      <w:r>
        <w:rPr>
          <w:rFonts w:ascii="Calibri" w:hAnsi="Calibri"/>
          <w:color w:val="525866"/>
          <w:sz w:val="22"/>
        </w:rPr>
        <w:t xml:space="preserve"> in the near term.</w:t>
      </w:r>
    </w:p>
    <w:p>
      <w:pPr>
        <w:pStyle w:val="ListBullet"/>
        <w:ind w:left="360" w:hanging="360"/>
      </w:pPr>
      <w:r>
        <w:rPr>
          <w:rFonts w:ascii="Calibri" w:hAnsi="Calibri"/>
          <w:b/>
          <w:color w:val="525866"/>
          <w:sz w:val="22"/>
        </w:rPr>
        <w:t>July 28, 2026 — Brown &amp; Brown (BRO) Reports Q2 2026 Results.</w:t>
      </w:r>
      <w:r>
        <w:rPr>
          <w:rFonts w:ascii="Calibri" w:hAnsi="Calibri"/>
          <w:color w:val="525866"/>
          <w:sz w:val="22"/>
        </w:rPr>
        <w:t xml:space="preserve"> BRO reported EPS of $1.07 (in-line) but organic revenue declined 0.7% vs. consensus of +0.5%. Property cat rates down 15–35%, casualty up 5%. Implication: </w:t>
      </w:r>
      <w:r>
        <w:rPr>
          <w:rFonts w:ascii="Calibri" w:hAnsi="Calibri"/>
          <w:b/>
          <w:color w:val="525866"/>
          <w:sz w:val="22"/>
        </w:rPr>
        <w:t>Negative read-through for Aon's Reinsurance segment</w:t>
      </w:r>
      <w:r>
        <w:rPr>
          <w:rFonts w:ascii="Calibri" w:hAnsi="Calibri"/>
          <w:color w:val="525866"/>
          <w:sz w:val="22"/>
        </w:rPr>
        <w:t>; confirms rate pressure is real, though Aon's diversified mix and new business momentum should partially offset.</w:t>
      </w:r>
    </w:p>
    <w:p>
      <w:pPr>
        <w:pStyle w:val="ListBullet"/>
        <w:ind w:left="360" w:hanging="360"/>
      </w:pPr>
      <w:r>
        <w:rPr>
          <w:rFonts w:ascii="Calibri" w:hAnsi="Calibri"/>
          <w:b/>
          <w:color w:val="525866"/>
          <w:sz w:val="22"/>
        </w:rPr>
        <w:t>July 21, 2026 — Marsh McLennan (MMC) Reports Q2 2026 Results.</w:t>
      </w:r>
      <w:r>
        <w:rPr>
          <w:rFonts w:ascii="Calibri" w:hAnsi="Calibri"/>
          <w:color w:val="525866"/>
          <w:sz w:val="22"/>
        </w:rPr>
        <w:t xml:space="preserve"> MMC reported 5% underlying revenue growth (accelerating from 4% in Q1), adj. EPS +9% YoY. Guy Carpenter (reinsurance) down 2% underlying due to property cat rate declines of 16% at midyear. Marsh Risk up 4% underlying with double-digit new business growth. Implication: </w:t>
      </w:r>
      <w:r>
        <w:rPr>
          <w:rFonts w:ascii="Calibri" w:hAnsi="Calibri"/>
          <w:b/>
          <w:color w:val="525866"/>
          <w:sz w:val="22"/>
        </w:rPr>
        <w:t>Broadly positive read-through for Aon's Commercial Risk</w:t>
      </w:r>
      <w:r>
        <w:rPr>
          <w:rFonts w:ascii="Calibri" w:hAnsi="Calibri"/>
          <w:color w:val="525866"/>
          <w:sz w:val="22"/>
        </w:rPr>
        <w:t>; confirms new business momentum is real and offsetting rate headwinds.</w:t>
      </w:r>
    </w:p>
    <w:p>
      <w:pPr>
        <w:pStyle w:val="ListBullet"/>
        <w:ind w:left="360" w:hanging="360"/>
      </w:pPr>
      <w:r>
        <w:rPr>
          <w:rFonts w:ascii="Calibri" w:hAnsi="Calibri"/>
          <w:b/>
          <w:color w:val="525866"/>
          <w:sz w:val="22"/>
        </w:rPr>
        <w:t>July 10, 2026 — Aon Announces Q2 2026 Earnings Release and Conference Call Date.</w:t>
      </w:r>
      <w:r>
        <w:rPr>
          <w:rFonts w:ascii="Calibri" w:hAnsi="Calibri"/>
          <w:color w:val="525866"/>
          <w:sz w:val="22"/>
        </w:rPr>
        <w:t xml:space="preserve"> Confirmed July 29, 2026 at 8:30 AM ET. No pre-announcement or guidance update included.</w:t>
      </w:r>
    </w:p>
    <w:p>
      <w:pPr>
        <w:pStyle w:val="ListBullet"/>
        <w:ind w:left="360" w:hanging="360"/>
      </w:pPr>
      <w:r>
        <w:rPr>
          <w:rFonts w:ascii="Calibri" w:hAnsi="Calibri"/>
          <w:b/>
          <w:color w:val="525866"/>
          <w:sz w:val="22"/>
        </w:rPr>
        <w:t>July 7, 2026 — Q3 2026 Insurance Labor Market Study Open for Participation.</w:t>
      </w:r>
      <w:r>
        <w:rPr>
          <w:rFonts w:ascii="Calibri" w:hAnsi="Calibri"/>
          <w:color w:val="525866"/>
          <w:sz w:val="22"/>
        </w:rPr>
        <w:t xml:space="preserve"> Routine industry survey. Implication: Aon continues to position its proprietary data and analytics as a competitive differentiator; no direct earnings impact.</w:t>
      </w:r>
    </w:p>
    <w:p>
      <w:r>
        <w:br w:type="page"/>
      </w:r>
    </w:p>
    <w:p>
      <w:pPr>
        <w:pStyle w:val="Heading2"/>
      </w:pPr>
      <w:r>
        <w:rPr>
          <w:rFonts w:ascii="Calibri" w:hAnsi="Calibri"/>
          <w:b/>
          <w:color w:val="3B4259"/>
          <w:sz w:val="28"/>
        </w:rPr>
        <w:t>7. Peer Commentary Read-Throughs (Last 60 Days — Q2 2026 Current-Quarter Only)</w:t>
      </w:r>
    </w:p>
    <w:p>
      <w:r>
        <w:rPr>
          <w:rFonts w:ascii="Calibri" w:hAnsi="Calibri"/>
          <w:b/>
          <w:color w:val="525866"/>
          <w:sz w:val="22"/>
        </w:rPr>
        <w:t xml:space="preserve">Key Takeaway: </w:t>
      </w:r>
      <w:r>
        <w:rPr>
          <w:rFonts w:ascii="Calibri" w:hAnsi="Calibri"/>
          <w:color w:val="525866"/>
          <w:sz w:val="22"/>
        </w:rPr>
        <w:t xml:space="preserve">Peer commentary from MMC (Q2 reported), BRO (Q2 reported), and AJG (pre-Q2 investor meeting) collectively confirms that </w:t>
      </w:r>
      <w:r>
        <w:rPr>
          <w:rFonts w:ascii="Calibri" w:hAnsi="Calibri"/>
          <w:b/>
          <w:color w:val="525866"/>
          <w:sz w:val="22"/>
        </w:rPr>
        <w:t>new business momentum and casualty pricing remain constructive</w:t>
      </w:r>
      <w:r>
        <w:rPr>
          <w:rFonts w:ascii="Calibri" w:hAnsi="Calibri"/>
          <w:color w:val="525866"/>
          <w:sz w:val="22"/>
        </w:rPr>
        <w:t xml:space="preserve">, while </w:t>
      </w:r>
      <w:r>
        <w:rPr>
          <w:rFonts w:ascii="Calibri" w:hAnsi="Calibri"/>
          <w:b/>
          <w:color w:val="525866"/>
          <w:sz w:val="22"/>
        </w:rPr>
        <w:t>property cat rate declines of 15–35% are the dominant headwind</w:t>
      </w:r>
      <w:r>
        <w:rPr>
          <w:rFonts w:ascii="Calibri" w:hAnsi="Calibri"/>
          <w:color w:val="525866"/>
          <w:sz w:val="22"/>
        </w:rPr>
        <w:t xml:space="preserve"> — a known and already-guided risk for Aon's Reinsurance segment. The net read-through is mixed-to-slightly-positive for Aon's diversified book.</w:t>
      </w:r>
    </w:p>
    <w:p>
      <w:r>
        <w:rPr>
          <w:rFonts w:ascii="Calibri" w:hAnsi="Calibri"/>
          <w:b/>
          <w:i/>
          <w:color w:val="525866"/>
          <w:sz w:val="22"/>
        </w:rPr>
        <w:t xml:space="preserve">Scope note: </w:t>
      </w:r>
      <w:r>
        <w:rPr>
          <w:rFonts w:ascii="Calibri" w:hAnsi="Calibri"/>
          <w:i/>
          <w:color w:val="525866"/>
          <w:sz w:val="22"/>
        </w:rPr>
        <w:t>Only commentary explicitly about Q2 2026 current-quarter trading, pricing, or forward outlook is included below. Prior-quarter result discussions (e.g., Q1 2026 results reported in April/May) are excluded. Sources: MMC Q2 2026 Earnings Call (July 21, 2026); BRO Q2 2026 Earnings Call (July 28, 2026); AJG Pre-Q2 2026 Investor Meeting with Management (June 17, 2026).</w:t>
      </w:r>
    </w:p>
    <w:p>
      <w:pPr>
        <w:pStyle w:val="Heading3"/>
      </w:pPr>
      <w:r>
        <w:rPr>
          <w:rFonts w:ascii="Calibri" w:hAnsi="Calibri"/>
          <w:b/>
          <w:color w:val="3B4259"/>
          <w:sz w:val="24"/>
        </w:rPr>
        <w:t>A. Favorable Read-Throughs for AON</w:t>
      </w:r>
    </w:p>
    <w:p>
      <w:pPr>
        <w:pStyle w:val="ListBullet"/>
        <w:ind w:left="360" w:hanging="360"/>
      </w:pPr>
      <w:r>
        <w:rPr>
          <w:rFonts w:ascii="Calibri" w:hAnsi="Calibri"/>
          <w:b/>
          <w:color w:val="525866"/>
          <w:sz w:val="22"/>
        </w:rPr>
        <w:t>MMC (July 21): Commercial Risk new business momentum accelerating.</w:t>
      </w:r>
      <w:r>
        <w:rPr>
          <w:rFonts w:ascii="Calibri" w:hAnsi="Calibri"/>
          <w:color w:val="525866"/>
          <w:sz w:val="22"/>
        </w:rPr>
        <w:t xml:space="preserve"> Marsh Risk US &amp; Canada underlying growth accelerated to 4% in Q2 (from 3% in Q1), driven by double-digit new business growth in specialties including construction, marine, transactional risk, aviation, energy, and power. MMC noted a "very robust pipeline in digital infrastructure" beginning to make a meaningful contribution. </w:t>
      </w:r>
      <w:r>
        <w:rPr>
          <w:rFonts w:ascii="Calibri" w:hAnsi="Calibri"/>
          <w:b/>
          <w:color w:val="525866"/>
          <w:sz w:val="22"/>
        </w:rPr>
        <w:t xml:space="preserve">Read-through: </w:t>
      </w:r>
      <w:r>
        <w:rPr>
          <w:rFonts w:ascii="Calibri" w:hAnsi="Calibri"/>
          <w:color w:val="525866"/>
          <w:sz w:val="22"/>
        </w:rPr>
        <w:t>Validates Aon's data center pipeline narrative and supports the view that new business wins are offsetting rate headwinds in Commercial Risk. Aon's 7% Commercial Risk organic in Q1 (4th consecutive quarter at 6%+) may be sustainable.</w:t>
      </w:r>
    </w:p>
    <w:p>
      <w:pPr>
        <w:pStyle w:val="ListBullet"/>
        <w:ind w:left="360" w:hanging="360"/>
      </w:pPr>
      <w:r>
        <w:rPr>
          <w:rFonts w:ascii="Calibri" w:hAnsi="Calibri"/>
          <w:b/>
          <w:color w:val="525866"/>
          <w:sz w:val="22"/>
        </w:rPr>
        <w:t>MMC (July 21): Reinsurance new business strong despite rate pressure.</w:t>
      </w:r>
      <w:r>
        <w:rPr>
          <w:rFonts w:ascii="Calibri" w:hAnsi="Calibri"/>
          <w:color w:val="525866"/>
          <w:sz w:val="22"/>
        </w:rPr>
        <w:t xml:space="preserve"> Guy Carpenter delivered double-digit new business growth in H1 and high-90s client retention despite property cat rate declines of 16% at midyear. RFP win rate described as "never been stronger." </w:t>
      </w:r>
      <w:r>
        <w:rPr>
          <w:rFonts w:ascii="Calibri" w:hAnsi="Calibri"/>
          <w:b/>
          <w:color w:val="525866"/>
          <w:sz w:val="22"/>
        </w:rPr>
        <w:t xml:space="preserve">Read-through: </w:t>
      </w:r>
      <w:r>
        <w:rPr>
          <w:rFonts w:ascii="Calibri" w:hAnsi="Calibri"/>
          <w:color w:val="525866"/>
          <w:sz w:val="22"/>
        </w:rPr>
        <w:t>Positive for Aon's Reinsurance segment — confirms that new business and retention can partially offset rate headwinds, consistent with Aon's Q1 guidance that 10% higher demand would partially offset 15–20% rate declines.</w:t>
      </w:r>
    </w:p>
    <w:p>
      <w:pPr>
        <w:pStyle w:val="ListBullet"/>
        <w:ind w:left="360" w:hanging="360"/>
      </w:pPr>
      <w:r>
        <w:rPr>
          <w:rFonts w:ascii="Calibri" w:hAnsi="Calibri"/>
          <w:b/>
          <w:color w:val="525866"/>
          <w:sz w:val="22"/>
        </w:rPr>
        <w:t>AJG (June 17): Mid-single-digit organic growth on track for Q2 and full year.</w:t>
      </w:r>
      <w:r>
        <w:rPr>
          <w:rFonts w:ascii="Calibri" w:hAnsi="Calibri"/>
          <w:color w:val="525866"/>
          <w:sz w:val="22"/>
        </w:rPr>
        <w:t xml:space="preserve"> AJG management guided Q2 brokerage organic growth of ~5% and full-year 2026 of ~5.5%, with underlying trends through the first two months of Q2 described as "constructive" — renewal revenue increases continuing, net new business spread positive, no meaningful impact from mid-term policy activity. </w:t>
      </w:r>
      <w:r>
        <w:rPr>
          <w:rFonts w:ascii="Calibri" w:hAnsi="Calibri"/>
          <w:b/>
          <w:color w:val="525866"/>
          <w:sz w:val="22"/>
        </w:rPr>
        <w:t xml:space="preserve">Read-through: </w:t>
      </w:r>
      <w:r>
        <w:rPr>
          <w:rFonts w:ascii="Calibri" w:hAnsi="Calibri"/>
          <w:color w:val="525866"/>
          <w:sz w:val="22"/>
        </w:rPr>
        <w:t>Supports Aon's mid-single-digit organic growth guidance; industry-wide new business environment remains healthy.</w:t>
      </w:r>
    </w:p>
    <w:p>
      <w:pPr>
        <w:pStyle w:val="ListBullet"/>
        <w:ind w:left="360" w:hanging="360"/>
      </w:pPr>
      <w:r>
        <w:rPr>
          <w:rFonts w:ascii="Calibri" w:hAnsi="Calibri"/>
          <w:b/>
          <w:color w:val="525866"/>
          <w:sz w:val="22"/>
        </w:rPr>
        <w:t>AJG (June 17): Casualty pricing remains firm and supportive.</w:t>
      </w:r>
      <w:r>
        <w:rPr>
          <w:rFonts w:ascii="Calibri" w:hAnsi="Calibri"/>
          <w:color w:val="525866"/>
          <w:sz w:val="22"/>
        </w:rPr>
        <w:t xml:space="preserve"> AJG reported casualty lines up 5% overall in Q2 (general liability +1%, commercial auto +4%, umbrella +8%), with U.S. retail casualty up 7%. Excess casualty continues to increase. </w:t>
      </w:r>
      <w:r>
        <w:rPr>
          <w:rFonts w:ascii="Calibri" w:hAnsi="Calibri"/>
          <w:b/>
          <w:color w:val="525866"/>
          <w:sz w:val="22"/>
        </w:rPr>
        <w:t xml:space="preserve">Read-through: </w:t>
      </w:r>
      <w:r>
        <w:rPr>
          <w:rFonts w:ascii="Calibri" w:hAnsi="Calibri"/>
          <w:color w:val="525866"/>
          <w:sz w:val="22"/>
        </w:rPr>
        <w:t>Positive for Aon's Commercial Risk casualty book; firm casualty pricing provides a revenue tailwind that partially offsets property rate softness.</w:t>
      </w:r>
    </w:p>
    <w:p>
      <w:pPr>
        <w:pStyle w:val="ListBullet"/>
        <w:ind w:left="360" w:hanging="360"/>
      </w:pPr>
      <w:r>
        <w:rPr>
          <w:rFonts w:ascii="Calibri" w:hAnsi="Calibri"/>
          <w:b/>
          <w:color w:val="525866"/>
          <w:sz w:val="22"/>
        </w:rPr>
        <w:t>MMC (July 21): Consulting/Health demand remains resilient.</w:t>
      </w:r>
      <w:r>
        <w:rPr>
          <w:rFonts w:ascii="Calibri" w:hAnsi="Calibri"/>
          <w:color w:val="525866"/>
          <w:sz w:val="22"/>
        </w:rPr>
        <w:t xml:space="preserve"> Mercer Health grew 3% in Q2 (international health up 8%), and Marsh Management Consulting grew 13% underlying — fastest quarter in over two years. </w:t>
      </w:r>
      <w:r>
        <w:rPr>
          <w:rFonts w:ascii="Calibri" w:hAnsi="Calibri"/>
          <w:b/>
          <w:color w:val="525866"/>
          <w:sz w:val="22"/>
        </w:rPr>
        <w:t xml:space="preserve">Read-through: </w:t>
      </w:r>
      <w:r>
        <w:rPr>
          <w:rFonts w:ascii="Calibri" w:hAnsi="Calibri"/>
          <w:color w:val="525866"/>
          <w:sz w:val="22"/>
        </w:rPr>
        <w:t>Positive for Aon's Health Solutions segment, which grew 4% in Q1 and is expected to continue mid-single-digit growth in Q2 driven by EMEA/APAC health and benefits.</w:t>
      </w:r>
    </w:p>
    <w:p>
      <w:pPr>
        <w:pStyle w:val="ListBullet"/>
        <w:ind w:left="360" w:hanging="360"/>
      </w:pPr>
      <w:r>
        <w:rPr>
          <w:rFonts w:ascii="Calibri" w:hAnsi="Calibri"/>
          <w:b/>
          <w:color w:val="525866"/>
          <w:sz w:val="22"/>
        </w:rPr>
        <w:t>BRO (July 28): Positive audit premium activity signals underlying business growth.</w:t>
      </w:r>
      <w:r>
        <w:rPr>
          <w:rFonts w:ascii="Calibri" w:hAnsi="Calibri"/>
          <w:color w:val="525866"/>
          <w:sz w:val="22"/>
        </w:rPr>
        <w:t xml:space="preserve"> BRO noted "some positive audit premium activity" suggesting many businesses continue to grow, with customer spending patterns "stable overall." </w:t>
      </w:r>
      <w:r>
        <w:rPr>
          <w:rFonts w:ascii="Calibri" w:hAnsi="Calibri"/>
          <w:b/>
          <w:color w:val="525866"/>
          <w:sz w:val="22"/>
        </w:rPr>
        <w:t xml:space="preserve">Read-through: </w:t>
      </w:r>
      <w:r>
        <w:rPr>
          <w:rFonts w:ascii="Calibri" w:hAnsi="Calibri"/>
          <w:color w:val="525866"/>
          <w:sz w:val="22"/>
        </w:rPr>
        <w:t>Supportive of Aon's exposure unit growth assumption (~1 point contribution to organic growth from net market impact).</w:t>
      </w:r>
    </w:p>
    <w:p>
      <w:pPr>
        <w:pStyle w:val="Heading3"/>
      </w:pPr>
      <w:r>
        <w:rPr>
          <w:rFonts w:ascii="Calibri" w:hAnsi="Calibri"/>
          <w:b/>
          <w:color w:val="3B4259"/>
          <w:sz w:val="24"/>
        </w:rPr>
        <w:t>B. Adverse Read-Throughs for AON</w:t>
      </w:r>
    </w:p>
    <w:p>
      <w:pPr>
        <w:pStyle w:val="ListBullet"/>
        <w:ind w:left="360" w:hanging="360"/>
      </w:pPr>
      <w:r>
        <w:rPr>
          <w:rFonts w:ascii="Calibri" w:hAnsi="Calibri"/>
          <w:b/>
          <w:color w:val="525866"/>
          <w:sz w:val="22"/>
        </w:rPr>
        <w:t>BRO (July 28): Organic revenue declined 0.7% in Q2 vs. consensus of +0.5%.</w:t>
      </w:r>
      <w:r>
        <w:rPr>
          <w:rFonts w:ascii="Calibri" w:hAnsi="Calibri"/>
          <w:color w:val="525866"/>
          <w:sz w:val="22"/>
        </w:rPr>
        <w:t xml:space="preserve"> BRO's total organic revenue (excluding contingents) fell 0.7% in Q2, missing consensus by ~120 bps. Specialty distribution organic was -3.5% (ex-contingents), partly due to a $10M revenue timing delay. </w:t>
      </w:r>
      <w:r>
        <w:rPr>
          <w:rFonts w:ascii="Calibri" w:hAnsi="Calibri"/>
          <w:b/>
          <w:color w:val="525866"/>
          <w:sz w:val="22"/>
        </w:rPr>
        <w:t xml:space="preserve">Read-through: </w:t>
      </w:r>
      <w:r>
        <w:rPr>
          <w:rFonts w:ascii="Calibri" w:hAnsi="Calibri"/>
          <w:color w:val="525866"/>
          <w:sz w:val="22"/>
        </w:rPr>
        <w:t>Negative signal for the broader broker organic growth environment; however, BRO's miss was partly idiosyncratic (specialty distribution timing, litigation impact from departing producers). Aon's diversified mix and larger commercial risk book should insulate it from BRO-specific issues.</w:t>
      </w:r>
    </w:p>
    <w:p>
      <w:pPr>
        <w:pStyle w:val="ListBullet"/>
        <w:ind w:left="360" w:hanging="360"/>
      </w:pPr>
      <w:r>
        <w:rPr>
          <w:rFonts w:ascii="Calibri" w:hAnsi="Calibri"/>
          <w:b/>
          <w:color w:val="525866"/>
          <w:sz w:val="22"/>
        </w:rPr>
        <w:t>MMC (July 21): Guy Carpenter property cat rate declines accelerated to -16% at midyear.</w:t>
      </w:r>
      <w:r>
        <w:rPr>
          <w:rFonts w:ascii="Calibri" w:hAnsi="Calibri"/>
          <w:color w:val="525866"/>
          <w:sz w:val="22"/>
        </w:rPr>
        <w:t xml:space="preserve"> MMC's property cat rate online index was down 16% at midyear, accelerating from -12% at January 1 — described as the steepest year-over-year decline in 25 years. Property accounts for 50% of Guy Carpenter's global portfolio. </w:t>
      </w:r>
      <w:r>
        <w:rPr>
          <w:rFonts w:ascii="Calibri" w:hAnsi="Calibri"/>
          <w:b/>
          <w:color w:val="525866"/>
          <w:sz w:val="22"/>
        </w:rPr>
        <w:t xml:space="preserve">Read-through: </w:t>
      </w:r>
      <w:r>
        <w:rPr>
          <w:rFonts w:ascii="Calibri" w:hAnsi="Calibri"/>
          <w:color w:val="525866"/>
          <w:sz w:val="22"/>
        </w:rPr>
        <w:t>Direct negative read-through for Aon's Reinsurance segment. Aon guided 15–20% rate declines at April 1 renewals; MMC's data confirms the pressure is real and may have accelerated. Aon's Reinsurance segment (Q1: +4% organic) faces a tougher Q2 comp.</w:t>
      </w:r>
    </w:p>
    <w:p>
      <w:pPr>
        <w:pStyle w:val="ListBullet"/>
        <w:ind w:left="360" w:hanging="360"/>
      </w:pPr>
      <w:r>
        <w:rPr>
          <w:rFonts w:ascii="Calibri" w:hAnsi="Calibri"/>
          <w:b/>
          <w:color w:val="525866"/>
          <w:sz w:val="22"/>
        </w:rPr>
        <w:t>AJG (June 17): Property rates down 9–11% in Q2 across admitted and E&amp;S markets.</w:t>
      </w:r>
      <w:r>
        <w:rPr>
          <w:rFonts w:ascii="Calibri" w:hAnsi="Calibri"/>
          <w:color w:val="525866"/>
          <w:sz w:val="22"/>
        </w:rPr>
        <w:t xml:space="preserve"> AJG reported property lines down 9% overall in Q2 (U.S. retail property down 11%), with cat property rates continuing to decrease 15–35% (similar to Q1). Large property risks driving most of the downward pressure. </w:t>
      </w:r>
      <w:r>
        <w:rPr>
          <w:rFonts w:ascii="Calibri" w:hAnsi="Calibri"/>
          <w:b/>
          <w:color w:val="525866"/>
          <w:sz w:val="22"/>
        </w:rPr>
        <w:t xml:space="preserve">Read-through: </w:t>
      </w:r>
      <w:r>
        <w:rPr>
          <w:rFonts w:ascii="Calibri" w:hAnsi="Calibri"/>
          <w:color w:val="525866"/>
          <w:sz w:val="22"/>
        </w:rPr>
        <w:t>Confirms property rate headwind is broad-based and not abating; negative for Aon's large-account property book within Commercial Risk, though partially offset by casualty and new business.</w:t>
      </w:r>
    </w:p>
    <w:p>
      <w:pPr>
        <w:pStyle w:val="ListBullet"/>
        <w:ind w:left="360" w:hanging="360"/>
      </w:pPr>
      <w:r>
        <w:rPr>
          <w:rFonts w:ascii="Calibri" w:hAnsi="Calibri"/>
          <w:b/>
          <w:color w:val="525866"/>
          <w:sz w:val="22"/>
        </w:rPr>
        <w:t>BRO (July 28): EBITDA margin contracted 100 bps in Q2.</w:t>
      </w:r>
      <w:r>
        <w:rPr>
          <w:rFonts w:ascii="Calibri" w:hAnsi="Calibri"/>
          <w:color w:val="525866"/>
          <w:sz w:val="22"/>
        </w:rPr>
        <w:t xml:space="preserve"> BRO's adjusted EBITDA margin fell 100 bps to 35.7%, driven primarily by lower interest income (fiduciary income headwind). </w:t>
      </w:r>
      <w:r>
        <w:rPr>
          <w:rFonts w:ascii="Calibri" w:hAnsi="Calibri"/>
          <w:b/>
          <w:color w:val="525866"/>
          <w:sz w:val="22"/>
        </w:rPr>
        <w:t xml:space="preserve">Read-through: </w:t>
      </w:r>
      <w:r>
        <w:rPr>
          <w:rFonts w:ascii="Calibri" w:hAnsi="Calibri"/>
          <w:color w:val="525866"/>
          <w:sz w:val="22"/>
        </w:rPr>
        <w:t>Confirms the fiduciary income headwind is real and sector-wide; Aon guided a ~20 bps fiduciary income drag on FY2026 margins. Q2 fiduciary income for Aon was $55M in Q1 (down 18% YoY) and is expected to remain pressured.</w:t>
      </w:r>
    </w:p>
    <w:p>
      <w:pPr>
        <w:pStyle w:val="Heading3"/>
      </w:pPr>
      <w:r>
        <w:rPr>
          <w:rFonts w:ascii="Calibri" w:hAnsi="Calibri"/>
          <w:b/>
          <w:color w:val="3B4259"/>
          <w:sz w:val="24"/>
        </w:rPr>
        <w:t>C. Mixed / Neutral Read-Throughs for AON</w:t>
      </w:r>
    </w:p>
    <w:p>
      <w:pPr>
        <w:pStyle w:val="ListBullet"/>
        <w:ind w:left="360" w:hanging="360"/>
      </w:pPr>
      <w:r>
        <w:rPr>
          <w:rFonts w:ascii="Calibri" w:hAnsi="Calibri"/>
          <w:b/>
          <w:color w:val="525866"/>
          <w:sz w:val="22"/>
        </w:rPr>
        <w:t>AJG (June 17): M&amp;A pipeline strong but private market valuations not yet fully adjusted.</w:t>
      </w:r>
      <w:r>
        <w:rPr>
          <w:rFonts w:ascii="Calibri" w:hAnsi="Calibri"/>
          <w:color w:val="525866"/>
          <w:sz w:val="22"/>
        </w:rPr>
        <w:t xml:space="preserve"> AJG CFO noted sellers are "coming to grips" that valuations are not as rich as expected, with ~40 term sheets signed or being prepared representing ~$600M of annualized revenue. </w:t>
      </w:r>
      <w:r>
        <w:rPr>
          <w:rFonts w:ascii="Calibri" w:hAnsi="Calibri"/>
          <w:b/>
          <w:color w:val="525866"/>
          <w:sz w:val="22"/>
        </w:rPr>
        <w:t xml:space="preserve">Read-through: </w:t>
      </w:r>
      <w:r>
        <w:rPr>
          <w:rFonts w:ascii="Calibri" w:hAnsi="Calibri"/>
          <w:color w:val="525866"/>
          <w:sz w:val="22"/>
        </w:rPr>
        <w:t>Mixed for Aon — confirms tuck-in M&amp;A opportunity remains attractive (consistent with Aon's $349M Q1 M&amp;A deployment), but also validates Aon's CFO comment at the Morgan Stanley conference that private market valuations haven't fully adjusted, supporting the near-term preference for buybacks over large M&amp;A.</w:t>
      </w:r>
    </w:p>
    <w:p>
      <w:pPr>
        <w:pStyle w:val="ListBullet"/>
        <w:ind w:left="360" w:hanging="360"/>
      </w:pPr>
      <w:r>
        <w:rPr>
          <w:rFonts w:ascii="Calibri" w:hAnsi="Calibri"/>
          <w:b/>
          <w:color w:val="525866"/>
          <w:sz w:val="22"/>
        </w:rPr>
        <w:t>MMC (July 21): AI investment accelerating but near-term margin impact manageable.</w:t>
      </w:r>
      <w:r>
        <w:rPr>
          <w:rFonts w:ascii="Calibri" w:hAnsi="Calibri"/>
          <w:color w:val="525866"/>
          <w:sz w:val="22"/>
        </w:rPr>
        <w:t xml:space="preserve"> MMC's Thrive program on track for $400M total savings; AI tools being deployed across claims, reinsurance, and M&amp;A workflows. No incremental technology spend called out. </w:t>
      </w:r>
      <w:r>
        <w:rPr>
          <w:rFonts w:ascii="Calibri" w:hAnsi="Calibri"/>
          <w:b/>
          <w:color w:val="525866"/>
          <w:sz w:val="22"/>
        </w:rPr>
        <w:t xml:space="preserve">Read-through: </w:t>
      </w:r>
      <w:r>
        <w:rPr>
          <w:rFonts w:ascii="Calibri" w:hAnsi="Calibri"/>
          <w:color w:val="525866"/>
          <w:sz w:val="22"/>
        </w:rPr>
        <w:t>Neutral for Aon — confirms AI investment is sector-wide and not creating a competitive disadvantage; Aon's ABS platform and tiered AI cost framework appear consistent with industry best practice.</w:t>
      </w:r>
    </w:p>
    <w:p>
      <w:pPr>
        <w:pStyle w:val="ListBullet"/>
        <w:ind w:left="360" w:hanging="360"/>
      </w:pPr>
      <w:r>
        <w:rPr>
          <w:rFonts w:ascii="Calibri" w:hAnsi="Calibri"/>
          <w:b/>
          <w:color w:val="525866"/>
          <w:sz w:val="22"/>
        </w:rPr>
        <w:t>BRO (July 28): Competition for talent "very intense."</w:t>
      </w:r>
      <w:r>
        <w:rPr>
          <w:rFonts w:ascii="Calibri" w:hAnsi="Calibri"/>
          <w:color w:val="525866"/>
          <w:sz w:val="22"/>
        </w:rPr>
        <w:t xml:space="preserve"> BRO noted intense competition for talent and disclosed a $50–60M full-year revenue impact from producers who departed to a startup broker. </w:t>
      </w:r>
      <w:r>
        <w:rPr>
          <w:rFonts w:ascii="Calibri" w:hAnsi="Calibri"/>
          <w:b/>
          <w:color w:val="525866"/>
          <w:sz w:val="22"/>
        </w:rPr>
        <w:t xml:space="preserve">Read-through: </w:t>
      </w:r>
      <w:r>
        <w:rPr>
          <w:rFonts w:ascii="Calibri" w:hAnsi="Calibri"/>
          <w:color w:val="525866"/>
          <w:sz w:val="22"/>
        </w:rPr>
        <w:t>Mixed for Aon — confirms the talent market remains competitive (a known risk for Aon's 4–8% revenue-generating headcount growth target), but Aon's ABS platform and Aon Client Leadership program are positioned as talent retention differentiators. No evidence of Aon-specific talent disruption.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limited to a single 10b5-1 planned sale by the General Counsel — a routine, pre-scheduled transaction with no directional signal. No open-market buys or discretionary sales were filed. The absence of discretionary selling ahead of earnings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Darren Zeidel</w:t>
            </w:r>
          </w:p>
        </w:tc>
        <w:tc>
          <w:tcPr>
            <w:tcW w:type="dxa" w:w="1440"/>
          </w:tcPr>
          <w:p>
            <w:r>
              <w:rPr>
                <w:rFonts w:ascii="Calibri" w:hAnsi="Calibri"/>
                <w:sz w:val="22"/>
              </w:rPr>
              <w:t>General Counsel</w:t>
            </w:r>
          </w:p>
        </w:tc>
        <w:tc>
          <w:tcPr>
            <w:tcW w:type="dxa" w:w="1440"/>
          </w:tcPr>
          <w:p>
            <w:r>
              <w:rPr>
                <w:rFonts w:ascii="Calibri" w:hAnsi="Calibri"/>
                <w:sz w:val="22"/>
              </w:rPr>
              <w:t>10b5-1 Planned Sale</w:t>
            </w:r>
          </w:p>
        </w:tc>
        <w:tc>
          <w:tcPr>
            <w:tcW w:type="dxa" w:w="1440"/>
          </w:tcPr>
          <w:p>
            <w:r>
              <w:rPr>
                <w:rFonts w:ascii="Calibri" w:hAnsi="Calibri"/>
                <w:sz w:val="22"/>
              </w:rPr>
              <w:t>600 shares / ~$717,750 (Form 144 filed July 28, 2026)</w:t>
            </w:r>
          </w:p>
        </w:tc>
        <w:tc>
          <w:tcPr>
            <w:tcW w:type="dxa" w:w="1440"/>
          </w:tcPr>
          <w:p>
            <w:r>
              <w:rPr>
                <w:rFonts w:ascii="Calibri" w:hAnsi="Calibri"/>
                <w:sz w:val="22"/>
              </w:rPr>
              <w:t>July 7, 2026</w:t>
            </w:r>
          </w:p>
        </w:tc>
        <w:tc>
          <w:tcPr>
            <w:tcW w:type="dxa" w:w="1440"/>
          </w:tcPr>
          <w:p>
            <w:r>
              <w:rPr>
                <w:rFonts w:ascii="Calibri" w:hAnsi="Calibri"/>
                <w:sz w:val="22"/>
              </w:rPr>
              <w:t>Pre-scheduled 10b5-1 plan sale; not discretionary. Second Form 144 filing by Zeidel in July (prior filing July 17 for ~$725,500). Routine in nature; no directional signal.</w:t>
            </w:r>
          </w:p>
        </w:tc>
      </w:tr>
    </w:tbl>
    <w:p>
      <w:r>
        <w:rPr>
          <w:rFonts w:ascii="Calibri" w:hAnsi="Calibri"/>
          <w:color w:val="525866"/>
          <w:sz w:val="22"/>
        </w:rPr>
        <w:t>Source: SEC Form 4 and Form 144 filings. Open-market buys and sells (Form 4 codes P/S) and 10b5-1 plan initiations only. No open-market buys or discretionary sales were filed by any AON insider in the 60 days since Q1 earnings (May 1 – July 28, 2026).</w:t>
      </w:r>
    </w:p>
    <w:p>
      <w:r>
        <w:br w:type="page"/>
      </w:r>
    </w:p>
    <w:p>
      <w:pPr>
        <w:pStyle w:val="Heading2"/>
      </w:pPr>
      <w:r>
        <w:rPr>
          <w:rFonts w:ascii="Calibri" w:hAnsi="Calibri"/>
          <w:b/>
          <w:color w:val="3B4259"/>
          <w:sz w:val="28"/>
        </w:rPr>
        <w:t>9. Key Risks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Reinsurance rate acceleration.</w:t>
      </w:r>
      <w:r>
        <w:rPr>
          <w:rFonts w:ascii="Calibri" w:hAnsi="Calibri"/>
          <w:color w:val="525866"/>
          <w:sz w:val="22"/>
        </w:rPr>
        <w:t xml:space="preserve"> MMC's data shows property cat rate declines accelerated to -16% at midyear (steepest in 25 years). If Aon's Reinsurance segment organic growth decelerates sharply below the Q1 +4% level, it could drag total organic below the 5% consensus floor and trigger guidance concern.</w:t>
      </w:r>
    </w:p>
    <w:p>
      <w:pPr>
        <w:pStyle w:val="ListBullet"/>
        <w:ind w:left="360" w:hanging="360"/>
      </w:pPr>
      <w:r>
        <w:rPr>
          <w:rFonts w:ascii="Calibri" w:hAnsi="Calibri"/>
          <w:b/>
          <w:color w:val="525866"/>
          <w:sz w:val="22"/>
        </w:rPr>
        <w:t>Commercial Risk property headwind.</w:t>
      </w:r>
      <w:r>
        <w:rPr>
          <w:rFonts w:ascii="Calibri" w:hAnsi="Calibri"/>
          <w:color w:val="525866"/>
          <w:sz w:val="22"/>
        </w:rPr>
        <w:t xml:space="preserve"> Large property rates are down 9–15% across the market (AJG, BRO, MMC all confirm). If property rate declines accelerate or exposure unit growth disappoints, Commercial Risk organic could slip below the 6%+ streak, breaking a four-quarter pattern the market has priced in.</w:t>
      </w:r>
    </w:p>
    <w:p>
      <w:pPr>
        <w:pStyle w:val="ListBullet"/>
        <w:ind w:left="360" w:hanging="360"/>
      </w:pPr>
      <w:r>
        <w:rPr>
          <w:rFonts w:ascii="Calibri" w:hAnsi="Calibri"/>
          <w:b/>
          <w:color w:val="525866"/>
          <w:sz w:val="22"/>
        </w:rPr>
        <w:t>Fiduciary income drag.</w:t>
      </w:r>
      <w:r>
        <w:rPr>
          <w:rFonts w:ascii="Calibri" w:hAnsi="Calibri"/>
          <w:color w:val="525866"/>
          <w:sz w:val="22"/>
        </w:rPr>
        <w:t xml:space="preserve"> Q1 fiduciary income was $55M, down 18% YoY. With interest rates declining, this headwind is structural for 2026 and could pressure margins beyond the guided 20 bps impact if rates fall faster than expected.</w:t>
      </w:r>
    </w:p>
    <w:p>
      <w:pPr>
        <w:pStyle w:val="ListBullet"/>
        <w:ind w:left="360" w:hanging="360"/>
      </w:pPr>
      <w:r>
        <w:rPr>
          <w:rFonts w:ascii="Calibri" w:hAnsi="Calibri"/>
          <w:b/>
          <w:color w:val="525866"/>
          <w:sz w:val="22"/>
        </w:rPr>
        <w:t>Talent competition.</w:t>
      </w:r>
      <w:r>
        <w:rPr>
          <w:rFonts w:ascii="Calibri" w:hAnsi="Calibri"/>
          <w:color w:val="525866"/>
          <w:sz w:val="22"/>
        </w:rPr>
        <w:t xml:space="preserve"> BRO disclosed a $50–60M revenue impact from producer departures to a startup broker. While Aon has not disclosed similar disruption, the talent market is described as "very intense" by all peers. Any unexpected attrition in revenue-generating headcount could impair the 4–8% growth target.</w:t>
      </w:r>
    </w:p>
    <w:p>
      <w:pPr>
        <w:pStyle w:val="ListBullet"/>
        <w:ind w:left="360" w:hanging="360"/>
      </w:pPr>
      <w:r>
        <w:rPr>
          <w:rFonts w:ascii="Calibri" w:hAnsi="Calibri"/>
          <w:b/>
          <w:color w:val="525866"/>
          <w:sz w:val="22"/>
        </w:rPr>
        <w:t>Shareholder governance overhang.</w:t>
      </w:r>
      <w:r>
        <w:rPr>
          <w:rFonts w:ascii="Calibri" w:hAnsi="Calibri"/>
          <w:color w:val="525866"/>
          <w:sz w:val="22"/>
        </w:rPr>
        <w:t xml:space="preserve"> The 61% vote against executive compensation at the June 26 Annual Meeting is a governance red flag. If management does not engage constructively with shareholders on compensation, it could attract activist attention or proxy advisory firm downgrades.</w:t>
      </w:r>
    </w:p>
    <w:p>
      <w:pPr>
        <w:pStyle w:val="ListBullet"/>
        <w:ind w:left="360" w:hanging="360"/>
      </w:pPr>
      <w:r>
        <w:rPr>
          <w:rFonts w:ascii="Calibri" w:hAnsi="Calibri"/>
          <w:b/>
          <w:color w:val="525866"/>
          <w:sz w:val="22"/>
        </w:rPr>
        <w:t>Multiple compression risk.</w:t>
      </w:r>
      <w:r>
        <w:rPr>
          <w:rFonts w:ascii="Calibri" w:hAnsi="Calibri"/>
          <w:color w:val="525866"/>
          <w:sz w:val="22"/>
        </w:rPr>
        <w:t xml:space="preserve"> AON's NTM EV/EBITDA has re-rated from ~12.8x to ~14.4x in the past month. If Q2 results disappoint on organic growth or the data center pipeline narrative loses momentum, the stock could give back a meaningful portion of the recent re-rating.</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Data center pipeline conversion.</w:t>
      </w:r>
      <w:r>
        <w:rPr>
          <w:rFonts w:ascii="Calibri" w:hAnsi="Calibri"/>
          <w:color w:val="525866"/>
          <w:sz w:val="22"/>
        </w:rPr>
        <w:t xml:space="preserve"> Management described the data center revenue pipeline as tracking 3x higher than last year. Any incremental disclosure on conversion timing, new client wins, or capacity expansion beyond the $3.5B DCLP facility could be a significant positive catalyst.</w:t>
      </w:r>
    </w:p>
    <w:p>
      <w:pPr>
        <w:pStyle w:val="ListBullet"/>
        <w:ind w:left="360" w:hanging="360"/>
      </w:pPr>
      <w:r>
        <w:rPr>
          <w:rFonts w:ascii="Calibri" w:hAnsi="Calibri"/>
          <w:b/>
          <w:color w:val="525866"/>
          <w:sz w:val="22"/>
        </w:rPr>
        <w:t>Buyback execution above $1B guidance.</w:t>
      </w:r>
      <w:r>
        <w:rPr>
          <w:rFonts w:ascii="Calibri" w:hAnsi="Calibri"/>
          <w:color w:val="525866"/>
          <w:sz w:val="22"/>
        </w:rPr>
        <w:t xml:space="preserve"> With $8.3B of buyback capacity and management characterizing the stock as trading at a compelling discount to intrinsic value, Q2 repurchase activity could significantly exceed the $500M Q1 pace, providing EPS accretion beyond current consensus.</w:t>
      </w:r>
    </w:p>
    <w:p>
      <w:pPr>
        <w:pStyle w:val="ListBullet"/>
        <w:ind w:left="360" w:hanging="360"/>
      </w:pPr>
      <w:r>
        <w:rPr>
          <w:rFonts w:ascii="Calibri" w:hAnsi="Calibri"/>
          <w:b/>
          <w:color w:val="525866"/>
          <w:sz w:val="22"/>
        </w:rPr>
        <w:t>NFP synergy upside.</w:t>
      </w:r>
      <w:r>
        <w:rPr>
          <w:rFonts w:ascii="Calibri" w:hAnsi="Calibri"/>
          <w:color w:val="525866"/>
          <w:sz w:val="22"/>
        </w:rPr>
        <w:t xml:space="preserve"> NFP savings target was raised from $350M to $450M and the ABS integration timeline was accelerated. Any further upgrade to synergy targets or evidence of middle market revenue acceleration would be a positive surprise.</w:t>
      </w:r>
    </w:p>
    <w:p>
      <w:pPr>
        <w:pStyle w:val="ListBullet"/>
        <w:ind w:left="360" w:hanging="360"/>
      </w:pPr>
      <w:r>
        <w:rPr>
          <w:rFonts w:ascii="Calibri" w:hAnsi="Calibri"/>
          <w:b/>
          <w:color w:val="525866"/>
          <w:sz w:val="22"/>
        </w:rPr>
        <w:t>Casualty pricing durability.</w:t>
      </w:r>
      <w:r>
        <w:rPr>
          <w:rFonts w:ascii="Calibri" w:hAnsi="Calibri"/>
          <w:color w:val="525866"/>
          <w:sz w:val="22"/>
        </w:rPr>
        <w:t xml:space="preserve"> If excess casualty rates (up 15% per MMC) remain elevated longer than expected, Aon's Commercial Risk casualty book could outperform, partially offsetting property headwinds and driving organic growth above the 5% consensus.</w:t>
      </w:r>
    </w:p>
    <w:p>
      <w:pPr>
        <w:pStyle w:val="ListBullet"/>
        <w:ind w:left="360" w:hanging="360"/>
      </w:pPr>
      <w:r>
        <w:rPr>
          <w:rFonts w:ascii="Calibri" w:hAnsi="Calibri"/>
          <w:b/>
          <w:color w:val="525866"/>
          <w:sz w:val="22"/>
        </w:rPr>
        <w:t>Post-3x3 Plan strategic clarity.</w:t>
      </w:r>
      <w:r>
        <w:rPr>
          <w:rFonts w:ascii="Calibri" w:hAnsi="Calibri"/>
          <w:color w:val="525866"/>
          <w:sz w:val="22"/>
        </w:rPr>
        <w:t xml:space="preserve"> Management has framed the post-3x3 transition as "an evolution, not a reset." Any incremental detail on the next multi-year framework — including new organic growth or margin targets — could re-rate the stock further.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