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AOS (A.O. Smith Corporation) before writing the preview. Let me start by gathering recent documents and data.Let me read the most recent earnings materials and gather price data.Let me get stock price performance and recent news/analyst expectations.Let me get last year's Q2 comparison figures and check analyst consensus.# A. O. Smith (AOS) — Q2 2026 Earnings Preview</w:t>
      </w:r>
      <w:r>
        <w:t xml:space="preserve"> </w:t>
      </w:r>
      <w:r>
        <w:rPr>
          <w:i/>
          <w:iCs/>
        </w:rPr>
        <w:t xml:space="preserve">Report expected: Thursday, July 30, 2026 (before open); conference call 10:00 a.m. ET</w:t>
      </w:r>
    </w:p>
    <w:bookmarkStart w:id="9" w:name="the-setup"/>
    <w:p>
      <w:pPr>
        <w:pStyle w:val="Heading2"/>
      </w:pPr>
      <w:r>
        <w:t xml:space="preserve">The Setup</w:t>
      </w:r>
    </w:p>
    <w:p>
      <w:pPr>
        <w:pStyle w:val="FirstParagraph"/>
      </w:pPr>
      <w:r>
        <w:t xml:space="preserve">A. O. Smith heads into Q2 as a "show-me" story. The stock has de-rated meaningfully over the past year — from a February 2026 high around $80 to roughly $62 today, with a 52-week range of about</w:t>
      </w:r>
      <w:r>
        <w:t xml:space="preserve"> </w:t>
      </w:r>
      <m:oMath>
        <m:r>
          <m:t>60</m:t>
        </m:r>
        <m:r>
          <m:rPr>
            <m:sty m:val="p"/>
          </m:rPr>
          <m:t>–</m:t>
        </m:r>
      </m:oMath>
      <w:r>
        <w:t xml:space="preserve">82 — after management</w:t>
      </w:r>
      <w:r>
        <w:t xml:space="preserve"> </w:t>
      </w:r>
      <w:r>
        <w:rPr>
          <w:b/>
          <w:bCs/>
        </w:rPr>
        <w:t xml:space="preserve">lowered full-year guidance twice</w:t>
      </w:r>
      <w:r>
        <w:t xml:space="preserve"> </w:t>
      </w:r>
      <w:r>
        <w:t xml:space="preserve">and flagged persistent weakness in China. Sentiment is mixed-to-cautious: the sell-side is roughly split between hold and buy/sell ratings, and consensus full-year EPS has drifted down toward ~$3.78.</w:t>
      </w:r>
    </w:p>
    <w:p>
      <w:pPr>
        <w:pStyle w:val="BodyText"/>
      </w:pPr>
      <w:r>
        <w:t xml:space="preserve">Notably, the stock has bounced ~10% off its late-July lows into the print (from ~</w:t>
      </w:r>
      <m:oMath>
        <m:r>
          <m:t>58.8</m:t>
        </m:r>
        <m:r>
          <m:t>o</m:t>
        </m:r>
        <m:r>
          <m:t>n</m:t>
        </m:r>
        <m:r>
          <m:t>7</m:t>
        </m:r>
        <m:r>
          <m:rPr>
            <m:sty m:val="p"/>
          </m:rPr>
          <m:t>/</m:t>
        </m:r>
        <m:r>
          <m:t>21</m:t>
        </m:r>
        <m:r>
          <m:t>t</m:t>
        </m:r>
        <m:r>
          <m:t>o</m:t>
        </m:r>
        <m:r>
          <m:t> </m:t>
        </m:r>
      </m:oMath>
      <w:r>
        <w:t xml:space="preserve">62–64), so expectations have firmed somewhat but the setup remains defensive.</w:t>
      </w:r>
    </w:p>
    <w:bookmarkEnd w:id="9"/>
    <w:bookmarkStart w:id="10" w:name="consensus-expectations-for-q2-2026"/>
    <w:p>
      <w:pPr>
        <w:pStyle w:val="Heading2"/>
      </w:pPr>
      <w:r>
        <w:t xml:space="preserve">Consensus Expectations for Q2 2026</w:t>
      </w:r>
    </w:p>
    <w:p>
      <w:pPr>
        <w:pStyle w:val="Compact"/>
        <w:numPr>
          <w:ilvl w:val="0"/>
          <w:numId w:val="1001"/>
        </w:numPr>
      </w:pPr>
      <w:r>
        <w:rPr>
          <w:b/>
          <w:bCs/>
        </w:rPr>
        <w:t xml:space="preserve">Adjusted EPS: ~$0.99</w:t>
      </w:r>
      <w:r>
        <w:t xml:space="preserve"> </w:t>
      </w:r>
      <w:r>
        <w:t xml:space="preserve">(Street), down ~7.5% from the year-ago $1.07</w:t>
      </w:r>
    </w:p>
    <w:p>
      <w:pPr>
        <w:pStyle w:val="Compact"/>
        <w:numPr>
          <w:ilvl w:val="0"/>
          <w:numId w:val="1001"/>
        </w:numPr>
      </w:pPr>
      <w:r>
        <w:rPr>
          <w:b/>
          <w:bCs/>
        </w:rPr>
        <w:t xml:space="preserve">Revenue: ~$990M</w:t>
      </w:r>
      <w:r>
        <w:t xml:space="preserve">, down ~2% YoY</w:t>
      </w:r>
    </w:p>
    <w:p>
      <w:pPr>
        <w:pStyle w:val="Compact"/>
        <w:numPr>
          <w:ilvl w:val="0"/>
          <w:numId w:val="1001"/>
        </w:numPr>
      </w:pPr>
      <w:r>
        <w:t xml:space="preserve">Management's own framing on the Q1 call was that</w:t>
      </w:r>
      <w:r>
        <w:t xml:space="preserve"> </w:t>
      </w:r>
      <w:r>
        <w:rPr>
          <w:b/>
          <w:bCs/>
        </w:rPr>
        <w:t xml:space="preserve">Q2 EPS should be ~25% of the full-year midpoint</w:t>
      </w:r>
      <w:r>
        <w:t xml:space="preserve"> </w:t>
      </w:r>
      <w:r>
        <w:t xml:space="preserve">(~$0.96 on the $3.85 adjusted midpoint), aided by some pricing pull-forward</w:t>
      </w:r>
    </w:p>
    <w:p>
      <w:pPr>
        <w:pStyle w:val="FirstParagraph"/>
      </w:pPr>
      <w:r>
        <w:rPr>
          <w:b/>
          <w:bCs/>
        </w:rPr>
        <w:t xml:space="preserve">Year-ago (Q2 2025) benchmarks to compare against:</w:t>
      </w:r>
      <w:r>
        <w:t xml:space="preserve"> </w:t>
      </w:r>
      <w:r>
        <w:t xml:space="preserve">| Metric | Q2 2025 |</w:t>
      </w:r>
      <w:r>
        <w:t xml:space="preserve"> </w:t>
      </w:r>
      <w:r>
        <w:t xml:space="preserve">|---|---|</w:t>
      </w:r>
      <w:r>
        <w:t xml:space="preserve"> </w:t>
      </w:r>
      <w:r>
        <w:t xml:space="preserve">| Net sales | $1,011.3M |</w:t>
      </w:r>
      <w:r>
        <w:t xml:space="preserve"> </w:t>
      </w:r>
      <w:r>
        <w:t xml:space="preserve">| Diluted EPS | $1.07 |</w:t>
      </w:r>
      <w:r>
        <w:t xml:space="preserve"> </w:t>
      </w:r>
      <w:r>
        <w:t xml:space="preserve">| North America sales / margin | $779.0M / 25.4% |</w:t>
      </w:r>
      <w:r>
        <w:t xml:space="preserve"> </w:t>
      </w:r>
      <w:r>
        <w:t xml:space="preserve">| Rest of World sales / margin | $240.1M / 10.5% |</w:t>
      </w:r>
    </w:p>
    <w:p>
      <w:pPr>
        <w:pStyle w:val="BodyText"/>
      </w:pPr>
      <w:r>
        <w:rPr>
          <w:b/>
          <w:bCs/>
        </w:rPr>
        <w:t xml:space="preserve">Important optics wrinkle:</w:t>
      </w:r>
      <w:r>
        <w:t xml:space="preserve"> </w:t>
      </w:r>
      <w:r>
        <w:t xml:space="preserve">Q2 will carry the</w:t>
      </w:r>
      <w:r>
        <w:t xml:space="preserve"> </w:t>
      </w:r>
      <w:r>
        <w:rPr>
          <w:b/>
          <w:bCs/>
        </w:rPr>
        <w:t xml:space="preserve">~</w:t>
      </w:r>
      <m:oMath>
        <m:r>
          <m:t>20</m:t>
        </m:r>
        <m:r>
          <m:t>M</m:t>
        </m:r>
        <m:r>
          <m:rPr>
            <m:sty m:val="p"/>
          </m:rPr>
          <m:t>(</m:t>
        </m:r>
      </m:oMath>
      <w:r>
        <w:rPr>
          <w:b/>
          <w:bCs/>
        </w:rPr>
        <w:t xml:space="preserve">0.10/share) North America water treatment restructuring/impairment charge</w:t>
      </w:r>
      <w:r>
        <w:t xml:space="preserve">, so reported GAAP EPS will land below adjusted. Make sure to compare adjusted-to-adjusted.</w:t>
      </w:r>
    </w:p>
    <w:bookmarkEnd w:id="10"/>
    <w:bookmarkStart w:id="11" w:name="X1708cc7ef5e775d47347fc4da04092053552dcd"/>
    <w:p>
      <w:pPr>
        <w:pStyle w:val="Heading2"/>
      </w:pPr>
      <w:r>
        <w:t xml:space="preserve">Full-Year Guidance Going In (set on the Q1 call, April 30)</w:t>
      </w:r>
    </w:p>
    <w:p>
      <w:pPr>
        <w:pStyle w:val="Compact"/>
        <w:numPr>
          <w:ilvl w:val="0"/>
          <w:numId w:val="1002"/>
        </w:numPr>
      </w:pPr>
      <w:r>
        <w:rPr>
          <w:b/>
          <w:bCs/>
        </w:rPr>
        <w:t xml:space="preserve">Sales growth: +2% to +4%</w:t>
      </w:r>
      <w:r>
        <w:t xml:space="preserve"> </w:t>
      </w:r>
      <w:r>
        <w:t xml:space="preserve">(</w:t>
      </w:r>
      <m:oMath>
        <m:r>
          <m:t>3.90</m:t>
        </m:r>
        <m:r>
          <m:rPr>
            <m:sty m:val="p"/>
          </m:rPr>
          <m:t>–</m:t>
        </m:r>
      </m:oMath>
      <w:r>
        <w:t xml:space="preserve">4.00B)</w:t>
      </w:r>
    </w:p>
    <w:p>
      <w:pPr>
        <w:pStyle w:val="Compact"/>
        <w:numPr>
          <w:ilvl w:val="0"/>
          <w:numId w:val="1002"/>
        </w:numPr>
      </w:pPr>
      <w:r>
        <w:rPr>
          <w:b/>
          <w:bCs/>
        </w:rPr>
        <w:t xml:space="preserve">Adjusted EPS:</w:t>
      </w:r>
      <w:r>
        <w:rPr>
          <w:b/>
          <w:bCs/>
        </w:rPr>
        <w:t xml:space="preserve"> </w:t>
      </w:r>
      <m:oMath>
        <m:r>
          <m:t>3.70</m:t>
        </m:r>
        <m:r>
          <m:rPr>
            <m:sty m:val="p"/>
          </m:rPr>
          <m:t>–</m:t>
        </m:r>
      </m:oMath>
      <w:r>
        <w:rPr>
          <w:b/>
          <w:bCs/>
        </w:rPr>
        <w:t xml:space="preserve">4.00</w:t>
      </w:r>
      <w:r>
        <w:t xml:space="preserve"> </w:t>
      </w:r>
      <w:r>
        <w:t xml:space="preserve">(GAAP</w:t>
      </w:r>
      <w:r>
        <w:t xml:space="preserve"> </w:t>
      </w:r>
      <m:oMath>
        <m:r>
          <m:t>3.60</m:t>
        </m:r>
        <m:r>
          <m:rPr>
            <m:sty m:val="p"/>
          </m:rPr>
          <m:t>–</m:t>
        </m:r>
      </m:oMath>
      <w:r>
        <w:t xml:space="preserve">3.90)</w:t>
      </w:r>
    </w:p>
    <w:p>
      <w:pPr>
        <w:pStyle w:val="Compact"/>
        <w:numPr>
          <w:ilvl w:val="0"/>
          <w:numId w:val="1002"/>
        </w:numPr>
      </w:pPr>
      <w:r>
        <w:t xml:space="preserve">North America segment margin ~24%; Rest of World margin 6–7%</w:t>
      </w:r>
    </w:p>
    <w:p>
      <w:pPr>
        <w:pStyle w:val="Compact"/>
        <w:numPr>
          <w:ilvl w:val="0"/>
          <w:numId w:val="1002"/>
        </w:numPr>
      </w:pPr>
      <w:r>
        <w:t xml:space="preserve">Free cash flow $525–575M; $200M of buybacks planned for 2026; $0.36 quarterly dividend</w:t>
      </w:r>
    </w:p>
    <w:p>
      <w:pPr>
        <w:pStyle w:val="Compact"/>
        <w:numPr>
          <w:ilvl w:val="0"/>
          <w:numId w:val="1002"/>
        </w:numPr>
      </w:pPr>
      <w:r>
        <w:t xml:space="preserve">Steel cost assumption raised to</w:t>
      </w:r>
      <w:r>
        <w:t xml:space="preserve"> </w:t>
      </w:r>
      <w:r>
        <w:rPr>
          <w:b/>
          <w:bCs/>
        </w:rPr>
        <w:t xml:space="preserve">+~15% YoY</w:t>
      </w:r>
      <w:r>
        <w:t xml:space="preserve">; freight/non-steel/tariffs adding ~3% to total COGS</w:t>
      </w:r>
    </w:p>
    <w:bookmarkEnd w:id="11"/>
    <w:bookmarkStart w:id="12" w:name="key-debates--what-to-watch"/>
    <w:p>
      <w:pPr>
        <w:pStyle w:val="Heading2"/>
      </w:pPr>
      <w:r>
        <w:t xml:space="preserve">Key Debates &amp; What to Watch</w:t>
      </w:r>
    </w:p>
    <w:p>
      <w:pPr>
        <w:pStyle w:val="FirstParagraph"/>
      </w:pPr>
      <w:r>
        <w:rPr>
          <w:b/>
          <w:bCs/>
        </w:rPr>
        <w:t xml:space="preserve">1. China — the swing factor and the overhang.</w:t>
      </w:r>
      <w:r>
        <w:t xml:space="preserve"> </w:t>
      </w:r>
      <w:r>
        <w:t xml:space="preserve">This is the single most important item. Management guided</w:t>
      </w:r>
      <w:r>
        <w:t xml:space="preserve"> </w:t>
      </w:r>
      <w:r>
        <w:rPr>
          <w:b/>
          <w:bCs/>
        </w:rPr>
        <w:t xml:space="preserve">China Q2 sales down ~15% vs. Q1</w:t>
      </w:r>
      <w:r>
        <w:t xml:space="preserve"> </w:t>
      </w:r>
      <w:r>
        <w:t xml:space="preserve">with steep</w:t>
      </w:r>
      <w:r>
        <w:t xml:space="preserve"> </w:t>
      </w:r>
      <w:r>
        <w:rPr>
          <w:b/>
          <w:bCs/>
        </w:rPr>
        <w:t xml:space="preserve">35–40% decremental margins</w:t>
      </w:r>
      <w:r>
        <w:t xml:space="preserve"> </w:t>
      </w:r>
      <w:r>
        <w:t xml:space="preserve">as they deliberately lean out channel inventory. Watch for: (a) whether the sequential step-down matched guidance, (b) any signs of stabilization/market share, and (c) — most importantly — an</w:t>
      </w:r>
      <w:r>
        <w:t xml:space="preserve"> </w:t>
      </w:r>
      <w:r>
        <w:rPr>
          <w:b/>
          <w:bCs/>
        </w:rPr>
        <w:t xml:space="preserve">update on the strategic assessment</w:t>
      </w:r>
      <w:r>
        <w:t xml:space="preserve"> </w:t>
      </w:r>
      <w:r>
        <w:t xml:space="preserve">(partnership/alternatives). Management has repeatedly promised clarity "in the coming months"; the assessment has dragged, and the CEO has signaled it won't involve long-term cuts. Any concrete announcement would be a catalyst either way. Note guidance explicitly</w:t>
      </w:r>
      <w:r>
        <w:t xml:space="preserve"> </w:t>
      </w:r>
      <w:r>
        <w:rPr>
          <w:i/>
          <w:iCs/>
        </w:rPr>
        <w:t xml:space="preserve">excludes</w:t>
      </w:r>
      <w:r>
        <w:t xml:space="preserve"> </w:t>
      </w:r>
      <w:r>
        <w:t xml:space="preserve">any outcome of this assessment.</w:t>
      </w:r>
    </w:p>
    <w:p>
      <w:pPr>
        <w:pStyle w:val="BodyText"/>
      </w:pPr>
      <w:r>
        <w:rPr>
          <w:b/>
          <w:bCs/>
        </w:rPr>
        <w:t xml:space="preserve">2. North America price/cost cadence.</w:t>
      </w:r>
      <w:r>
        <w:t xml:space="preserve"> </w:t>
      </w:r>
      <w:r>
        <w:t xml:space="preserve">Q2 is the trough quarter for price/cost: input inflation (steel, diesel/freight) is hitting</w:t>
      </w:r>
      <w:r>
        <w:t xml:space="preserve"> </w:t>
      </w:r>
      <w:r>
        <w:rPr>
          <w:i/>
          <w:iCs/>
        </w:rPr>
        <w:t xml:space="preserve">before</w:t>
      </w:r>
      <w:r>
        <w:t xml:space="preserve"> </w:t>
      </w:r>
      <w:r>
        <w:t xml:space="preserve">the announced</w:t>
      </w:r>
      <w:r>
        <w:t xml:space="preserve"> </w:t>
      </w:r>
      <w:r>
        <w:rPr>
          <w:b/>
          <w:bCs/>
        </w:rPr>
        <w:t xml:space="preserve">4–7% water heater/boiler price increases</w:t>
      </w:r>
      <w:r>
        <w:t xml:space="preserve"> </w:t>
      </w:r>
      <w:r>
        <w:t xml:space="preserve">(effective mid-May) fully flow through in Q3. Expect some margin pressure in the quarter. Watch commentary on: realization/acceptance of the price increases, competitor pricing behavior, and whether there was any pre-increase pull-forward benefit.</w:t>
      </w:r>
    </w:p>
    <w:p>
      <w:pPr>
        <w:pStyle w:val="BodyText"/>
      </w:pPr>
      <w:r>
        <w:rPr>
          <w:b/>
          <w:bCs/>
        </w:rPr>
        <w:t xml:space="preserve">3. Residential water heater demand &amp; channel.</w:t>
      </w:r>
      <w:r>
        <w:t xml:space="preserve"> </w:t>
      </w:r>
      <w:r>
        <w:t xml:space="preserve">Q1 was hurt by softer-than-expected residential demand plus weather disruption at the Ashland City, TN plant (~$0.04 headwind). Management expected a modest weather catch-up in Q2. Key questions: is the wholesale-channel share stabilization holding, how are channel inventories, and any change to the "flat-to-down industry shipments" view for 2026.</w:t>
      </w:r>
    </w:p>
    <w:p>
      <w:pPr>
        <w:pStyle w:val="BodyText"/>
      </w:pPr>
      <w:r>
        <w:rPr>
          <w:b/>
          <w:bCs/>
        </w:rPr>
        <w:t xml:space="preserve">4. DOE commercial regulation delay.</w:t>
      </w:r>
      <w:r>
        <w:t xml:space="preserve"> </w:t>
      </w:r>
      <w:r>
        <w:t xml:space="preserve">The DOE issued a one-year enforcement delay (to Oct 2027) of the Oct 6 commercial efficiency rule, which led AOS to</w:t>
      </w:r>
      <w:r>
        <w:t xml:space="preserve"> </w:t>
      </w:r>
      <w:r>
        <w:rPr>
          <w:b/>
          <w:bCs/>
        </w:rPr>
        <w:t xml:space="preserve">cut its 2026 commercial pre-buy assumption to flat volumes</w:t>
      </w:r>
      <w:r>
        <w:t xml:space="preserve">. Watch for any updated read on commercial order patterns and how the pre-buy is now expected to phase.</w:t>
      </w:r>
    </w:p>
    <w:p>
      <w:pPr>
        <w:pStyle w:val="BodyText"/>
      </w:pPr>
      <w:r>
        <w:rPr>
          <w:b/>
          <w:bCs/>
        </w:rPr>
        <w:t xml:space="preserve">5. Water treatment reset.</w:t>
      </w:r>
      <w:r>
        <w:t xml:space="preserve"> </w:t>
      </w:r>
      <w:r>
        <w:t xml:space="preserve">The ~$250M platform is undergoing footprint optimization/brand rationalization (the</w:t>
      </w:r>
      <w:r>
        <w:t xml:space="preserve"> </w:t>
      </w:r>
      <m:oMath>
        <m:r>
          <m:t>20</m:t>
        </m:r>
        <m:r>
          <m:t>M</m:t>
        </m:r>
        <m:r>
          <m:t>Q</m:t>
        </m:r>
        <m:r>
          <m:t>2</m:t>
        </m:r>
        <m:r>
          <m:t>c</m:t>
        </m:r>
        <m:r>
          <m:t>h</m:t>
        </m:r>
        <m:r>
          <m:t>a</m:t>
        </m:r>
        <m:r>
          <m:t>r</m:t>
        </m:r>
        <m:r>
          <m:t>g</m:t>
        </m:r>
        <m:r>
          <m:t>e</m:t>
        </m:r>
        <m:r>
          <m:rPr>
            <m:sty m:val="p"/>
          </m:rPr>
          <m:t>)</m:t>
        </m:r>
        <m:r>
          <m:rPr>
            <m:sty m:val="p"/>
          </m:rPr>
          <m:t>,</m:t>
        </m:r>
        <m:r>
          <m:t>t</m:t>
        </m:r>
        <m:r>
          <m:t>a</m:t>
        </m:r>
        <m:r>
          <m:t>r</m:t>
        </m:r>
        <m:r>
          <m:t>g</m:t>
        </m:r>
        <m:r>
          <m:t>e</m:t>
        </m:r>
        <m:r>
          <m:t>t</m:t>
        </m:r>
        <m:r>
          <m:t>i</m:t>
        </m:r>
        <m:r>
          <m:t>n</m:t>
        </m:r>
        <m:r>
          <m:t>g</m:t>
        </m:r>
        <m:r>
          <m:t> </m:t>
        </m:r>
        <m:r>
          <m:t>15</m:t>
        </m:r>
      </m:oMath>
      <w:r>
        <w:t xml:space="preserve">6–8M annual savings). FY sales growth guide was trimmed to +5–6% on cautious consumer trade-down. Watch the priority-dealer channel (targeting double-digit growth) vs. weaker consumer-facing channels.</w:t>
      </w:r>
    </w:p>
    <w:p>
      <w:pPr>
        <w:pStyle w:val="BodyText"/>
      </w:pPr>
      <w:r>
        <w:rPr>
          <w:b/>
          <w:bCs/>
        </w:rPr>
        <w:t xml:space="preserve">6. Leonard Valve.</w:t>
      </w:r>
      <w:r>
        <w:t xml:space="preserve"> </w:t>
      </w:r>
      <w:r>
        <w:t xml:space="preserve">The</w:t>
      </w:r>
      <w:r>
        <w:t xml:space="preserve"> </w:t>
      </w:r>
      <w:r>
        <w:t xml:space="preserve">$470M January acquisition (funded by term loan) is the seed of a "water management" M&amp;A platform. Guided to ~$</w:t>
      </w:r>
      <w:r>
        <w:t xml:space="preserve">70M of 2026 sales and double-digit growth; watch integration progress and cross-selling traction. Also note the higher interest expense ($30–40M FY) from the deal debt.</w:t>
      </w:r>
    </w:p>
    <w:p>
      <w:pPr>
        <w:pStyle w:val="BodyText"/>
      </w:pPr>
      <w:r>
        <w:rPr>
          <w:b/>
          <w:bCs/>
        </w:rPr>
        <w:t xml:space="preserve">7. Capital allocation / balance sheet.</w:t>
      </w:r>
      <w:r>
        <w:t xml:space="preserve"> </w:t>
      </w:r>
      <w:r>
        <w:t xml:space="preserve">Leverage rose to ~25% (debt/cap) post-Leonard but remains modest. Look for confirmation of the $200M buyback pace and any commentary on further M&amp;A appetite in water treatment/water management.</w:t>
      </w:r>
    </w:p>
    <w:bookmarkEnd w:id="12"/>
    <w:bookmarkStart w:id="13" w:name="bottom-line"/>
    <w:p>
      <w:pPr>
        <w:pStyle w:val="Heading2"/>
      </w:pPr>
      <w:r>
        <w:t xml:space="preserve">Bottom Line</w:t>
      </w:r>
    </w:p>
    <w:p>
      <w:pPr>
        <w:pStyle w:val="FirstParagraph"/>
      </w:pPr>
      <w:r>
        <w:t xml:space="preserve">The bar has been reset lower, and Q2 is structurally the softest quarter of the year for AOS (unfavorable price/cost timing, weak China, restructuring charge). The number itself (~</w:t>
      </w:r>
      <m:oMath>
        <m:r>
          <m:t>0.99</m:t>
        </m:r>
        <m:r>
          <m:t>a</m:t>
        </m:r>
        <m:r>
          <m:t>d</m:t>
        </m:r>
        <m:r>
          <m:t>j</m:t>
        </m:r>
        <m:r>
          <m:t>u</m:t>
        </m:r>
        <m:r>
          <m:t>s</m:t>
        </m:r>
        <m:r>
          <m:t>t</m:t>
        </m:r>
        <m:r>
          <m:t>e</m:t>
        </m:r>
        <m:r>
          <m:t>d</m:t>
        </m:r>
        <m:r>
          <m:rPr>
            <m:sty m:val="p"/>
          </m:rPr>
          <m:t>)</m:t>
        </m:r>
        <m:r>
          <m:t>m</m:t>
        </m:r>
        <m:r>
          <m:t>a</m:t>
        </m:r>
        <m:r>
          <m:t>y</m:t>
        </m:r>
        <m:r>
          <m:t>m</m:t>
        </m:r>
        <m:r>
          <m:t>a</m:t>
        </m:r>
        <m:r>
          <m:t>t</m:t>
        </m:r>
        <m:r>
          <m:t>t</m:t>
        </m:r>
        <m:r>
          <m:t>e</m:t>
        </m:r>
        <m:r>
          <m:t>r</m:t>
        </m:r>
        <m:r>
          <m:t>l</m:t>
        </m:r>
        <m:r>
          <m:t>e</m:t>
        </m:r>
        <m:r>
          <m:t>s</m:t>
        </m:r>
        <m:r>
          <m:t>s</m:t>
        </m:r>
        <m:r>
          <m:t>t</m:t>
        </m:r>
        <m:r>
          <m:t>h</m:t>
        </m:r>
        <m:r>
          <m:t>a</m:t>
        </m:r>
        <m:r>
          <m:t>n</m:t>
        </m:r>
        <m:r>
          <m:t>t</m:t>
        </m:r>
        <m:r>
          <m:t>h</m:t>
        </m:r>
        <m:r>
          <m:t>r</m:t>
        </m:r>
        <m:r>
          <m:t>e</m:t>
        </m:r>
        <m:r>
          <m:t>e</m:t>
        </m:r>
        <m:r>
          <m:t>t</m:t>
        </m:r>
        <m:r>
          <m:t>h</m:t>
        </m:r>
        <m:r>
          <m:t>i</m:t>
        </m:r>
        <m:r>
          <m:t>n</m:t>
        </m:r>
        <m:r>
          <m:t>g</m:t>
        </m:r>
        <m:r>
          <m:t>s</m:t>
        </m:r>
        <m:r>
          <m:rPr>
            <m:sty m:val="p"/>
          </m:rPr>
          <m:t>:</m:t>
        </m:r>
        <m:r>
          <m:rPr>
            <m:sty m:val="p"/>
          </m:rPr>
          <m:t>*</m:t>
        </m:r>
        <m:r>
          <m:rPr>
            <m:sty m:val="p"/>
          </m:rPr>
          <m:t>*</m:t>
        </m:r>
        <m:r>
          <m:rPr>
            <m:sty m:val="p"/>
          </m:rPr>
          <m:t>(</m:t>
        </m:r>
        <m:r>
          <m:t>1</m:t>
        </m:r>
        <m:r>
          <m:rPr>
            <m:sty m:val="p"/>
          </m:rPr>
          <m:t>)</m:t>
        </m:r>
        <m:r>
          <m:t>a</m:t>
        </m:r>
        <m:r>
          <m:t>n</m:t>
        </m:r>
        <m:r>
          <m:t>y</m:t>
        </m:r>
        <m:r>
          <m:t>c</m:t>
        </m:r>
        <m:r>
          <m:t>o</m:t>
        </m:r>
        <m:r>
          <m:t>n</m:t>
        </m:r>
        <m:r>
          <m:t>c</m:t>
        </m:r>
        <m:r>
          <m:t>r</m:t>
        </m:r>
        <m:r>
          <m:t>e</m:t>
        </m:r>
        <m:r>
          <m:t>t</m:t>
        </m:r>
        <m:r>
          <m:t>e</m:t>
        </m:r>
        <m:r>
          <m:t>d</m:t>
        </m:r>
        <m:r>
          <m:t>e</m:t>
        </m:r>
        <m:r>
          <m:t>c</m:t>
        </m:r>
        <m:r>
          <m:t>i</m:t>
        </m:r>
        <m:r>
          <m:t>s</m:t>
        </m:r>
        <m:r>
          <m:t>i</m:t>
        </m:r>
        <m:r>
          <m:t>o</m:t>
        </m:r>
        <m:r>
          <m:t>n</m:t>
        </m:r>
        <m:r>
          <m:rPr>
            <m:sty m:val="p"/>
          </m:rPr>
          <m:t>/</m:t>
        </m:r>
        <m:r>
          <m:t>t</m:t>
        </m:r>
        <m:r>
          <m:t>i</m:t>
        </m:r>
        <m:r>
          <m:t>m</m:t>
        </m:r>
        <m:r>
          <m:t>e</m:t>
        </m:r>
        <m:r>
          <m:t>l</m:t>
        </m:r>
        <m:r>
          <m:t>i</m:t>
        </m:r>
        <m:r>
          <m:t>n</m:t>
        </m:r>
        <m:r>
          <m:t>e</m:t>
        </m:r>
        <m:r>
          <m:t>o</m:t>
        </m:r>
        <m:r>
          <m:t>n</m:t>
        </m:r>
        <m:r>
          <m:t>C</m:t>
        </m:r>
        <m:r>
          <m:t>h</m:t>
        </m:r>
        <m:r>
          <m:t>i</m:t>
        </m:r>
        <m:r>
          <m:t>n</m:t>
        </m:r>
        <m:r>
          <m:t>a</m:t>
        </m:r>
        <m:r>
          <m:rPr>
            <m:sty m:val="p"/>
          </m:rPr>
          <m:t>*</m:t>
        </m:r>
        <m:r>
          <m:rPr>
            <m:sty m:val="p"/>
          </m:rPr>
          <m:t>*</m:t>
        </m:r>
        <m:r>
          <m:rPr>
            <m:sty m:val="p"/>
          </m:rPr>
          <m:t>,</m:t>
        </m:r>
        <m:r>
          <m:rPr>
            <m:sty m:val="p"/>
          </m:rPr>
          <m:t>*</m:t>
        </m:r>
        <m:r>
          <m:rPr>
            <m:sty m:val="p"/>
          </m:rPr>
          <m:t>*</m:t>
        </m:r>
        <m:r>
          <m:rPr>
            <m:sty m:val="p"/>
          </m:rPr>
          <m:t>(</m:t>
        </m:r>
        <m:r>
          <m:t>2</m:t>
        </m:r>
        <m:r>
          <m:rPr>
            <m:sty m:val="p"/>
          </m:rPr>
          <m:t>)</m:t>
        </m:r>
        <m:r>
          <m:t>c</m:t>
        </m:r>
        <m:r>
          <m:t>o</m:t>
        </m:r>
        <m:r>
          <m:t>n</m:t>
        </m:r>
        <m:r>
          <m:t>f</m:t>
        </m:r>
        <m:r>
          <m:t>i</m:t>
        </m:r>
        <m:r>
          <m:t>r</m:t>
        </m:r>
        <m:r>
          <m:t>m</m:t>
        </m:r>
        <m:r>
          <m:t>a</m:t>
        </m:r>
        <m:r>
          <m:t>t</m:t>
        </m:r>
        <m:r>
          <m:t>i</m:t>
        </m:r>
        <m:r>
          <m:t>o</m:t>
        </m:r>
        <m:r>
          <m:t>n</m:t>
        </m:r>
        <m:r>
          <m:t>t</m:t>
        </m:r>
        <m:r>
          <m:t>h</m:t>
        </m:r>
        <m:r>
          <m:t>a</m:t>
        </m:r>
        <m:r>
          <m:t>t</m:t>
        </m:r>
        <m:r>
          <m:t>N</m:t>
        </m:r>
        <m:r>
          <m:t>o</m:t>
        </m:r>
        <m:r>
          <m:t>r</m:t>
        </m:r>
        <m:r>
          <m:t>t</m:t>
        </m:r>
        <m:r>
          <m:t>h</m:t>
        </m:r>
        <m:r>
          <m:t>A</m:t>
        </m:r>
        <m:r>
          <m:t>m</m:t>
        </m:r>
        <m:r>
          <m:t>e</m:t>
        </m:r>
        <m:r>
          <m:t>r</m:t>
        </m:r>
        <m:r>
          <m:t>i</m:t>
        </m:r>
        <m:r>
          <m:t>c</m:t>
        </m:r>
        <m:r>
          <m:t>a</m:t>
        </m:r>
        <m:r>
          <m:t>p</m:t>
        </m:r>
        <m:r>
          <m:t>r</m:t>
        </m:r>
        <m:r>
          <m:t>i</m:t>
        </m:r>
        <m:r>
          <m:t>c</m:t>
        </m:r>
        <m:r>
          <m:t>e</m:t>
        </m:r>
        <m:r>
          <m:t>i</m:t>
        </m:r>
        <m:r>
          <m:t>n</m:t>
        </m:r>
        <m:r>
          <m:t>c</m:t>
        </m:r>
        <m:r>
          <m:t>r</m:t>
        </m:r>
        <m:r>
          <m:t>e</m:t>
        </m:r>
        <m:r>
          <m:t>a</m:t>
        </m:r>
        <m:r>
          <m:t>s</m:t>
        </m:r>
        <m:r>
          <m:t>e</m:t>
        </m:r>
        <m:r>
          <m:t>s</m:t>
        </m:r>
        <m:r>
          <m:t>a</m:t>
        </m:r>
        <m:r>
          <m:t>r</m:t>
        </m:r>
        <m:r>
          <m:t>e</m:t>
        </m:r>
        <m:r>
          <m:t>s</m:t>
        </m:r>
        <m:r>
          <m:t>t</m:t>
        </m:r>
        <m:r>
          <m:t>i</m:t>
        </m:r>
        <m:r>
          <m:t>c</m:t>
        </m:r>
        <m:r>
          <m:t>k</m:t>
        </m:r>
        <m:r>
          <m:t>i</m:t>
        </m:r>
        <m:r>
          <m:t>n</m:t>
        </m:r>
        <m:r>
          <m:t>g</m:t>
        </m:r>
        <m:r>
          <m:t>s</m:t>
        </m:r>
        <m:r>
          <m:t>o</m:t>
        </m:r>
        <m:r>
          <m:t>Q</m:t>
        </m:r>
        <m:r>
          <m:t>3</m:t>
        </m:r>
        <m:r>
          <m:rPr>
            <m:sty m:val="p"/>
          </m:rPr>
          <m:t>–</m:t>
        </m:r>
        <m:r>
          <m:t>Q</m:t>
        </m:r>
        <m:r>
          <m:t>4</m:t>
        </m:r>
        <m:r>
          <m:t>m</m:t>
        </m:r>
        <m:r>
          <m:t>a</m:t>
        </m:r>
        <m:r>
          <m:t>r</m:t>
        </m:r>
        <m:r>
          <m:t>g</m:t>
        </m:r>
        <m:r>
          <m:t>i</m:t>
        </m:r>
        <m:r>
          <m:t>n</m:t>
        </m:r>
        <m:r>
          <m:t>s</m:t>
        </m:r>
        <m:r>
          <m:t>r</m:t>
        </m:r>
        <m:r>
          <m:t>e</m:t>
        </m:r>
        <m:r>
          <m:t>c</m:t>
        </m:r>
        <m:r>
          <m:t>o</m:t>
        </m:r>
        <m:r>
          <m:t>v</m:t>
        </m:r>
        <m:r>
          <m:t>e</m:t>
        </m:r>
        <m:r>
          <m:t>r</m:t>
        </m:r>
        <m:r>
          <m:rPr>
            <m:sty m:val="p"/>
          </m:rPr>
          <m:t>*</m:t>
        </m:r>
        <m:r>
          <m:rPr>
            <m:sty m:val="p"/>
          </m:rPr>
          <m:t>*</m:t>
        </m:r>
        <m:r>
          <m:rPr>
            <m:sty m:val="p"/>
          </m:rPr>
          <m:t>,</m:t>
        </m:r>
        <m:r>
          <m:t>a</m:t>
        </m:r>
        <m:r>
          <m:t>n</m:t>
        </m:r>
        <m:r>
          <m:t>d</m:t>
        </m:r>
        <m:r>
          <m:rPr>
            <m:sty m:val="p"/>
          </m:rPr>
          <m:t>*</m:t>
        </m:r>
        <m:r>
          <m:rPr>
            <m:sty m:val="p"/>
          </m:rPr>
          <m:t>*</m:t>
        </m:r>
        <m:r>
          <m:rPr>
            <m:sty m:val="p"/>
          </m:rPr>
          <m:t>(</m:t>
        </m:r>
        <m:r>
          <m:t>3</m:t>
        </m:r>
        <m:r>
          <m:rPr>
            <m:sty m:val="p"/>
          </m:rPr>
          <m:t>)</m:t>
        </m:r>
        <m:r>
          <m:t>w</m:t>
        </m:r>
        <m:r>
          <m:t>h</m:t>
        </m:r>
        <m:r>
          <m:t>e</m:t>
        </m:r>
        <m:r>
          <m:t>t</m:t>
        </m:r>
        <m:r>
          <m:t>h</m:t>
        </m:r>
        <m:r>
          <m:t>e</m:t>
        </m:r>
        <m:r>
          <m:t>r</m:t>
        </m:r>
        <m:r>
          <m:t>f</m:t>
        </m:r>
        <m:r>
          <m:t>u</m:t>
        </m:r>
        <m:r>
          <m:t>l</m:t>
        </m:r>
        <m:r>
          <m:t>l</m:t>
        </m:r>
        <m:r>
          <m:rPr>
            <m:sty m:val="p"/>
          </m:rPr>
          <m:t>−</m:t>
        </m:r>
        <m:r>
          <m:t>y</m:t>
        </m:r>
        <m:r>
          <m:t>e</m:t>
        </m:r>
        <m:r>
          <m:t>a</m:t>
        </m:r>
        <m:r>
          <m:t>r</m:t>
        </m:r>
        <m:r>
          <m:t>g</m:t>
        </m:r>
        <m:r>
          <m:t>u</m:t>
        </m:r>
        <m:r>
          <m:t>i</m:t>
        </m:r>
        <m:r>
          <m:t>d</m:t>
        </m:r>
        <m:r>
          <m:t>a</m:t>
        </m:r>
        <m:r>
          <m:t>n</m:t>
        </m:r>
        <m:r>
          <m:t>c</m:t>
        </m:r>
        <m:r>
          <m:t>e</m:t>
        </m:r>
        <m:r>
          <m:rPr>
            <m:sty m:val="p"/>
          </m:rPr>
          <m:t>(</m:t>
        </m:r>
      </m:oMath>
      <w:r>
        <w:t xml:space="preserve">3.70–$4.00 adjusted) is reaffirmed or trimmed again.** Given two prior cuts and a beaten-down, recently-bouncing stock, the reaction will likely hinge on guidance credibility and China clarity more than on the headline EPS.</w:t>
      </w:r>
    </w:p>
    <w:p>
      <w:r>
        <w:pict>
          <v:rect style="width:0;height:1.5pt" o:hralign="center" o:hrstd="t" o:hr="t"/>
        </w:pict>
      </w:r>
    </w:p>
    <w:p>
      <w:pPr>
        <w:pStyle w:val="FirstParagraph"/>
      </w:pPr>
      <w:r>
        <w:rPr>
          <w:i/>
          <w:iCs/>
        </w:rPr>
        <w:t xml:space="preserve">Preview based on AOS Q1 2026 earnings release/call (Apr 30, 2026), Q2 2025 release, and current market/consensus data. Figures are as reported by the company and consensus aggregators; verify against the actual release.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2026-07-29T18:53:46Z</dcterms:created>
  <dcterms:modified xsi:type="dcterms:W3CDTF">2026-07-29T18:53:46Z</dcterms:modified>
</cp:coreProperties>
</file>

<file path=docProps/custom.xml><?xml version="1.0" encoding="utf-8"?>
<Properties xmlns="http://schemas.openxmlformats.org/officeDocument/2006/custom-properties" xmlns:vt="http://schemas.openxmlformats.org/officeDocument/2006/docPropsVTypes"/>
</file>