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a-o-smith-aos-q2-2026-earnings-preview"/>
    <w:p>
      <w:pPr>
        <w:pStyle w:val="Heading1"/>
      </w:pPr>
      <w:r>
        <w:t xml:space="preserve">A. O. Smith (AOS) Q2 2026 Earnings Preview</w:t>
      </w:r>
    </w:p>
    <w:p>
      <w:pPr>
        <w:pStyle w:val="FirstParagraph"/>
      </w:pPr>
      <w:r>
        <w:rPr>
          <w:b/>
          <w:bCs/>
        </w:rPr>
        <w:t xml:space="preserve">Report Date:</w:t>
      </w:r>
      <w:r>
        <w:t xml:space="preserve"> </w:t>
      </w:r>
      <w:r>
        <w:t xml:space="preserve">July 30, 2026 (before market open) |</w:t>
      </w:r>
      <w:r>
        <w:t xml:space="preserve"> </w:t>
      </w:r>
      <w:r>
        <w:rPr>
          <w:b/>
          <w:bCs/>
        </w:rPr>
        <w:t xml:space="preserve">Fiscal Period:</w:t>
      </w:r>
      <w:r>
        <w:t xml:space="preserve"> </w:t>
      </w:r>
      <w:r>
        <w:t xml:space="preserve">2026Q2</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AOS enters this print as a show-me story. The stock has been cut roughly in half from its February 2026 high (~</w:t>
      </w:r>
      <m:oMath>
        <m:r>
          <m:t>81</m:t>
        </m:r>
        <m:r>
          <m:rPr>
            <m:sty m:val="p"/>
          </m:rPr>
          <m:t>)</m:t>
        </m:r>
        <m:r>
          <m:t>t</m:t>
        </m:r>
        <m:r>
          <m:t>o</m:t>
        </m:r>
        <m:r>
          <m:t>t</m:t>
        </m:r>
        <m:r>
          <m:t>h</m:t>
        </m:r>
        <m:r>
          <m:t>e</m:t>
        </m:r>
        <m:r>
          <m:t>l</m:t>
        </m:r>
        <m:r>
          <m:t>o</m:t>
        </m:r>
        <m:r>
          <m:t>w</m:t>
        </m:r>
        <m:r>
          <m:rPr>
            <m:sty m:val="p"/>
          </m:rPr>
          <m:t>−</m:t>
        </m:r>
      </m:oMath>
      <w:r>
        <w:t xml:space="preserve">60s today, after the company</w:t>
      </w:r>
      <w:r>
        <w:t xml:space="preserve"> </w:t>
      </w:r>
      <w:r>
        <w:rPr>
          <w:b/>
          <w:bCs/>
        </w:rPr>
        <w:t xml:space="preserve">lowered full-year guidance</w:t>
      </w:r>
      <w:r>
        <w:t xml:space="preserve"> </w:t>
      </w:r>
      <w:r>
        <w:t xml:space="preserve">at Q1 and disclosed a fresh restructuring in its North America water treatment business. Sentiment is split — JPMorgan downgraded the stock to Underweight after Q1 citing weak China and residential exposure, while Stifel has stuck with a Buy and recently nudged its price target higher on pricing power. Investors will be looking for signs of stabilization in North America water heaters, clarity on the China strategic review, and confirmation that price increases are catching up with cost inflation.</w:t>
      </w:r>
    </w:p>
    <w:bookmarkEnd w:id="9"/>
    <w:bookmarkStart w:id="10" w:name="X228f6f9de773eddee4108792cd5aa231485a28d"/>
    <w:p>
      <w:pPr>
        <w:pStyle w:val="Heading2"/>
      </w:pPr>
      <w:r>
        <w:t xml:space="preserve">2. Q1 2026 Recap — Why Guidance Came Down</w:t>
      </w:r>
    </w:p>
    <w:p>
      <w:pPr>
        <w:pStyle w:val="FirstParagraph"/>
      </w:pPr>
      <w:r>
        <w:t xml:space="preserve">Q1 set a cautious tone. North America sales increased 1% to $753 million and Rest of World sales decreased 11% to $201 million, resulting in total company first quarter sales of $946 million, a decrease of 2%. Our EPS was $0.85, a decrease of 11% due to lower volumes and transaction-related expenses recognized in the quarter for the Leonard Valve acquisition. Our China sales decreased 17% in local currency in the first quarter, which was in line with our expectations as well as broader market performance. With the discontinuation of most government stimulus programs and continued low consumer confidence, the water heater and water treatment markets remain challenged, especially the premium portion of the market, where we compete.</w:t>
      </w:r>
    </w:p>
    <w:p>
      <w:pPr>
        <w:pStyle w:val="BodyText"/>
      </w:pPr>
      <w:r>
        <w:t xml:space="preserve">North America margins compressed too: North America segment earnings of $175 million and segment margin of 23.3% decreased by $10 million and 140 basis points, respectively, versus the prior year period. Rest of World was hit harder: Rest of World first quarter 2026 segment earnings of $12 million and segment margin of 6.2% decreased by $8 million and 250 basis points, respectively, versus the prior year period.</w:t>
      </w:r>
    </w:p>
    <w:p>
      <w:pPr>
        <w:pStyle w:val="BodyText"/>
      </w:pPr>
      <w:r>
        <w:t xml:space="preserve">As a result, management cut guidance: full-year adjusted EPS was reset to</w:t>
      </w:r>
      <w:r>
        <w:t xml:space="preserve"> </w:t>
      </w:r>
      <m:oMath>
        <m:r>
          <m:t>3.70</m:t>
        </m:r>
        <m:r>
          <m:rPr>
            <m:sty m:val="p"/>
          </m:rPr>
          <m:t>–</m:t>
        </m:r>
      </m:oMath>
      <w:r>
        <w:rPr>
          <w:b/>
          <w:bCs/>
        </w:rPr>
        <w:t xml:space="preserve">4.00</w:t>
      </w:r>
      <w:r>
        <w:t xml:space="preserve"> </w:t>
      </w:r>
      <w:r>
        <w:t xml:space="preserve">(from</w:t>
      </w:r>
      <w:r>
        <w:t xml:space="preserve"> </w:t>
      </w:r>
      <m:oMath>
        <m:r>
          <m:t>3.85</m:t>
        </m:r>
        <m:r>
          <m:rPr>
            <m:sty m:val="p"/>
          </m:rPr>
          <m:t>–</m:t>
        </m:r>
      </m:oMath>
      <w:r>
        <w:t xml:space="preserve">4.15 previously), with</w:t>
      </w:r>
      <w:r>
        <w:t xml:space="preserve"> </w:t>
      </w:r>
      <w:r>
        <w:rPr>
          <w:b/>
          <w:bCs/>
        </w:rPr>
        <w:t xml:space="preserve">net sales growth of 2%–4%</w:t>
      </w:r>
      <w:r>
        <w:t xml:space="preserve"> </w:t>
      </w:r>
      <w:r>
        <w:t xml:space="preserve">(down from 2%–5%). Key cost assumptions worsened — steel costs have steadily risen throughout the first quarter, leading us to increase our full year 2026 steel cost assumption to be a year-over-year increase of approximately 15% compared to 2025... we now project that freight, non-steel material costs and tariffs will increase our overall total company cost of goods sold by approximately 3% in 2026.</w:t>
      </w:r>
    </w:p>
    <w:p>
      <w:pPr>
        <w:pStyle w:val="BodyText"/>
      </w:pPr>
      <w:r>
        <w:t xml:space="preserve">One silver lining: cash generation was strong. We generated strong free cash flow of $119 million in the first 3 months of 2026, a significant increase over 2025, primarily driven by diligent working capital management and the timing of customer payments that more than offset lower earnings.</w:t>
      </w:r>
    </w:p>
    <w:bookmarkEnd w:id="10"/>
    <w:bookmarkStart w:id="11" w:name="X5a7d26f97db978274570760fd925571c6bbb282"/>
    <w:p>
      <w:pPr>
        <w:pStyle w:val="Heading2"/>
      </w:pPr>
      <w:r>
        <w:t xml:space="preserve">3. What Management Told Us to Expect in Q2</w:t>
      </w:r>
    </w:p>
    <w:p>
      <w:pPr>
        <w:pStyle w:val="FirstParagraph"/>
      </w:pPr>
      <w:r>
        <w:t xml:space="preserve">On the Q1 call, CFO Chuck Lauber gave unusually specific cadence guidance that investors should hold management to tomorrow:</w:t>
      </w:r>
    </w:p>
    <w:p>
      <w:pPr>
        <w:pStyle w:val="Compact"/>
        <w:numPr>
          <w:ilvl w:val="0"/>
          <w:numId w:val="1001"/>
        </w:numPr>
      </w:pPr>
      <w:r>
        <w:rPr>
          <w:b/>
          <w:bCs/>
        </w:rPr>
        <w:t xml:space="preserve">China should be the weak spot again.</w:t>
      </w:r>
      <w:r>
        <w:t xml:space="preserve"> </w:t>
      </w:r>
      <w:r>
        <w:t xml:space="preserve">We believe it will be down roughly 15% from Q1, and think of that in terms of decremental margins, 35% to 40%. We expect a difficult quarter in China.</w:t>
      </w:r>
    </w:p>
    <w:p>
      <w:pPr>
        <w:pStyle w:val="Compact"/>
        <w:numPr>
          <w:ilvl w:val="0"/>
          <w:numId w:val="1001"/>
        </w:numPr>
      </w:pPr>
      <w:r>
        <w:rPr>
          <w:b/>
          <w:bCs/>
        </w:rPr>
        <w:t xml:space="preserve">North America margins face a cost/price gap.</w:t>
      </w:r>
      <w:r>
        <w:t xml:space="preserve"> </w:t>
      </w:r>
      <w:r>
        <w:t xml:space="preserve">In North America, you're right, we have costs kind of ahead of us in the second quarter before we see pricing in the third quarter. And so that's a bit of a headwind to the margin in the second quarter.</w:t>
      </w:r>
    </w:p>
    <w:p>
      <w:pPr>
        <w:pStyle w:val="Compact"/>
        <w:numPr>
          <w:ilvl w:val="0"/>
          <w:numId w:val="1001"/>
        </w:numPr>
      </w:pPr>
      <w:r>
        <w:rPr>
          <w:b/>
          <w:bCs/>
        </w:rPr>
        <w:t xml:space="preserve">But overall Q2 should still be a solid quarter on a relative basis.</w:t>
      </w:r>
      <w:r>
        <w:t xml:space="preserve"> </w:t>
      </w:r>
      <w:r>
        <w:t xml:space="preserve">When you kind of look at... Q2, overall Q2, EPS is expected to be roughly 25% of our full year guidance midpoint. That's with a little bit of help in Q2, I would say, from some pricing pull forward... we do expect a solid performance in North America in the second quarter based on a little bit of pull forward. Applying that ~25%-of-midpoint framework to the</w:t>
      </w:r>
      <w:r>
        <w:t xml:space="preserve"> </w:t>
      </w:r>
      <m:oMath>
        <m:r>
          <m:t>3.85</m:t>
        </m:r>
        <m:r>
          <m:t>g</m:t>
        </m:r>
        <m:r>
          <m:t>u</m:t>
        </m:r>
        <m:r>
          <m:t>i</m:t>
        </m:r>
        <m:r>
          <m:t>d</m:t>
        </m:r>
        <m:r>
          <m:t>a</m:t>
        </m:r>
        <m:r>
          <m:t>n</m:t>
        </m:r>
        <m:r>
          <m:t>c</m:t>
        </m:r>
        <m:r>
          <m:t>e</m:t>
        </m:r>
        <m:r>
          <m:t>m</m:t>
        </m:r>
        <m:r>
          <m:t>i</m:t>
        </m:r>
        <m:r>
          <m:t>d</m:t>
        </m:r>
        <m:r>
          <m:t>p</m:t>
        </m:r>
        <m:r>
          <m:t>o</m:t>
        </m:r>
        <m:r>
          <m:t>i</m:t>
        </m:r>
        <m:r>
          <m:t>n</m:t>
        </m:r>
        <m:r>
          <m:t>t</m:t>
        </m:r>
        <m:r>
          <m:t>i</m:t>
        </m:r>
        <m:r>
          <m:t>m</m:t>
        </m:r>
        <m:r>
          <m:t>p</m:t>
        </m:r>
        <m:r>
          <m:t>l</m:t>
        </m:r>
        <m:r>
          <m:t>i</m:t>
        </m:r>
        <m:r>
          <m:t>e</m:t>
        </m:r>
        <m:r>
          <m:t>s</m:t>
        </m:r>
        <m:r>
          <m:t>r</m:t>
        </m:r>
        <m:r>
          <m:t>o</m:t>
        </m:r>
        <m:r>
          <m:t>u</m:t>
        </m:r>
        <m:r>
          <m:t>g</m:t>
        </m:r>
        <m:r>
          <m:t>h</m:t>
        </m:r>
        <m:r>
          <m:t>l</m:t>
        </m:r>
        <m:r>
          <m:t>y</m:t>
        </m:r>
        <m:r>
          <m:rPr>
            <m:sty m:val="p"/>
          </m:rPr>
          <m:t>*</m:t>
        </m:r>
        <m:r>
          <m:rPr>
            <m:sty m:val="p"/>
          </m:rPr>
          <m:t>*</m:t>
        </m:r>
      </m:oMath>
      <w:r>
        <w:t xml:space="preserve">0.95–$1.00** in adjusted EPS for the quarter — consistent with where the Street has landed.</w:t>
      </w:r>
    </w:p>
    <w:p>
      <w:pPr>
        <w:pStyle w:val="FirstParagraph"/>
      </w:pPr>
      <w:r>
        <w:t xml:space="preserve">Note also that the reported GAAP EPS will absorb the previously-flagged</w:t>
      </w:r>
      <w:r>
        <w:t xml:space="preserve"> </w:t>
      </w:r>
      <w:r>
        <w:rPr>
          <w:b/>
          <w:bCs/>
        </w:rPr>
        <w:t xml:space="preserve">~$20 million restructuring/impairment charge</w:t>
      </w:r>
      <w:r>
        <w:t xml:space="preserve"> </w:t>
      </w:r>
      <w:r>
        <w:t xml:space="preserve">tied to the North America water treatment footprint consolidation, which is excluded from the adjusted EPS guidance range.</w:t>
      </w:r>
    </w:p>
    <w:bookmarkEnd w:id="11"/>
    <w:bookmarkStart w:id="12" w:name="X49000680e00fc7caeaa4b35fc0e89d115f58a24"/>
    <w:p>
      <w:pPr>
        <w:pStyle w:val="Heading2"/>
      </w:pPr>
      <w:r>
        <w:t xml:space="preserve">4. Consensus Expectations</w:t>
      </w:r>
    </w:p>
    <w:p>
      <w:pPr>
        <w:pStyle w:val="FirstParagraph"/>
      </w:pPr>
      <w:r>
        <w:t xml:space="preserve">Estimates have drifted down modestly into the print but haven't moved dramatically in the last 30 days:</w:t>
      </w:r>
    </w:p>
    <w:p>
      <w:pPr>
        <w:pStyle w:val="Compact"/>
        <w:numPr>
          <w:ilvl w:val="0"/>
          <w:numId w:val="1002"/>
        </w:numPr>
      </w:pPr>
      <w:r>
        <w:rPr>
          <w:b/>
          <w:bCs/>
        </w:rPr>
        <w:t xml:space="preserve">EPS:</w:t>
      </w:r>
      <w:r>
        <w:t xml:space="preserve"> </w:t>
      </w:r>
      <w:r>
        <w:t xml:space="preserve">Street estimates cluster in the</w:t>
      </w:r>
      <w:r>
        <w:t xml:space="preserve"> </w:t>
      </w:r>
      <m:oMath>
        <m:r>
          <m:t>0.96</m:t>
        </m:r>
        <m:r>
          <m:rPr>
            <m:sty m:val="p"/>
          </m:rPr>
          <m:t>–</m:t>
        </m:r>
      </m:oMath>
      <w:r>
        <w:rPr>
          <w:b/>
          <w:bCs/>
        </w:rPr>
        <w:t xml:space="preserve">1.00</w:t>
      </w:r>
      <w:r>
        <w:t xml:space="preserve"> </w:t>
      </w:r>
      <w:r>
        <w:t xml:space="preserve">range (down from</w:t>
      </w:r>
      <w:r>
        <w:t xml:space="preserve"> </w:t>
      </w:r>
      <w:r>
        <w:rPr>
          <w:b/>
          <w:bCs/>
        </w:rPr>
        <w:t xml:space="preserve">$1.07</w:t>
      </w:r>
      <w:r>
        <w:t xml:space="preserve"> </w:t>
      </w:r>
      <w:r>
        <w:t xml:space="preserve">in Q2 2025), with some services flagging a negative Earnings ESP heading in.</w:t>
      </w:r>
    </w:p>
    <w:p>
      <w:pPr>
        <w:pStyle w:val="Compact"/>
        <w:numPr>
          <w:ilvl w:val="0"/>
          <w:numId w:val="1002"/>
        </w:numPr>
      </w:pPr>
      <w:r>
        <w:rPr>
          <w:b/>
          <w:bCs/>
        </w:rPr>
        <w:t xml:space="preserve">Revenue:</w:t>
      </w:r>
      <w:r>
        <w:t xml:space="preserve"> </w:t>
      </w:r>
      <w:r>
        <w:t xml:space="preserve">Consensus is looking for roughly</w:t>
      </w:r>
      <w:r>
        <w:t xml:space="preserve"> </w:t>
      </w:r>
      <m:oMath>
        <m:r>
          <m:t>970</m:t>
        </m:r>
        <m:r>
          <m:t>M</m:t>
        </m:r>
        <m:r>
          <m:rPr>
            <m:sty m:val="p"/>
          </m:rPr>
          <m:t>–</m:t>
        </m:r>
      </m:oMath>
      <w:r>
        <w:rPr>
          <w:b/>
          <w:bCs/>
        </w:rPr>
        <w:t xml:space="preserve">990M</w:t>
      </w:r>
      <w:r>
        <w:t xml:space="preserve">, implying a</w:t>
      </w:r>
      <w:r>
        <w:t xml:space="preserve"> </w:t>
      </w:r>
      <w:r>
        <w:rPr>
          <w:b/>
          <w:bCs/>
        </w:rPr>
        <w:t xml:space="preserve">~2% year-over-year decline</w:t>
      </w:r>
      <w:r>
        <w:t xml:space="preserve">, roughly in line with the 2.1% decline analysts had modeled and similar to the 1.3% decline booked in Q2 2025. For reference, Net sales $1,011.3 [million]... Net earnings $152.2 [million]... Diluted earnings per share $1.07 was the year-ago bar.</w:t>
      </w:r>
    </w:p>
    <w:p>
      <w:pPr>
        <w:pStyle w:val="Compact"/>
        <w:numPr>
          <w:ilvl w:val="0"/>
          <w:numId w:val="1002"/>
        </w:numPr>
      </w:pPr>
      <w:r>
        <w:t xml:space="preserve">Zacks Research recently trimmed its Q2 estimate to</w:t>
      </w:r>
      <w:r>
        <w:t xml:space="preserve"> </w:t>
      </w:r>
      <w:r>
        <w:rPr>
          <w:b/>
          <w:bCs/>
        </w:rPr>
        <w:t xml:space="preserve">$1.00</w:t>
      </w:r>
      <w:r>
        <w:t xml:space="preserve"> </w:t>
      </w:r>
      <w:r>
        <w:t xml:space="preserve">per share and carries a "Strong Sell" house rating, underscoring the cautious buy-side/sell-side tone heading in.</w:t>
      </w:r>
    </w:p>
    <w:bookmarkEnd w:id="12"/>
    <w:bookmarkStart w:id="13" w:name="X290c738bf7f87a830d7160134886eb6dd2ce3cd"/>
    <w:p>
      <w:pPr>
        <w:pStyle w:val="Heading2"/>
      </w:pPr>
      <w:r>
        <w:t xml:space="preserve">5. Key Themes to Watch on the Call</w:t>
      </w:r>
    </w:p>
    <w:p>
      <w:pPr>
        <w:pStyle w:val="FirstParagraph"/>
      </w:pPr>
      <w:r>
        <w:rPr>
          <w:b/>
          <w:bCs/>
        </w:rPr>
        <w:t xml:space="preserve">a) China strategic review — status update is the biggest swing factor.</w:t>
      </w:r>
      <w:r>
        <w:t xml:space="preserve"> </w:t>
      </w:r>
      <w:r>
        <w:t xml:space="preserve">Management has been running a formal strategic assessment (partnerships, restructuring, or other alternatives) since mid-2025, and on the Q1 call said clarity was still "coming months" away. Recent sell-side commentary suggests the most likely outcome may simply be a continuation of the status quo rather than a sale or major structural change, but this remains the single largest source of both downside risk and optionality in the stock. Investors should listen for any firmer timeline or preliminary conclusions.</w:t>
      </w:r>
    </w:p>
    <w:p>
      <w:pPr>
        <w:pStyle w:val="BodyText"/>
      </w:pPr>
      <w:r>
        <w:rPr>
          <w:b/>
          <w:bCs/>
        </w:rPr>
        <w:t xml:space="preserve">b) Pricing vs. cost inflation.</w:t>
      </w:r>
      <w:r>
        <w:t xml:space="preserve"> </w:t>
      </w:r>
      <w:r>
        <w:t xml:space="preserve">Management raised prices on water heaters/boilers by roughly 4%–7% for a mid-May effective date, and — notably — announced a</w:t>
      </w:r>
      <w:r>
        <w:t xml:space="preserve"> </w:t>
      </w:r>
      <w:r>
        <w:rPr>
          <w:b/>
          <w:bCs/>
        </w:rPr>
        <w:t xml:space="preserve">second</w:t>
      </w:r>
      <w:r>
        <w:t xml:space="preserve"> </w:t>
      </w:r>
      <w:r>
        <w:t xml:space="preserve">water heater price increase (~7%) effective in late June, a sign that steel, tariff, and freight/diesel cost pressure has remained persistent since the Q1 call. The key question is whether price realization is starting to catch up to costs as promised for Q3, or whether the incremental cost pressure (oil/diesel, steel "resilience") has outrun the initial price actions.</w:t>
      </w:r>
    </w:p>
    <w:p>
      <w:pPr>
        <w:pStyle w:val="BodyText"/>
      </w:pPr>
      <w:r>
        <w:rPr>
          <w:b/>
          <w:bCs/>
        </w:rPr>
        <w:t xml:space="preserve">c) North America residential channel dynamics.</w:t>
      </w:r>
      <w:r>
        <w:t xml:space="preserve"> </w:t>
      </w:r>
      <w:r>
        <w:t xml:space="preserve">At Q1, management noted we are encouraged by the stabilization of our market share in the wholesale channel in the first quarter, while recognizing there is still work to be done with more improvement to come. Watch for confirmation that this stabilization continued into Q2, and for updates on the DOE's one-year enforcement delay of the commercial water heater efficiency rule, which pushed out expected pre-buy demand into later periods.</w:t>
      </w:r>
    </w:p>
    <w:p>
      <w:pPr>
        <w:pStyle w:val="BodyText"/>
      </w:pPr>
      <w:r>
        <w:rPr>
          <w:b/>
          <w:bCs/>
        </w:rPr>
        <w:t xml:space="preserve">d) Water treatment restructuring execution.</w:t>
      </w:r>
      <w:r>
        <w:t xml:space="preserve"> </w:t>
      </w:r>
      <w:r>
        <w:t xml:space="preserve">The North America water treatment platform (~$250M of sales) is undergoing its second reset in recent years — footprint optimization and brand rationalization — targeting roughly 200bps of margin expansion in 2026 (~15% operating margin) with another ~200bps targeted in 2027 from the newly announced</w:t>
      </w:r>
      <w:r>
        <w:t xml:space="preserve"> </w:t>
      </w:r>
      <m:oMath>
        <m:r>
          <m:t>20</m:t>
        </m:r>
        <m:r>
          <m:t>M</m:t>
        </m:r>
        <m:r>
          <m:t>c</m:t>
        </m:r>
        <m:r>
          <m:t>h</m:t>
        </m:r>
        <m:r>
          <m:t>a</m:t>
        </m:r>
        <m:r>
          <m:t>r</m:t>
        </m:r>
        <m:r>
          <m:t>g</m:t>
        </m:r>
        <m:r>
          <m:t>e</m:t>
        </m:r>
        <m:r>
          <m:rPr>
            <m:sty m:val="p"/>
          </m:rPr>
          <m:t>/</m:t>
        </m:r>
      </m:oMath>
      <w:r>
        <w:t xml:space="preserve">6-8M annual savings program.</w:t>
      </w:r>
    </w:p>
    <w:p>
      <w:pPr>
        <w:pStyle w:val="BodyText"/>
      </w:pPr>
      <w:r>
        <w:rPr>
          <w:b/>
          <w:bCs/>
        </w:rPr>
        <w:t xml:space="preserve">e) Leonard Valve integration.</w:t>
      </w:r>
      <w:r>
        <w:t xml:space="preserve"> </w:t>
      </w:r>
      <w:r>
        <w:t xml:space="preserve">The $470M acquisition (closed January 6, 2026) contributed</w:t>
      </w:r>
      <w:r>
        <w:t xml:space="preserve"> </w:t>
      </w:r>
      <m:oMath>
        <m:r>
          <m:t>16</m:t>
        </m:r>
        <m:r>
          <m:t>m</m:t>
        </m:r>
        <m:r>
          <m:t>i</m:t>
        </m:r>
        <m:r>
          <m:t>l</m:t>
        </m:r>
        <m:r>
          <m:t>l</m:t>
        </m:r>
        <m:r>
          <m:t>i</m:t>
        </m:r>
        <m:r>
          <m:t>o</m:t>
        </m:r>
        <m:r>
          <m:t>n</m:t>
        </m:r>
        <m:r>
          <m:t>t</m:t>
        </m:r>
        <m:r>
          <m:t>o</m:t>
        </m:r>
        <m:r>
          <m:t>Q</m:t>
        </m:r>
        <m:r>
          <m:t>1</m:t>
        </m:r>
        <m:r>
          <m:t>s</m:t>
        </m:r>
        <m:r>
          <m:t>a</m:t>
        </m:r>
        <m:r>
          <m:t>l</m:t>
        </m:r>
        <m:r>
          <m:t>e</m:t>
        </m:r>
        <m:r>
          <m:t>s</m:t>
        </m:r>
        <m:r>
          <m:t>a</m:t>
        </m:r>
        <m:r>
          <m:t>n</m:t>
        </m:r>
        <m:r>
          <m:t>d</m:t>
        </m:r>
        <m:r>
          <m:t>i</m:t>
        </m:r>
        <m:r>
          <m:t>s</m:t>
        </m:r>
        <m:r>
          <m:t>g</m:t>
        </m:r>
        <m:r>
          <m:t>u</m:t>
        </m:r>
        <m:r>
          <m:t>i</m:t>
        </m:r>
        <m:r>
          <m:t>d</m:t>
        </m:r>
        <m:r>
          <m:t>e</m:t>
        </m:r>
        <m:r>
          <m:t>d</m:t>
        </m:r>
        <m:r>
          <m:t>t</m:t>
        </m:r>
        <m:r>
          <m:t>o</m:t>
        </m:r>
        <m:r>
          <m:t>a</m:t>
        </m:r>
        <m:r>
          <m:t>d</m:t>
        </m:r>
        <m:r>
          <m:t>d</m:t>
        </m:r>
        <m:r>
          <m:t> </m:t>
        </m:r>
      </m:oMath>
      <w:r>
        <w:t xml:space="preserve">70 million in sales for the full year with double-digit growth; management called out a strong exit backlog. Continued execution here, plus commentary on further M&amp;A in the water management space, will be watched.</w:t>
      </w:r>
    </w:p>
    <w:p>
      <w:pPr>
        <w:pStyle w:val="BodyText"/>
      </w:pPr>
      <w:r>
        <w:rPr>
          <w:b/>
          <w:bCs/>
        </w:rPr>
        <w:t xml:space="preserve">f) Leadership transition.</w:t>
      </w:r>
      <w:r>
        <w:t xml:space="preserve"> </w:t>
      </w:r>
      <w:r>
        <w:t xml:space="preserve">This is the first quarterly report under a notably reshuffled leadership team: CEO Steve Shafer added the Chairman title after Kevin Wheeler's retirement (effective July 1), and new CFO Carrie Anderson (formerly of Campbell's) officially started July 1, 2026, succeeding long-tenured CFO Chuck Lauber. Watch for early signals on capital allocation or strategic tone from Anderson's first call.</w:t>
      </w:r>
    </w:p>
    <w:p>
      <w:pPr>
        <w:pStyle w:val="BodyText"/>
      </w:pPr>
      <w:r>
        <w:rPr>
          <w:b/>
          <w:bCs/>
        </w:rPr>
        <w:t xml:space="preserve">g) Capital returns.</w:t>
      </w:r>
      <w:r>
        <w:t xml:space="preserve"> </w:t>
      </w:r>
      <w:r>
        <w:t xml:space="preserve">Balance sheet leverage rose to 24.7% (from the Leonard Valve term loan), but the company still targets</w:t>
      </w:r>
      <w:r>
        <w:t xml:space="preserve"> </w:t>
      </w:r>
      <w:r>
        <w:rPr>
          <w:b/>
          <w:bCs/>
        </w:rPr>
        <w:t xml:space="preserve">$200 million of buybacks</w:t>
      </w:r>
      <w:r>
        <w:t xml:space="preserve"> </w:t>
      </w:r>
      <w:r>
        <w:t xml:space="preserve">in 2026 and raised its quarterly dividend to $0.36/share, extending a multi-decade streak of increases.</w:t>
      </w:r>
    </w:p>
    <w:bookmarkEnd w:id="13"/>
    <w:bookmarkStart w:id="14" w:name="Xc4eabf6fdb8819963971175ca701c7effecc164"/>
    <w:p>
      <w:pPr>
        <w:pStyle w:val="Heading2"/>
      </w:pPr>
      <w:r>
        <w:t xml:space="preserve">6. Peer Read-Through</w:t>
      </w:r>
    </w:p>
    <w:p>
      <w:pPr>
        <w:pStyle w:val="FirstParagraph"/>
      </w:pPr>
      <w:r>
        <w:t xml:space="preserve">Sector data points into the print have been mixed-to-positive, which may offer some support: Carrier Global beat Q2 estimates and</w:t>
      </w:r>
      <w:r>
        <w:t xml:space="preserve"> </w:t>
      </w:r>
      <w:r>
        <w:rPr>
          <w:b/>
          <w:bCs/>
        </w:rPr>
        <w:t xml:space="preserve">raised</w:t>
      </w:r>
      <w:r>
        <w:t xml:space="preserve"> </w:t>
      </w:r>
      <w:r>
        <w:t xml:space="preserve">its full-year outlook (despite flagging tariff-related margin pressure), and Watts Water Technologies posted strong double-digit EPS growth. That said, AOS's idiosyncratic exposure to Chinese consumer demand and U.S. residential water heater volumes makes it less comparable to diversified HVAC/building-products peers, so read-through should be treated as directional at best.</w:t>
      </w:r>
    </w:p>
    <w:bookmarkEnd w:id="14"/>
    <w:bookmarkStart w:id="15" w:name="X0e051d55b19f91cbdb8a388325318a68be025a8"/>
    <w:p>
      <w:pPr>
        <w:pStyle w:val="Heading2"/>
      </w:pPr>
      <w:r>
        <w:t xml:space="preserve">7. Valuation &amp; Sentiment Snapshot</w:t>
      </w:r>
    </w:p>
    <w:p>
      <w:pPr>
        <w:pStyle w:val="Compact"/>
        <w:numPr>
          <w:ilvl w:val="0"/>
          <w:numId w:val="1003"/>
        </w:numPr>
      </w:pPr>
      <w:r>
        <w:t xml:space="preserve">Stock has traded in a wide 52-week range (roughly mid-</w:t>
      </w:r>
      <m:oMath>
        <m:r>
          <m:t>50</m:t>
        </m:r>
        <m:r>
          <m:t>s</m:t>
        </m:r>
        <m:r>
          <m:t>t</m:t>
        </m:r>
        <m:r>
          <m:t>o</m:t>
        </m:r>
        <m:r>
          <m:t>l</m:t>
        </m:r>
        <m:r>
          <m:t>o</m:t>
        </m:r>
        <m:r>
          <m:t>w</m:t>
        </m:r>
        <m:r>
          <m:rPr>
            <m:sty m:val="p"/>
          </m:rPr>
          <m:t>−</m:t>
        </m:r>
      </m:oMath>
      <w:r>
        <w:t xml:space="preserve">80s), currently around</w:t>
      </w:r>
      <w:r>
        <w:t xml:space="preserve"> </w:t>
      </w:r>
      <w:r>
        <w:rPr>
          <w:b/>
          <w:bCs/>
        </w:rPr>
        <w:t xml:space="preserve">$62</w:t>
      </w:r>
      <w:r>
        <w:t xml:space="preserve">, well off its highs.</w:t>
      </w:r>
    </w:p>
    <w:p>
      <w:pPr>
        <w:pStyle w:val="Compact"/>
        <w:numPr>
          <w:ilvl w:val="0"/>
          <w:numId w:val="1003"/>
        </w:numPr>
      </w:pPr>
      <w:r>
        <w:t xml:space="preserve">Analyst views are split: JPMorgan cut to Underweight with a</w:t>
      </w:r>
      <w:r>
        <w:t xml:space="preserve"> </w:t>
      </w:r>
      <m:oMath>
        <m:r>
          <m:t>60</m:t>
        </m:r>
        <m:r>
          <m:t>p</m:t>
        </m:r>
        <m:r>
          <m:t>r</m:t>
        </m:r>
        <m:r>
          <m:t>i</m:t>
        </m:r>
        <m:r>
          <m:t>c</m:t>
        </m:r>
        <m:r>
          <m:t>e</m:t>
        </m:r>
        <m:r>
          <m:t>t</m:t>
        </m:r>
        <m:r>
          <m:t>a</m:t>
        </m:r>
        <m:r>
          <m:t>r</m:t>
        </m:r>
        <m:r>
          <m:t>g</m:t>
        </m:r>
        <m:r>
          <m:t>e</m:t>
        </m:r>
        <m:r>
          <m:t>t</m:t>
        </m:r>
        <m:r>
          <m:t>a</m:t>
        </m:r>
        <m:r>
          <m:t>f</m:t>
        </m:r>
        <m:r>
          <m:t>t</m:t>
        </m:r>
        <m:r>
          <m:t>e</m:t>
        </m:r>
        <m:r>
          <m:t>r</m:t>
        </m:r>
        <m:r>
          <m:t>Q</m:t>
        </m:r>
        <m:r>
          <m:t>1</m:t>
        </m:r>
        <m:r>
          <m:rPr>
            <m:sty m:val="p"/>
          </m:rPr>
          <m:t>,</m:t>
        </m:r>
        <m:r>
          <m:t>c</m:t>
        </m:r>
        <m:r>
          <m:t>i</m:t>
        </m:r>
        <m:r>
          <m:t>t</m:t>
        </m:r>
        <m:r>
          <m:t>i</m:t>
        </m:r>
        <m:r>
          <m:t>n</m:t>
        </m:r>
        <m:r>
          <m:t>g</m:t>
        </m:r>
        <m:r>
          <m:t>C</m:t>
        </m:r>
        <m:r>
          <m:t>h</m:t>
        </m:r>
        <m:r>
          <m:t>i</m:t>
        </m:r>
        <m:r>
          <m:t>n</m:t>
        </m:r>
        <m:r>
          <m:t>a</m:t>
        </m:r>
        <m:r>
          <m:t>a</m:t>
        </m:r>
        <m:r>
          <m:t>n</m:t>
        </m:r>
        <m:r>
          <m:t>d</m:t>
        </m:r>
        <m:r>
          <m:t>r</m:t>
        </m:r>
        <m:r>
          <m:t>e</m:t>
        </m:r>
        <m:r>
          <m:t>s</m:t>
        </m:r>
        <m:r>
          <m:t>i</m:t>
        </m:r>
        <m:r>
          <m:t>d</m:t>
        </m:r>
        <m:r>
          <m:t>e</m:t>
        </m:r>
        <m:r>
          <m:t>n</m:t>
        </m:r>
        <m:r>
          <m:t>t</m:t>
        </m:r>
        <m:r>
          <m:t>i</m:t>
        </m:r>
        <m:r>
          <m:t>a</m:t>
        </m:r>
        <m:r>
          <m:t>l</m:t>
        </m:r>
        <m:r>
          <m:t>d</m:t>
        </m:r>
        <m:r>
          <m:t>e</m:t>
        </m:r>
        <m:r>
          <m:t>m</m:t>
        </m:r>
        <m:r>
          <m:t>a</m:t>
        </m:r>
        <m:r>
          <m:t>n</m:t>
        </m:r>
        <m:r>
          <m:t>d</m:t>
        </m:r>
        <m:r>
          <m:t>r</m:t>
        </m:r>
        <m:r>
          <m:t>i</m:t>
        </m:r>
        <m:r>
          <m:t>s</m:t>
        </m:r>
        <m:r>
          <m:t>k</m:t>
        </m:r>
        <m:r>
          <m:rPr>
            <m:sty m:val="p"/>
          </m:rPr>
          <m:t>,</m:t>
        </m:r>
        <m:r>
          <m:t>w</m:t>
        </m:r>
        <m:r>
          <m:t>h</m:t>
        </m:r>
        <m:r>
          <m:t>i</m:t>
        </m:r>
        <m:r>
          <m:t>l</m:t>
        </m:r>
        <m:r>
          <m:t>e</m:t>
        </m:r>
        <m:r>
          <m:t>S</m:t>
        </m:r>
        <m:r>
          <m:t>t</m:t>
        </m:r>
        <m:r>
          <m:t>i</m:t>
        </m:r>
        <m:r>
          <m:t>f</m:t>
        </m:r>
        <m:r>
          <m:t>e</m:t>
        </m:r>
        <m:r>
          <m:t>l</m:t>
        </m:r>
        <m:r>
          <m:t>h</m:t>
        </m:r>
        <m:r>
          <m:t>a</m:t>
        </m:r>
        <m:r>
          <m:t>s</m:t>
        </m:r>
        <m:r>
          <m:t>r</m:t>
        </m:r>
        <m:r>
          <m:t>e</m:t>
        </m:r>
        <m:r>
          <m:t>i</m:t>
        </m:r>
        <m:r>
          <m:t>t</m:t>
        </m:r>
        <m:r>
          <m:t>e</m:t>
        </m:r>
        <m:r>
          <m:t>r</m:t>
        </m:r>
        <m:r>
          <m:t>a</m:t>
        </m:r>
        <m:r>
          <m:t>t</m:t>
        </m:r>
        <m:r>
          <m:t>e</m:t>
        </m:r>
        <m:r>
          <m:t>d</m:t>
        </m:r>
        <m:r>
          <m:t>B</m:t>
        </m:r>
        <m:r>
          <m:t>u</m:t>
        </m:r>
        <m:r>
          <m:t>y</m:t>
        </m:r>
        <m:r>
          <m:t>a</m:t>
        </m:r>
        <m:r>
          <m:t>n</m:t>
        </m:r>
        <m:r>
          <m:t>d</m:t>
        </m:r>
        <m:r>
          <m:t>l</m:t>
        </m:r>
        <m:r>
          <m:t>i</m:t>
        </m:r>
        <m:r>
          <m:t>f</m:t>
        </m:r>
        <m:r>
          <m:t>t</m:t>
        </m:r>
        <m:r>
          <m:t>e</m:t>
        </m:r>
        <m:r>
          <m:t>d</m:t>
        </m:r>
        <m:r>
          <m:t>i</m:t>
        </m:r>
        <m:r>
          <m:t>t</m:t>
        </m:r>
        <m:r>
          <m:t>s</m:t>
        </m:r>
        <m:r>
          <m:t>t</m:t>
        </m:r>
        <m:r>
          <m:t>a</m:t>
        </m:r>
        <m:r>
          <m:t>r</m:t>
        </m:r>
        <m:r>
          <m:t>g</m:t>
        </m:r>
        <m:r>
          <m:t>e</m:t>
        </m:r>
        <m:r>
          <m:t>t</m:t>
        </m:r>
        <m:r>
          <m:t>t</m:t>
        </m:r>
        <m:r>
          <m:t>o</m:t>
        </m:r>
        <m:r>
          <m:rPr>
            <m:sty m:val="p"/>
          </m:rPr>
          <m:t>*</m:t>
        </m:r>
        <m:r>
          <m:rPr>
            <m:sty m:val="p"/>
          </m:rPr>
          <m:t>*</m:t>
        </m:r>
      </m:oMath>
      <w:r>
        <w:t xml:space="preserve">76** on pricing power. Average sell-side price targets have been trending down alongside estimate cuts.</w:t>
      </w:r>
    </w:p>
    <w:p>
      <w:pPr>
        <w:pStyle w:val="Compact"/>
        <w:numPr>
          <w:ilvl w:val="0"/>
          <w:numId w:val="1003"/>
        </w:numPr>
      </w:pPr>
      <w:r>
        <w:t xml:space="preserve">Dividend yield is around 2.4%–2.5%, backed by a long dividend-growth track record, which may provide some valuation support if growth disappoints further.</w:t>
      </w:r>
    </w:p>
    <w:bookmarkEnd w:id="15"/>
    <w:bookmarkStart w:id="16" w:name="Xd2298109262e348cc69b8c3af4df6afc5cfe5b9"/>
    <w:p>
      <w:pPr>
        <w:pStyle w:val="Heading2"/>
      </w:pPr>
      <w:r>
        <w:t xml:space="preserve">8. Bottom Line for Investors</w:t>
      </w:r>
    </w:p>
    <w:p>
      <w:pPr>
        <w:pStyle w:val="FirstParagraph"/>
      </w:pPr>
      <w:r>
        <w:t xml:space="preserve">The bar for Q2 has already been reset lower after the Q1 guidance cut, and management pre-announced most of the moving pieces (weak China, a second China-related step-down, North America cost/price timing lag, and the water treatment restructuring charge). The print is therefore less about a single beat/miss and more about</w:t>
      </w:r>
      <w:r>
        <w:t xml:space="preserve"> </w:t>
      </w:r>
      <w:r>
        <w:rPr>
          <w:b/>
          <w:bCs/>
        </w:rPr>
        <w:t xml:space="preserve">directional confirmation</w:t>
      </w:r>
      <w:r>
        <w:t xml:space="preserve">: Is North America wholesale share truly stabilizing? Is price catching cost as promised for the second half? And — most importantly for the stock's re-rating potential — is there any incremental clarity on the China strategic review? A "clean" quarter with reaffirmed full-year guidance and any positive China commentary could meaningfully de-risk the stock from current levels; another guidance cut or an indefinite China timeline would likely reinforce the bear case.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2026-07-29T18:57:04Z</dcterms:created>
  <dcterms:modified xsi:type="dcterms:W3CDTF">2026-07-29T18:57:04Z</dcterms:modified>
</cp:coreProperties>
</file>

<file path=docProps/custom.xml><?xml version="1.0" encoding="utf-8"?>
<Properties xmlns="http://schemas.openxmlformats.org/officeDocument/2006/custom-properties" xmlns:vt="http://schemas.openxmlformats.org/officeDocument/2006/docPropsVTypes"/>
</file>