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212852c3ba5b362de5dece2e5fe0e24697a804"/>
    <w:p>
      <w:pPr>
        <w:pStyle w:val="Heading1"/>
      </w:pPr>
      <w:r>
        <w:t xml:space="preserve">A. O. Smith (NYSE: AOS) — Q2 2026 Earnings Preview</w:t>
      </w:r>
    </w:p>
    <w:p>
      <w:pPr>
        <w:pStyle w:val="FirstParagraph"/>
      </w:pPr>
      <w:r>
        <w:rPr>
          <w:b/>
          <w:bCs/>
        </w:rPr>
        <w:t xml:space="preserve">Report:</w:t>
      </w:r>
      <w:r>
        <w:t xml:space="preserve"> </w:t>
      </w:r>
      <w:r>
        <w:t xml:space="preserve">Thursday, July 30, 2026, before market open</w:t>
      </w:r>
      <w:r>
        <w:br/>
      </w:r>
      <w:r>
        <w:rPr>
          <w:b/>
          <w:bCs/>
        </w:rPr>
        <w:t xml:space="preserve">Conference call:</w:t>
      </w:r>
      <w:r>
        <w:t xml:space="preserve"> </w:t>
      </w:r>
      <w:r>
        <w:t xml:space="preserve">10:00 a.m. ET</w:t>
      </w:r>
      <w:r>
        <w:br/>
      </w:r>
      <w:r>
        <w:rPr>
          <w:b/>
          <w:bCs/>
        </w:rPr>
        <w:t xml:space="preserve">Closing price on July 29:</w:t>
      </w:r>
      <w:r>
        <w:t xml:space="preserve"> </w:t>
      </w:r>
      <w:r>
        <w:t xml:space="preserve">$62.19</w:t>
      </w:r>
    </w:p>
    <w:bookmarkStart w:id="9" w:name="investor-takeaway"/>
    <w:p>
      <w:pPr>
        <w:pStyle w:val="Heading2"/>
      </w:pPr>
      <w:r>
        <w:t xml:space="preserve">Investor takeaway</w:t>
      </w:r>
    </w:p>
    <w:p>
      <w:pPr>
        <w:pStyle w:val="FirstParagraph"/>
      </w:pPr>
      <w:r>
        <w:t xml:space="preserve">This report is less about whether A. O. Smith beats quarterly consensus by a few cents and more about whether management can</w:t>
      </w:r>
      <w:r>
        <w:t xml:space="preserve"> </w:t>
      </w:r>
      <w:r>
        <w:rPr>
          <w:b/>
          <w:bCs/>
        </w:rPr>
        <w:t xml:space="preserve">defend its recently reduced full-year outlook</w:t>
      </w:r>
      <w:r>
        <w:t xml:space="preserve">.</w:t>
      </w:r>
    </w:p>
    <w:p>
      <w:pPr>
        <w:pStyle w:val="BodyText"/>
      </w:pPr>
      <w:r>
        <w:t xml:space="preserve">Q2 was already expected to contain three significant pressures:</w:t>
      </w:r>
    </w:p>
    <w:p>
      <w:pPr>
        <w:pStyle w:val="Compact"/>
        <w:numPr>
          <w:ilvl w:val="0"/>
          <w:numId w:val="1001"/>
        </w:numPr>
      </w:pPr>
      <w:r>
        <w:t xml:space="preserve">A sharp sequential decline in China.</w:t>
      </w:r>
    </w:p>
    <w:p>
      <w:pPr>
        <w:pStyle w:val="Compact"/>
        <w:numPr>
          <w:ilvl w:val="0"/>
          <w:numId w:val="1001"/>
        </w:numPr>
      </w:pPr>
      <w:r>
        <w:t xml:space="preserve">Higher steel and transportation costs arriving before the full benefit of North American price increases.</w:t>
      </w:r>
    </w:p>
    <w:p>
      <w:pPr>
        <w:pStyle w:val="Compact"/>
        <w:numPr>
          <w:ilvl w:val="0"/>
          <w:numId w:val="1001"/>
        </w:numPr>
      </w:pPr>
      <w:r>
        <w:t xml:space="preserve">An approximately $20 million water-treatment restructuring and impairment charge.</w:t>
      </w:r>
    </w:p>
    <w:p>
      <w:pPr>
        <w:pStyle w:val="FirstParagraph"/>
      </w:pPr>
      <w:r>
        <w:t xml:space="preserve">North America should partly offset those pressures through weather-related production recovery, some buying ahead of price increases, Leonard Valve contributions, and improving boiler demand. The most important questions are whether those offsets were sufficient—and whether management still expects a meaningful second-half earnings recovery.</w:t>
      </w:r>
    </w:p>
    <w:p>
      <w:r>
        <w:pict>
          <v:rect style="width:0;height:1.5pt" o:hralign="center" o:hrstd="t" o:hr="t"/>
        </w:pict>
      </w:r>
    </w:p>
    <w:bookmarkEnd w:id="9"/>
    <w:bookmarkStart w:id="12" w:name="expectations-and-comparisons"/>
    <w:p>
      <w:pPr>
        <w:pStyle w:val="Heading2"/>
      </w:pPr>
      <w:r>
        <w:t xml:space="preserve">Expectations and comparisons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expectation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$995 million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$1.011 billion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About</w:t>
            </w:r>
            <w:r>
              <w:t xml:space="preserve"> </w:t>
            </w:r>
            <w:r>
              <w:rPr>
                <w:b/>
                <w:bCs/>
              </w:rPr>
              <w:t xml:space="preserve">-2%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0.95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0.96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$1.07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About</w:t>
            </w:r>
            <w:r>
              <w:t xml:space="preserve"> </w:t>
            </w:r>
            <w:r>
              <w:rPr>
                <w:b/>
                <w:bCs/>
              </w:rPr>
              <w:t xml:space="preserve">-10%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Potentially around</w:t>
            </w:r>
            <w:r>
              <w:t xml:space="preserve"> </w:t>
            </w:r>
            <m:oMath>
              <m:r>
                <m:t>0.85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0.86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$1.07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Includes restructuring charge</w:t>
            </w:r>
          </w:p>
        </w:tc>
      </w:tr>
    </w:tbl>
    <w:p>
      <w:pPr>
        <w:pStyle w:val="BodyText"/>
      </w:pPr>
      <w:r>
        <w:t xml:space="preserve">Published estimates cluster around</w:t>
      </w:r>
      <w:r>
        <w:t xml:space="preserve"> </w:t>
      </w:r>
      <m:oMath>
        <m:r>
          <m:t>0.95</m:t>
        </m:r>
        <m:r>
          <m:rPr>
            <m:sty m:val="p"/>
          </m:rPr>
          <m:t>–</m:t>
        </m:r>
      </m:oMath>
      <w:r>
        <w:t xml:space="preserve">0.96 of EPS and approximately $995 million of revenue. Management itself said on the Q1 call that Q2 EPS should be approximately 25% of the $3.85 midpoint of its annual adjusted guidance—roughly $0.96. (</w:t>
      </w:r>
      <w:hyperlink r:id="rId10">
        <w:r>
          <w:rPr>
            <w:rStyle w:val="Hyperlink"/>
          </w:rPr>
          <w:t xml:space="preserve">benzinga.com</w:t>
        </w:r>
      </w:hyperlink>
      <w:r>
        <w:t xml:space="preserve">)</w:t>
      </w:r>
    </w:p>
    <w:p>
      <w:pPr>
        <w:pStyle w:val="BodyText"/>
      </w:pPr>
      <w:r>
        <w:t xml:space="preserve">Investors should distinguish</w:t>
      </w:r>
      <w:r>
        <w:t xml:space="preserve"> </w:t>
      </w:r>
      <w:r>
        <w:rPr>
          <w:b/>
          <w:bCs/>
        </w:rPr>
        <w:t xml:space="preserve">adjusted EPS from GAAP EPS</w:t>
      </w:r>
      <w:r>
        <w:t xml:space="preserve">. A. O. Smith expects to recognize roughly $20 million of pre-tax North American water-treatment restructuring and impairment expense in Q2, representing approximately $0.10 per share after tax in its full-year reconciliation. (</w:t>
      </w:r>
      <w:hyperlink r:id="rId11">
        <w:r>
          <w:rPr>
            <w:rStyle w:val="Hyperlink"/>
          </w:rPr>
          <w:t xml:space="preserve">investor.aosmith.com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2"/>
    <w:bookmarkStart w:id="18" w:name="Xef546253579ef8c916259a1db92df85cdd0c784"/>
    <w:p>
      <w:pPr>
        <w:pStyle w:val="Heading2"/>
      </w:pPr>
      <w:r>
        <w:t xml:space="preserve">The five issues that should drive the reaction</w:t>
      </w:r>
    </w:p>
    <w:bookmarkStart w:id="13" w:name="X02f3885f968d73de558a5132ff471f8f0a23f0d"/>
    <w:p>
      <w:pPr>
        <w:pStyle w:val="Heading3"/>
      </w:pPr>
      <w:r>
        <w:t xml:space="preserve">1. China is the largest downside risk</w:t>
      </w:r>
    </w:p>
    <w:p>
      <w:pPr>
        <w:pStyle w:val="FirstParagraph"/>
      </w:pPr>
      <w:r>
        <w:t xml:space="preserve">Management entered Q2 expecting China sales to decline approximately</w:t>
      </w:r>
      <w:r>
        <w:t xml:space="preserve"> </w:t>
      </w:r>
      <w:r>
        <w:rPr>
          <w:b/>
          <w:bCs/>
        </w:rPr>
        <w:t xml:space="preserve">15% sequentially from Q1</w:t>
      </w:r>
      <w:r>
        <w:t xml:space="preserve">, as the company reduced channel inventories to match weak demand. It also indicated decremental margins of roughly 35%–40%, making this decline disproportionately painful to earnings.</w:t>
      </w:r>
    </w:p>
    <w:p>
      <w:pPr>
        <w:pStyle w:val="BodyText"/>
      </w:pPr>
      <w:r>
        <w:t xml:space="preserve">China sales had already fallen 17% in local currency during Q1, while Rest of World margin contracted to 6.2% from 8.7%. The principal causes were weak consumer confidence, the expiration of appliance stimulus programs and continued pressure in the premium categories where A. O. Smith competes. (</w:t>
      </w:r>
      <w:hyperlink r:id="rId11">
        <w:r>
          <w:rPr>
            <w:rStyle w:val="Hyperlink"/>
          </w:rPr>
          <w:t xml:space="preserve">investor.aosmith.com</w:t>
        </w:r>
      </w:hyperlink>
      <w:r>
        <w:t xml:space="preserve">)</w:t>
      </w:r>
    </w:p>
    <w:p>
      <w:pPr>
        <w:pStyle w:val="BodyText"/>
      </w:pPr>
      <w:r>
        <w:t xml:space="preserve">What matters tomorrow:</w:t>
      </w:r>
    </w:p>
    <w:p>
      <w:pPr>
        <w:pStyle w:val="Compact"/>
        <w:numPr>
          <w:ilvl w:val="0"/>
          <w:numId w:val="1002"/>
        </w:numPr>
      </w:pPr>
      <w:r>
        <w:t xml:space="preserve">Was the sequential decline close to the expected 15%, or worse?</w:t>
      </w:r>
    </w:p>
    <w:p>
      <w:pPr>
        <w:pStyle w:val="Compact"/>
        <w:numPr>
          <w:ilvl w:val="0"/>
          <w:numId w:val="1002"/>
        </w:numPr>
      </w:pPr>
      <w:r>
        <w:t xml:space="preserve">Are channel inventories now appropriately balanced?</w:t>
      </w:r>
    </w:p>
    <w:p>
      <w:pPr>
        <w:pStyle w:val="Compact"/>
        <w:numPr>
          <w:ilvl w:val="0"/>
          <w:numId w:val="1002"/>
        </w:numPr>
      </w:pPr>
      <w:r>
        <w:t xml:space="preserve">Did cost reductions protect Rest of World margin?</w:t>
      </w:r>
    </w:p>
    <w:p>
      <w:pPr>
        <w:pStyle w:val="Compact"/>
        <w:numPr>
          <w:ilvl w:val="0"/>
          <w:numId w:val="1002"/>
        </w:numPr>
      </w:pPr>
      <w:r>
        <w:t xml:space="preserve">Does management still expect China sales to decline only low double digits for the full year?</w:t>
      </w:r>
    </w:p>
    <w:p>
      <w:pPr>
        <w:pStyle w:val="Compact"/>
        <w:numPr>
          <w:ilvl w:val="0"/>
          <w:numId w:val="1002"/>
        </w:numPr>
      </w:pPr>
      <w:r>
        <w:t xml:space="preserve">Is there tangible progress on the strategic review?</w:t>
      </w:r>
    </w:p>
    <w:p>
      <w:pPr>
        <w:pStyle w:val="FirstParagraph"/>
      </w:pPr>
      <w:r>
        <w:t xml:space="preserve">The strategic assessment was initiated in July 2025 and management said in April that it hoped to provide greater clarity within the following few months. A specific partnership, restructuring plan or other portfolio decision would likely matter more to the stock than a modest quarterly EPS beat.</w:t>
      </w:r>
    </w:p>
    <w:p>
      <w:r>
        <w:pict>
          <v:rect style="width:0;height:1.5pt" o:hralign="center" o:hrstd="t" o:hr="t"/>
        </w:pict>
      </w:r>
    </w:p>
    <w:bookmarkEnd w:id="13"/>
    <w:bookmarkStart w:id="14" w:name="Xf2b15317e212aed5b85b186643a6e6eaf837c94"/>
    <w:p>
      <w:pPr>
        <w:pStyle w:val="Heading3"/>
      </w:pPr>
      <w:r>
        <w:t xml:space="preserve">2. North American demand must offset China</w:t>
      </w:r>
    </w:p>
    <w:p>
      <w:pPr>
        <w:pStyle w:val="FirstParagraph"/>
      </w:pPr>
      <w:r>
        <w:t xml:space="preserve">North America is expected to produce the quarter’s relative strength.</w:t>
      </w:r>
    </w:p>
    <w:p>
      <w:pPr>
        <w:pStyle w:val="BodyText"/>
      </w:pPr>
      <w:r>
        <w:t xml:space="preserve">Q1 residential water-heater sales were hurt by storm-related production and shipping disruptions at the Ashland City, Tennessee plant. Management expected a limited recovery benefit in Q2. It also anticipated some customer purchases ahead of price increases that became effective around mid-May.</w:t>
      </w:r>
    </w:p>
    <w:p>
      <w:pPr>
        <w:pStyle w:val="BodyText"/>
      </w:pPr>
      <w:r>
        <w:t xml:space="preserve">The underlying demand picture remains mixed:</w:t>
      </w:r>
    </w:p>
    <w:p>
      <w:pPr>
        <w:pStyle w:val="Compact"/>
        <w:numPr>
          <w:ilvl w:val="0"/>
          <w:numId w:val="1003"/>
        </w:numPr>
      </w:pPr>
      <w:r>
        <w:t xml:space="preserve">Residential water-heater industry shipments are expected to be flat to slightly down for 2026.</w:t>
      </w:r>
    </w:p>
    <w:p>
      <w:pPr>
        <w:pStyle w:val="Compact"/>
        <w:numPr>
          <w:ilvl w:val="0"/>
          <w:numId w:val="1003"/>
        </w:numPr>
      </w:pPr>
      <w:r>
        <w:t xml:space="preserve">New construction remains soft, although replacement demand is steadier.</w:t>
      </w:r>
    </w:p>
    <w:p>
      <w:pPr>
        <w:pStyle w:val="Compact"/>
        <w:numPr>
          <w:ilvl w:val="0"/>
          <w:numId w:val="1003"/>
        </w:numPr>
      </w:pPr>
      <w:r>
        <w:t xml:space="preserve">Wholesale market share stabilized in Q1 after prior pressure.</w:t>
      </w:r>
    </w:p>
    <w:p>
      <w:pPr>
        <w:pStyle w:val="Compact"/>
        <w:numPr>
          <w:ilvl w:val="0"/>
          <w:numId w:val="1003"/>
        </w:numPr>
      </w:pPr>
      <w:r>
        <w:t xml:space="preserve">Retail share and customer relationships remained comparatively strong.</w:t>
      </w:r>
    </w:p>
    <w:p>
      <w:pPr>
        <w:pStyle w:val="Compact"/>
        <w:numPr>
          <w:ilvl w:val="0"/>
          <w:numId w:val="1003"/>
        </w:numPr>
      </w:pPr>
      <w:r>
        <w:t xml:space="preserve">Commercial water-heater expectations were reduced after the Department of Energy delayed enforcement of a regulatory transition.</w:t>
      </w:r>
    </w:p>
    <w:p>
      <w:pPr>
        <w:pStyle w:val="Compact"/>
        <w:numPr>
          <w:ilvl w:val="0"/>
          <w:numId w:val="1003"/>
        </w:numPr>
      </w:pPr>
      <w:r>
        <w:t xml:space="preserve">Boiler sales are still expected to grow 6%–8%, although pricing represents a meaningful portion of that growth.</w:t>
      </w:r>
    </w:p>
    <w:p>
      <w:pPr>
        <w:pStyle w:val="FirstParagraph"/>
      </w:pPr>
      <w:r>
        <w:t xml:space="preserve">A solid headline North America result could therefore contain temporary benefits. Investors should listen carefully for the difference between</w:t>
      </w:r>
      <w:r>
        <w:t xml:space="preserve"> </w:t>
      </w:r>
      <w:r>
        <w:rPr>
          <w:b/>
          <w:bCs/>
        </w:rPr>
        <w:t xml:space="preserve">end-market sell-through and channel buying ahead of price increases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4"/>
    <w:bookmarkStart w:id="15" w:name="X5b9e446239a68b49d7016a731a0bc880a986613"/>
    <w:p>
      <w:pPr>
        <w:pStyle w:val="Heading3"/>
      </w:pPr>
      <w:r>
        <w:t xml:space="preserve">3. Price/cost timing will determine the margin outlook</w:t>
      </w:r>
    </w:p>
    <w:p>
      <w:pPr>
        <w:pStyle w:val="FirstParagraph"/>
      </w:pPr>
      <w:r>
        <w:t xml:space="preserve">Management expects steel costs to rise approximately 15% year over year in 2026. It also raised its assumptions for transportation, non-steel materials and tariffs, collectively expecting those factors to increase total-company cost of goods sold by roughly 3%.</w:t>
      </w:r>
    </w:p>
    <w:p>
      <w:pPr>
        <w:pStyle w:val="BodyText"/>
      </w:pPr>
      <w:r>
        <w:t xml:space="preserve">The timing is unfavorable in Q2:</w:t>
      </w:r>
    </w:p>
    <w:p>
      <w:pPr>
        <w:pStyle w:val="Compact"/>
        <w:numPr>
          <w:ilvl w:val="0"/>
          <w:numId w:val="1004"/>
        </w:numPr>
      </w:pPr>
      <w:r>
        <w:t xml:space="preserve">Steel, diesel and transportation costs increased during the quarter.</w:t>
      </w:r>
    </w:p>
    <w:p>
      <w:pPr>
        <w:pStyle w:val="Compact"/>
        <w:numPr>
          <w:ilvl w:val="0"/>
          <w:numId w:val="1004"/>
        </w:numPr>
      </w:pPr>
      <w:r>
        <w:t xml:space="preserve">Water-heater and boiler price increases ranged from approximately 4% to 7%.</w:t>
      </w:r>
    </w:p>
    <w:p>
      <w:pPr>
        <w:pStyle w:val="Compact"/>
        <w:numPr>
          <w:ilvl w:val="0"/>
          <w:numId w:val="1004"/>
        </w:numPr>
      </w:pPr>
      <w:r>
        <w:t xml:space="preserve">Management did not expect the full pricing benefit until Q3.</w:t>
      </w:r>
    </w:p>
    <w:p>
      <w:pPr>
        <w:pStyle w:val="FirstParagraph"/>
      </w:pPr>
      <w:r>
        <w:t xml:space="preserve">Consequently, management explicitly anticipated some Q2 North America margin pressure before price/cost improves in the second half. The company’s full-year North America margin target remains approximately 24%, versus 23.3% in Q1 and 25.4% in Q2 2025.</w:t>
      </w:r>
    </w:p>
    <w:p>
      <w:pPr>
        <w:pStyle w:val="BodyText"/>
      </w:pPr>
      <w:r>
        <w:t xml:space="preserve">A constructive report would show:</w:t>
      </w:r>
    </w:p>
    <w:p>
      <w:pPr>
        <w:pStyle w:val="Compact"/>
        <w:numPr>
          <w:ilvl w:val="0"/>
          <w:numId w:val="1005"/>
        </w:numPr>
      </w:pPr>
      <w:r>
        <w:t xml:space="preserve">North America margin holding reasonably close to 24%.</w:t>
      </w:r>
    </w:p>
    <w:p>
      <w:pPr>
        <w:pStyle w:val="Compact"/>
        <w:numPr>
          <w:ilvl w:val="0"/>
          <w:numId w:val="1005"/>
        </w:numPr>
      </w:pPr>
      <w:r>
        <w:t xml:space="preserve">Strong acceptance of the announced price increases.</w:t>
      </w:r>
    </w:p>
    <w:p>
      <w:pPr>
        <w:pStyle w:val="Compact"/>
        <w:numPr>
          <w:ilvl w:val="0"/>
          <w:numId w:val="1005"/>
        </w:numPr>
      </w:pPr>
      <w:r>
        <w:t xml:space="preserve">No need for additional material pricing actions.</w:t>
      </w:r>
    </w:p>
    <w:p>
      <w:pPr>
        <w:pStyle w:val="Compact"/>
        <w:numPr>
          <w:ilvl w:val="0"/>
          <w:numId w:val="1005"/>
        </w:numPr>
      </w:pPr>
      <w:r>
        <w:t xml:space="preserve">Confidence that price will exceed inflation in Q3 and Q4.</w:t>
      </w:r>
    </w:p>
    <w:p>
      <w:pPr>
        <w:pStyle w:val="FirstParagraph"/>
      </w:pPr>
      <w:r>
        <w:t xml:space="preserve">A margin miss accompanied by further cost inflation would place the full-year EPS range at risk.</w:t>
      </w:r>
    </w:p>
    <w:p>
      <w:r>
        <w:pict>
          <v:rect style="width:0;height:1.5pt" o:hralign="center" o:hrstd="t" o:hr="t"/>
        </w:pict>
      </w:r>
    </w:p>
    <w:bookmarkEnd w:id="15"/>
    <w:bookmarkStart w:id="16" w:name="X277c813a6944f6f8831c533ddb2d0648a414b5d"/>
    <w:p>
      <w:pPr>
        <w:pStyle w:val="Heading3"/>
      </w:pPr>
      <w:r>
        <w:t xml:space="preserve">4. The full-year guidance requires a credible second-half recovery</w:t>
      </w:r>
    </w:p>
    <w:p>
      <w:pPr>
        <w:pStyle w:val="FirstParagraph"/>
      </w:pPr>
      <w:r>
        <w:t xml:space="preserve">Current company guidance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2026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3.9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4.0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2%–4%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3.70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3.60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3.90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525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575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North America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24%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 of World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6%–7%</w:t>
            </w:r>
          </w:p>
        </w:tc>
      </w:tr>
    </w:tbl>
    <w:p>
      <w:pPr>
        <w:pStyle w:val="BodyText"/>
      </w:pPr>
      <w:r>
        <w:t xml:space="preserve">This guidance was already reduced in April: adjusted EPS came down from</w:t>
      </w:r>
      <w:r>
        <w:t xml:space="preserve"> </w:t>
      </w:r>
      <m:oMath>
        <m:r>
          <m:t>3.85</m:t>
        </m:r>
        <m:r>
          <m:rPr>
            <m:sty m:val="p"/>
          </m:rPr>
          <m:t>–</m:t>
        </m:r>
      </m:oMath>
      <w:r>
        <w:t xml:space="preserve">4.15, primarily because of China and the changed U.S. commercial water-heater regulatory outlook. (</w:t>
      </w:r>
      <w:hyperlink r:id="rId11">
        <w:r>
          <w:rPr>
            <w:rStyle w:val="Hyperlink"/>
          </w:rPr>
          <w:t xml:space="preserve">investor.aosmith.com</w:t>
        </w:r>
      </w:hyperlink>
      <w:r>
        <w:t xml:space="preserve">)</w:t>
      </w:r>
    </w:p>
    <w:p>
      <w:pPr>
        <w:pStyle w:val="BodyText"/>
      </w:pPr>
      <w:r>
        <w:t xml:space="preserve">If A. O. Smith earns $0.96 in Q2, first-half EPS would be approximately $1.81. That leaves: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$1.89</w:t>
      </w:r>
      <w:r>
        <w:t xml:space="preserve"> </w:t>
      </w:r>
      <w:r>
        <w:t xml:space="preserve">of second-half EPS to reach the low end.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$2.04</w:t>
      </w:r>
      <w:r>
        <w:t xml:space="preserve"> </w:t>
      </w:r>
      <w:r>
        <w:t xml:space="preserve">to reach the midpoint.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$2.19</w:t>
      </w:r>
      <w:r>
        <w:t xml:space="preserve"> </w:t>
      </w:r>
      <w:r>
        <w:t xml:space="preserve">to reach the high end.</w:t>
      </w:r>
    </w:p>
    <w:p>
      <w:pPr>
        <w:pStyle w:val="FirstParagraph"/>
      </w:pPr>
      <w:r>
        <w:t xml:space="preserve">The midpoint would require roughly 11% growth over the combined $1.84 earned in Q3 and Q4 of 2025. That is achievable through pricing, a lower share count, Leonard Valve and normal China seasonality—but it is not an undemanding hurdle.</w:t>
      </w:r>
    </w:p>
    <w:p>
      <w:pPr>
        <w:pStyle w:val="BodyText"/>
      </w:pPr>
      <w:r>
        <w:t xml:space="preserve">A simple reiteration of guidance may not be enough. Investors will want a persuasive bridge showing how pricing and productivity produce the required second-half acceleration.</w:t>
      </w:r>
    </w:p>
    <w:p>
      <w:r>
        <w:pict>
          <v:rect style="width:0;height:1.5pt" o:hralign="center" o:hrstd="t" o:hr="t"/>
        </w:pict>
      </w:r>
    </w:p>
    <w:bookmarkEnd w:id="16"/>
    <w:bookmarkStart w:id="17" w:name="X87215c3c74dedbed92e44c212136834ae087bf0"/>
    <w:p>
      <w:pPr>
        <w:pStyle w:val="Heading3"/>
      </w:pPr>
      <w:r>
        <w:t xml:space="preserve">5. Leonard Valve, water treatment and cash flow</w:t>
      </w:r>
    </w:p>
    <w:p>
      <w:pPr>
        <w:pStyle w:val="FirstParagraph"/>
      </w:pPr>
      <w:r>
        <w:t xml:space="preserve">Leonard Valve contributed $16 million of Q1 sales and entered Q2 with a strong backlog. Management continues to expect approximately $70 million of 2026 revenue and double-digit growth. The key questions are whether integration remains on schedule and whether joint selling is beginning to produce measurable opportunities.</w:t>
      </w:r>
    </w:p>
    <w:p>
      <w:pPr>
        <w:pStyle w:val="BodyText"/>
      </w:pPr>
      <w:r>
        <w:t xml:space="preserve">North American water treatment is undergoing another reset:</w:t>
      </w:r>
    </w:p>
    <w:p>
      <w:pPr>
        <w:pStyle w:val="Compact"/>
        <w:numPr>
          <w:ilvl w:val="0"/>
          <w:numId w:val="1007"/>
        </w:numPr>
      </w:pPr>
      <w:r>
        <w:t xml:space="preserve">2026 sales-growth target: 5%–6%.</w:t>
      </w:r>
    </w:p>
    <w:p>
      <w:pPr>
        <w:pStyle w:val="Compact"/>
        <w:numPr>
          <w:ilvl w:val="0"/>
          <w:numId w:val="1007"/>
        </w:numPr>
      </w:pPr>
      <w:r>
        <w:t xml:space="preserve">Priority dealer channel expected to grow double digits.</w:t>
      </w:r>
    </w:p>
    <w:p>
      <w:pPr>
        <w:pStyle w:val="Compact"/>
        <w:numPr>
          <w:ilvl w:val="0"/>
          <w:numId w:val="1007"/>
        </w:numPr>
      </w:pPr>
      <w:r>
        <w:t xml:space="preserve">Consumer-facing channels remain soft and have experienced product trade-down.</w:t>
      </w:r>
    </w:p>
    <w:p>
      <w:pPr>
        <w:pStyle w:val="Compact"/>
        <w:numPr>
          <w:ilvl w:val="0"/>
          <w:numId w:val="1007"/>
        </w:numPr>
      </w:pPr>
      <w:r>
        <w:t xml:space="preserve">Management targets approximately 15% operating margin in 2026.</w:t>
      </w:r>
    </w:p>
    <w:p>
      <w:pPr>
        <w:pStyle w:val="Compact"/>
        <w:numPr>
          <w:ilvl w:val="0"/>
          <w:numId w:val="1007"/>
        </w:numPr>
      </w:pPr>
      <w:r>
        <w:t xml:space="preserve">The current restructuring is expected to add</w:t>
      </w:r>
      <w:r>
        <w:t xml:space="preserve"> </w:t>
      </w:r>
      <m:oMath>
        <m:r>
          <m:t>6</m:t>
        </m:r>
        <m:r>
          <m:rPr>
            <m:sty m:val="p"/>
          </m:rPr>
          <m:t>–</m:t>
        </m:r>
      </m:oMath>
      <w:r>
        <w:t xml:space="preserve">8 million of annual savings beginning in 2027.</w:t>
      </w:r>
    </w:p>
    <w:p>
      <w:pPr>
        <w:pStyle w:val="FirstParagraph"/>
      </w:pPr>
      <w:r>
        <w:t xml:space="preserve">Finally, Q1 free cash flow was unusually strong at $119 million because of working-capital timing. Investors should expect some normalization but will want the company to retain its</w:t>
      </w:r>
      <w:r>
        <w:t xml:space="preserve"> </w:t>
      </w:r>
      <m:oMath>
        <m:r>
          <m:t>525</m:t>
        </m:r>
        <m:r>
          <m:rPr>
            <m:sty m:val="p"/>
          </m:rPr>
          <m:t>–</m:t>
        </m:r>
      </m:oMath>
      <w:r>
        <w:t xml:space="preserve">575 million annual target. A. O. Smith also plans approximately $200 million of share repurchases despite debt rising to $616 million following the Leonard acquisition. (</w:t>
      </w:r>
      <w:hyperlink r:id="rId11">
        <w:r>
          <w:rPr>
            <w:rStyle w:val="Hyperlink"/>
          </w:rPr>
          <w:t xml:space="preserve">investor.aosmith.com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2" w:name="Xedeb3e8b8b6b50bd9ad09e91404d25836e6b0e2"/>
    <w:p>
      <w:pPr>
        <w:pStyle w:val="Heading2"/>
      </w:pPr>
      <w:r>
        <w:t xml:space="preserve">What would constitute a good or bad report?</w:t>
      </w:r>
    </w:p>
    <w:bookmarkStart w:id="19" w:name="bullish-outcome"/>
    <w:p>
      <w:pPr>
        <w:pStyle w:val="Heading3"/>
      </w:pPr>
      <w:r>
        <w:t xml:space="preserve">Bullish outcome</w:t>
      </w:r>
    </w:p>
    <w:p>
      <w:pPr>
        <w:pStyle w:val="Compact"/>
        <w:numPr>
          <w:ilvl w:val="0"/>
          <w:numId w:val="1008"/>
        </w:numPr>
      </w:pPr>
      <w:r>
        <w:t xml:space="preserve">Adjusted EPS of approximately $1.00 or better.</w:t>
      </w:r>
    </w:p>
    <w:p>
      <w:pPr>
        <w:pStyle w:val="Compact"/>
        <w:numPr>
          <w:ilvl w:val="0"/>
          <w:numId w:val="1008"/>
        </w:numPr>
      </w:pPr>
      <w:r>
        <w:t xml:space="preserve">Revenue at or above $1 billion.</w:t>
      </w:r>
    </w:p>
    <w:p>
      <w:pPr>
        <w:pStyle w:val="Compact"/>
        <w:numPr>
          <w:ilvl w:val="0"/>
          <w:numId w:val="1008"/>
        </w:numPr>
      </w:pPr>
      <w:r>
        <w:t xml:space="preserve">North America margin near 24.5%–25%.</w:t>
      </w:r>
    </w:p>
    <w:p>
      <w:pPr>
        <w:pStyle w:val="Compact"/>
        <w:numPr>
          <w:ilvl w:val="0"/>
          <w:numId w:val="1008"/>
        </w:numPr>
      </w:pPr>
      <w:r>
        <w:t xml:space="preserve">China performs no worse than the planned sequential decline.</w:t>
      </w:r>
    </w:p>
    <w:p>
      <w:pPr>
        <w:pStyle w:val="Compact"/>
        <w:numPr>
          <w:ilvl w:val="0"/>
          <w:numId w:val="1008"/>
        </w:numPr>
      </w:pPr>
      <w:r>
        <w:t xml:space="preserve">Evidence that China inventories are now balanced.</w:t>
      </w:r>
    </w:p>
    <w:p>
      <w:pPr>
        <w:pStyle w:val="Compact"/>
        <w:numPr>
          <w:ilvl w:val="0"/>
          <w:numId w:val="1008"/>
        </w:numPr>
      </w:pPr>
      <w:r>
        <w:t xml:space="preserve">Full-year guidance reaffirmed with confidence—or narrowed upward.</w:t>
      </w:r>
    </w:p>
    <w:p>
      <w:pPr>
        <w:pStyle w:val="Compact"/>
        <w:numPr>
          <w:ilvl w:val="0"/>
          <w:numId w:val="1008"/>
        </w:numPr>
      </w:pPr>
      <w:r>
        <w:t xml:space="preserve">Concrete progress on the China strategic review.</w:t>
      </w:r>
    </w:p>
    <w:p>
      <w:pPr>
        <w:pStyle w:val="Compact"/>
        <w:numPr>
          <w:ilvl w:val="0"/>
          <w:numId w:val="1008"/>
        </w:numPr>
      </w:pPr>
      <w:r>
        <w:t xml:space="preserve">Clear visibility to positive price/cost in Q3.</w:t>
      </w:r>
    </w:p>
    <w:bookmarkEnd w:id="19"/>
    <w:bookmarkStart w:id="20" w:name="base-case-outcome"/>
    <w:p>
      <w:pPr>
        <w:pStyle w:val="Heading3"/>
      </w:pPr>
      <w:r>
        <w:t xml:space="preserve">Base-case outcome</w:t>
      </w:r>
    </w:p>
    <w:p>
      <w:pPr>
        <w:pStyle w:val="Compact"/>
        <w:numPr>
          <w:ilvl w:val="0"/>
          <w:numId w:val="1009"/>
        </w:numPr>
      </w:pPr>
      <w:r>
        <w:t xml:space="preserve">Adjusted EPS of</w:t>
      </w:r>
      <w:r>
        <w:t xml:space="preserve"> </w:t>
      </w:r>
      <m:oMath>
        <m:r>
          <m:t>0.94</m:t>
        </m:r>
        <m:r>
          <m:rPr>
            <m:sty m:val="p"/>
          </m:rPr>
          <m:t>–</m:t>
        </m:r>
      </m:oMath>
      <w:r>
        <w:t xml:space="preserve">0.98.</w:t>
      </w:r>
    </w:p>
    <w:p>
      <w:pPr>
        <w:pStyle w:val="Compact"/>
        <w:numPr>
          <w:ilvl w:val="0"/>
          <w:numId w:val="1009"/>
        </w:numPr>
      </w:pPr>
      <w:r>
        <w:t xml:space="preserve">Revenue around</w:t>
      </w:r>
      <w:r>
        <w:t xml:space="preserve"> </w:t>
      </w:r>
      <m:oMath>
        <m:r>
          <m:t>985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1.005 billion.</w:t>
      </w:r>
    </w:p>
    <w:p>
      <w:pPr>
        <w:pStyle w:val="Compact"/>
        <w:numPr>
          <w:ilvl w:val="0"/>
          <w:numId w:val="1009"/>
        </w:numPr>
      </w:pPr>
      <w:r>
        <w:t xml:space="preserve">North America is solid but partly driven by pre-buy activity.</w:t>
      </w:r>
    </w:p>
    <w:p>
      <w:pPr>
        <w:pStyle w:val="Compact"/>
        <w:numPr>
          <w:ilvl w:val="0"/>
          <w:numId w:val="1009"/>
        </w:numPr>
      </w:pPr>
      <w:r>
        <w:t xml:space="preserve">China remains weak but within management’s expectations.</w:t>
      </w:r>
    </w:p>
    <w:p>
      <w:pPr>
        <w:pStyle w:val="Compact"/>
        <w:numPr>
          <w:ilvl w:val="0"/>
          <w:numId w:val="1009"/>
        </w:numPr>
      </w:pPr>
      <w:r>
        <w:t xml:space="preserve">Full-year guidance is reiterated, with the second-half recovery still dependent on pricing.</w:t>
      </w:r>
    </w:p>
    <w:bookmarkEnd w:id="20"/>
    <w:bookmarkStart w:id="21" w:name="bearish-outcome"/>
    <w:p>
      <w:pPr>
        <w:pStyle w:val="Heading3"/>
      </w:pPr>
      <w:r>
        <w:t xml:space="preserve">Bearish outcome</w:t>
      </w:r>
    </w:p>
    <w:p>
      <w:pPr>
        <w:pStyle w:val="Compact"/>
        <w:numPr>
          <w:ilvl w:val="0"/>
          <w:numId w:val="1010"/>
        </w:numPr>
      </w:pPr>
      <w:r>
        <w:t xml:space="preserve">Adjusted EPS below approximately $0.90.</w:t>
      </w:r>
    </w:p>
    <w:p>
      <w:pPr>
        <w:pStyle w:val="Compact"/>
        <w:numPr>
          <w:ilvl w:val="0"/>
          <w:numId w:val="1010"/>
        </w:numPr>
      </w:pPr>
      <w:r>
        <w:t xml:space="preserve">Further deterioration in China or continued excess channel inventory.</w:t>
      </w:r>
    </w:p>
    <w:p>
      <w:pPr>
        <w:pStyle w:val="Compact"/>
        <w:numPr>
          <w:ilvl w:val="0"/>
          <w:numId w:val="1010"/>
        </w:numPr>
      </w:pPr>
      <w:r>
        <w:t xml:space="preserve">North America margin materially below 24%.</w:t>
      </w:r>
    </w:p>
    <w:p>
      <w:pPr>
        <w:pStyle w:val="Compact"/>
        <w:numPr>
          <w:ilvl w:val="0"/>
          <w:numId w:val="1010"/>
        </w:numPr>
      </w:pPr>
      <w:r>
        <w:t xml:space="preserve">Resistance to the announced price increases.</w:t>
      </w:r>
    </w:p>
    <w:p>
      <w:pPr>
        <w:pStyle w:val="Compact"/>
        <w:numPr>
          <w:ilvl w:val="0"/>
          <w:numId w:val="1010"/>
        </w:numPr>
      </w:pPr>
      <w:r>
        <w:t xml:space="preserve">Another reduction to sales or EPS guidance.</w:t>
      </w:r>
    </w:p>
    <w:p>
      <w:pPr>
        <w:pStyle w:val="Compact"/>
        <w:numPr>
          <w:ilvl w:val="0"/>
          <w:numId w:val="1010"/>
        </w:numPr>
      </w:pPr>
      <w:r>
        <w:t xml:space="preserve">No meaningful China-review update despite the extended process.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stock-setup"/>
    <w:p>
      <w:pPr>
        <w:pStyle w:val="Heading2"/>
      </w:pPr>
      <w:r>
        <w:t xml:space="preserve">Stock setup</w:t>
      </w:r>
    </w:p>
    <w:p>
      <w:pPr>
        <w:pStyle w:val="FirstParagraph"/>
      </w:pPr>
      <w:r>
        <w:t xml:space="preserve">At $62.19, AOS is approximately: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9% below</w:t>
      </w:r>
      <w:r>
        <w:t xml:space="preserve"> </w:t>
      </w:r>
      <w:r>
        <w:t xml:space="preserve">its first trading-day close of 2026.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23% below</w:t>
      </w:r>
      <w:r>
        <w:t xml:space="preserve"> </w:t>
      </w:r>
      <w:r>
        <w:t xml:space="preserve">its February high.</w:t>
      </w:r>
    </w:p>
    <w:p>
      <w:pPr>
        <w:pStyle w:val="Compact"/>
        <w:numPr>
          <w:ilvl w:val="0"/>
          <w:numId w:val="1011"/>
        </w:numPr>
      </w:pPr>
      <w:r>
        <w:t xml:space="preserve">Trading at roughly</w:t>
      </w:r>
      <w:r>
        <w:t xml:space="preserve"> </w:t>
      </w:r>
      <w:r>
        <w:rPr>
          <w:b/>
          <w:bCs/>
        </w:rPr>
        <w:t xml:space="preserve">16.2 times</w:t>
      </w:r>
      <w:r>
        <w:t xml:space="preserve"> </w:t>
      </w:r>
      <w:r>
        <w:t xml:space="preserve">the midpoint of adjusted 2026 EPS guidance.</w:t>
      </w:r>
    </w:p>
    <w:p>
      <w:pPr>
        <w:pStyle w:val="Compact"/>
        <w:numPr>
          <w:ilvl w:val="0"/>
          <w:numId w:val="1011"/>
        </w:numPr>
      </w:pPr>
      <w:r>
        <w:t xml:space="preserve">Offering a simple free-cash-flow yield of approximately</w:t>
      </w:r>
      <w:r>
        <w:t xml:space="preserve"> </w:t>
      </w:r>
      <w:r>
        <w:rPr>
          <w:b/>
          <w:bCs/>
        </w:rPr>
        <w:t xml:space="preserve">6.4%</w:t>
      </w:r>
      <w:r>
        <w:t xml:space="preserve"> </w:t>
      </w:r>
      <w:r>
        <w:t xml:space="preserve">using the midpoint of guidance and the Q1 diluted share count.</w:t>
      </w:r>
    </w:p>
    <w:p>
      <w:pPr>
        <w:pStyle w:val="FirstParagraph"/>
      </w:pPr>
      <w:r>
        <w:t xml:space="preserve">That valuation reflects substantial skepticism, particularly around China and the durability of margins. It also means a guidance reaffirmation accompanied by credible China progress could produce a favorable reaction. Conversely, after one guidance reduction already this year, another cut would challenge the argument that the current valuation adequately discounts the risks.</w:t>
      </w:r>
    </w:p>
    <w:bookmarkEnd w:id="23"/>
    <w:bookmarkStart w:id="2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The key number tomorrow is not Q2 EPS; it is the credibility of</w:t>
      </w:r>
      <w:r>
        <w:rPr>
          <w:b/>
          <w:bCs/>
        </w:rPr>
        <w:t xml:space="preserve"> </w:t>
      </w:r>
      <m:oMath>
        <m:r>
          <m:t>3.70</m:t>
        </m:r>
        <m:r>
          <m:rPr>
            <m:sty m:val="p"/>
          </m:rPr>
          <m:t>–</m:t>
        </m:r>
      </m:oMath>
      <w:r>
        <w:rPr>
          <w:b/>
          <w:bCs/>
        </w:rPr>
        <w:t xml:space="preserve">4.00 in full-year adjusted EPS.</w:t>
      </w:r>
    </w:p>
    <w:p>
      <w:pPr>
        <w:pStyle w:val="BodyText"/>
      </w:pPr>
      <w:r>
        <w:t xml:space="preserve">For the report to be viewed positively, A. O. Smith needs to demonstrate that China is stabilizing at a manageable level, North American pricing will restore price/cost in Q3, and the company has enough momentum to generate approximately $2.04 of second-half EPS at the guidance midpoint. A substantive China strategic update would be the clearest potential catalyst.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ttps://investor.aosmith.com/node/23021/pdf" TargetMode="External" /><Relationship Type="http://schemas.openxmlformats.org/officeDocument/2006/relationships/hyperlink" Id="rId10" Target="https://www.benzinga.com/quote/AOS/earnin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ttps://investor.aosmith.com/node/23021/pdf" TargetMode="External" /><Relationship Type="http://schemas.openxmlformats.org/officeDocument/2006/relationships/hyperlink" Id="rId10" Target="https://www.benzinga.com/quote/AOS/earnin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2026-07-29T18:51:05Z</dcterms:created>
  <dcterms:modified xsi:type="dcterms:W3CDTF">2026-07-29T18:51:05Z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