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f64a81992147b10b5bc077cd2666750df37152"/>
    <w:p>
      <w:pPr>
        <w:pStyle w:val="Heading1"/>
      </w:pPr>
      <w:r>
        <w:t xml:space="preserve">A. O. Smith (NYSE: AOS) — 2Q26 Earnings Preview</w:t>
      </w:r>
    </w:p>
    <w:p>
      <w:pPr>
        <w:pStyle w:val="FirstParagraph"/>
      </w:pPr>
      <w:r>
        <w:rPr>
          <w:b/>
          <w:bCs/>
        </w:rPr>
        <w:t xml:space="preserve">Earnings date:</w:t>
      </w:r>
      <w:r>
        <w:t xml:space="preserve"> </w:t>
      </w:r>
      <w:r>
        <w:t xml:space="preserve">Thursday,</w:t>
      </w:r>
      <w:r>
        <w:t xml:space="preserve"> </w:t>
      </w:r>
      <w:r>
        <w:rPr>
          <w:b/>
          <w:bCs/>
        </w:rPr>
        <w:t xml:space="preserve">July 30, 2026</w:t>
      </w:r>
      <w:r>
        <w:br/>
      </w:r>
      <w:r>
        <w:rPr>
          <w:b/>
          <w:bCs/>
        </w:rPr>
        <w:t xml:space="preserve">Event:</w:t>
      </w:r>
      <w:r>
        <w:t xml:space="preserve"> </w:t>
      </w:r>
      <w:r>
        <w:t xml:space="preserve">2026Q2 Earnings Call</w:t>
      </w:r>
      <w:r>
        <w:br/>
      </w:r>
      <w:r>
        <w:rPr>
          <w:b/>
          <w:bCs/>
        </w:rPr>
        <w:t xml:space="preserve">Primary setup:</w:t>
      </w:r>
      <w:r>
        <w:t xml:space="preserve"> </w:t>
      </w:r>
      <w:r>
        <w:t xml:space="preserve">This is a</w:t>
      </w:r>
      <w:r>
        <w:t xml:space="preserve"> </w:t>
      </w:r>
      <w:r>
        <w:rPr>
          <w:b/>
          <w:bCs/>
        </w:rPr>
        <w:t xml:space="preserve">guidance-credibility and execution</w:t>
      </w:r>
      <w:r>
        <w:t xml:space="preserve"> </w:t>
      </w:r>
      <w:r>
        <w:t xml:space="preserve">quarter more than a simple headline EPS event. Management already signaled that 2Q would carry concentrated pressure from China, higher input costs ahead of price realization, and a planned water-treatment restructuring charge. The questions are whether those issues remain contained within the reduced full-year outlook—and whether North American demand, pricing, and Leonard Valve integration provide enough offset to support a stronger second half.</w:t>
      </w:r>
    </w:p>
    <w:bookmarkStart w:id="9" w:name="executive-take"/>
    <w:p>
      <w:pPr>
        <w:pStyle w:val="Heading2"/>
      </w:pPr>
      <w:r>
        <w:t xml:space="preserve">Executive take</w:t>
      </w:r>
    </w:p>
    <w:p>
      <w:pPr>
        <w:pStyle w:val="FirstParagraph"/>
      </w:pPr>
      <w:r>
        <w:t xml:space="preserve">AOS enters the report with expectations reset following a weak 1Q and a late-April reduction to 2026 guidance. The company guided to</w:t>
      </w:r>
      <w:r>
        <w:t xml:space="preserve"> </w:t>
      </w:r>
      <m:oMath>
        <m:r>
          <m:t>3.70</m:t>
        </m:r>
        <m:r>
          <m:rPr>
            <m:sty m:val="p"/>
          </m:rPr>
          <m:t>–</m:t>
        </m:r>
      </m:oMath>
      <w:r>
        <w:rPr>
          <w:b/>
          <w:bCs/>
        </w:rPr>
        <w:t xml:space="preserve">4.00 of adjusted EPS</w:t>
      </w:r>
      <w:r>
        <w:t xml:space="preserve"> </w:t>
      </w:r>
      <w:r>
        <w:t xml:space="preserve">and</w:t>
      </w:r>
      <w:r>
        <w:t xml:space="preserve"> </w:t>
      </w:r>
      <w:r>
        <w:rPr>
          <w:b/>
          <w:bCs/>
        </w:rPr>
        <w:t xml:space="preserve">2%–4% sales growth</w:t>
      </w:r>
      <w:r>
        <w:t xml:space="preserve"> </w:t>
      </w:r>
      <w:r>
        <w:t xml:space="preserve">for 2026, down from the prior</w:t>
      </w:r>
      <w:r>
        <w:t xml:space="preserve"> </w:t>
      </w:r>
      <m:oMath>
        <m:r>
          <m:t>3.85</m:t>
        </m:r>
        <m:r>
          <m:rPr>
            <m:sty m:val="p"/>
          </m:rPr>
          <m:t>–</m:t>
        </m:r>
      </m:oMath>
      <w:r>
        <w:t xml:space="preserve">4.15 adjusted-EPS range. The revised outlook reflected a weaker recovery timeline in China and reduced expected commercial-water-heater prebuy activity after the Department of Energy delayed enforcement of a planned October 2026 rule.</w:t>
      </w:r>
    </w:p>
    <w:p>
      <w:pPr>
        <w:pStyle w:val="BodyText"/>
      </w:pPr>
      <w:r>
        <w:t xml:space="preserve">The key nuance: management explicitly framed 2Q as the most difficult near-term period. On the 1Q call, it said 2Q EPS should represent roughly</w:t>
      </w:r>
      <w:r>
        <w:t xml:space="preserve"> </w:t>
      </w:r>
      <w:r>
        <w:rPr>
          <w:b/>
          <w:bCs/>
        </w:rPr>
        <w:t xml:space="preserve">25% of the full-year guidance midpoint</w:t>
      </w:r>
      <w:r>
        <w:t xml:space="preserve">—which implies approximately</w:t>
      </w:r>
      <w:r>
        <w:t xml:space="preserve"> </w:t>
      </w:r>
      <w:r>
        <w:rPr>
          <w:b/>
          <w:bCs/>
        </w:rPr>
        <w:t xml:space="preserve">$0.96 of adjusted EPS</w:t>
      </w:r>
      <w:r>
        <w:t xml:space="preserve"> </w:t>
      </w:r>
      <w:r>
        <w:t xml:space="preserve">using the</w:t>
      </w:r>
      <w:r>
        <w:t xml:space="preserve"> </w:t>
      </w:r>
      <m:oMath>
        <m:r>
          <m:t>3.85</m:t>
        </m:r>
        <m:r>
          <m:t>m</m:t>
        </m:r>
        <m:r>
          <m:t>i</m:t>
        </m:r>
        <m:r>
          <m:t>d</m:t>
        </m:r>
        <m:r>
          <m:t>p</m:t>
        </m:r>
        <m:r>
          <m:t>o</m:t>
        </m:r>
        <m:r>
          <m:t>i</m:t>
        </m:r>
        <m:r>
          <m:t>n</m:t>
        </m:r>
        <m:r>
          <m:t>t</m:t>
        </m:r>
        <m:r>
          <m:rPr>
            <m:sty m:val="p"/>
          </m:rPr>
          <m:t>.</m:t>
        </m:r>
        <m:r>
          <m:t>T</m:t>
        </m:r>
        <m:r>
          <m:t>h</m:t>
        </m:r>
        <m:r>
          <m:t>a</m:t>
        </m:r>
        <m:r>
          <m:t>t</m:t>
        </m:r>
        <m:r>
          <m:t>i</m:t>
        </m:r>
        <m:r>
          <m:t>s</m:t>
        </m:r>
        <m:r>
          <m:t>a</m:t>
        </m:r>
        <m:r>
          <m:t>u</m:t>
        </m:r>
        <m:r>
          <m:t>s</m:t>
        </m:r>
        <m:r>
          <m:t>e</m:t>
        </m:r>
        <m:r>
          <m:t>f</m:t>
        </m:r>
        <m:r>
          <m:t>u</m:t>
        </m:r>
        <m:r>
          <m:t>l</m:t>
        </m:r>
        <m:r>
          <m:t>i</m:t>
        </m:r>
        <m:r>
          <m:t>n</m:t>
        </m:r>
        <m:r>
          <m:t>t</m:t>
        </m:r>
        <m:r>
          <m:t>e</m:t>
        </m:r>
        <m:r>
          <m:t>r</m:t>
        </m:r>
        <m:r>
          <m:t>n</m:t>
        </m:r>
        <m:r>
          <m:t>a</m:t>
        </m:r>
        <m:r>
          <m:t>l</m:t>
        </m:r>
        <m:r>
          <m:t>c</m:t>
        </m:r>
        <m:r>
          <m:t>a</m:t>
        </m:r>
        <m:r>
          <m:t>d</m:t>
        </m:r>
        <m:r>
          <m:t>e</m:t>
        </m:r>
        <m:r>
          <m:t>n</m:t>
        </m:r>
        <m:r>
          <m:t>c</m:t>
        </m:r>
        <m:r>
          <m:t>e</m:t>
        </m:r>
        <m:r>
          <m:t>m</m:t>
        </m:r>
        <m:r>
          <m:t>a</m:t>
        </m:r>
        <m:r>
          <m:t>r</m:t>
        </m:r>
        <m:r>
          <m:t>k</m:t>
        </m:r>
        <m:r>
          <m:t>e</m:t>
        </m:r>
        <m:r>
          <m:t>r</m:t>
        </m:r>
        <m:r>
          <m:rPr>
            <m:sty m:val="p"/>
          </m:rPr>
          <m:t>,</m:t>
        </m:r>
        <m:r>
          <m:t>n</m:t>
        </m:r>
        <m:r>
          <m:t>o</m:t>
        </m:r>
        <m:r>
          <m:t>t</m:t>
        </m:r>
        <m:r>
          <m:t>a</m:t>
        </m:r>
        <m:r>
          <m:t>S</m:t>
        </m:r>
        <m:r>
          <m:t>t</m:t>
        </m:r>
        <m:r>
          <m:t>r</m:t>
        </m:r>
        <m:r>
          <m:t>e</m:t>
        </m:r>
        <m:r>
          <m:t>e</m:t>
        </m:r>
        <m:r>
          <m:t>t</m:t>
        </m:r>
        <m:r>
          <m:rPr>
            <m:sty m:val="p"/>
          </m:rPr>
          <m:t>−</m:t>
        </m:r>
        <m:r>
          <m:t>c</m:t>
        </m:r>
        <m:r>
          <m:t>o</m:t>
        </m:r>
        <m:r>
          <m:t>n</m:t>
        </m:r>
        <m:r>
          <m:t>s</m:t>
        </m:r>
        <m:r>
          <m:t>e</m:t>
        </m:r>
        <m:r>
          <m:t>n</m:t>
        </m:r>
        <m:r>
          <m:t>s</m:t>
        </m:r>
        <m:r>
          <m:t>u</m:t>
        </m:r>
        <m:r>
          <m:t>s</m:t>
        </m:r>
        <m:r>
          <m:t>e</m:t>
        </m:r>
        <m:r>
          <m:t>s</m:t>
        </m:r>
        <m:r>
          <m:t>t</m:t>
        </m:r>
        <m:r>
          <m:t>i</m:t>
        </m:r>
        <m:r>
          <m:t>m</m:t>
        </m:r>
        <m:r>
          <m:t>a</m:t>
        </m:r>
        <m:r>
          <m:t>t</m:t>
        </m:r>
        <m:r>
          <m:t>e</m:t>
        </m:r>
        <m:r>
          <m:rPr>
            <m:sty m:val="p"/>
          </m:rPr>
          <m:t>.</m:t>
        </m:r>
        <m:r>
          <m:t>R</m:t>
        </m:r>
        <m:r>
          <m:t>e</m:t>
        </m:r>
        <m:r>
          <m:t>p</m:t>
        </m:r>
        <m:r>
          <m:t>o</m:t>
        </m:r>
        <m:r>
          <m:t>r</m:t>
        </m:r>
        <m:r>
          <m:t>t</m:t>
        </m:r>
        <m:r>
          <m:t>e</m:t>
        </m:r>
        <m:r>
          <m:t>d</m:t>
        </m:r>
        <m:r>
          <m:t>G</m:t>
        </m:r>
        <m:r>
          <m:t>A</m:t>
        </m:r>
        <m:r>
          <m:t>A</m:t>
        </m:r>
        <m:r>
          <m:t>P</m:t>
        </m:r>
        <m:r>
          <m:t>E</m:t>
        </m:r>
        <m:r>
          <m:t>P</m:t>
        </m:r>
        <m:r>
          <m:t>S</m:t>
        </m:r>
        <m:r>
          <m:t>w</m:t>
        </m:r>
        <m:r>
          <m:t>i</m:t>
        </m:r>
        <m:r>
          <m:t>l</m:t>
        </m:r>
        <m:r>
          <m:t>l</m:t>
        </m:r>
        <m:r>
          <m:t>b</m:t>
        </m:r>
        <m:r>
          <m:t>e</m:t>
        </m:r>
        <m:r>
          <m:t>l</m:t>
        </m:r>
        <m:r>
          <m:t>o</m:t>
        </m:r>
        <m:r>
          <m:t>w</m:t>
        </m:r>
        <m:r>
          <m:t>e</m:t>
        </m:r>
        <m:r>
          <m:t>r</m:t>
        </m:r>
        <m:r>
          <m:t>b</m:t>
        </m:r>
        <m:r>
          <m:t>e</m:t>
        </m:r>
        <m:r>
          <m:t>c</m:t>
        </m:r>
        <m:r>
          <m:t>a</m:t>
        </m:r>
        <m:r>
          <m:t>u</m:t>
        </m:r>
        <m:r>
          <m:t>s</m:t>
        </m:r>
        <m:r>
          <m:t>e</m:t>
        </m:r>
        <m:r>
          <m:t>A</m:t>
        </m:r>
        <m:r>
          <m:t>O</m:t>
        </m:r>
        <m:r>
          <m:t>S</m:t>
        </m:r>
        <m:r>
          <m:t>e</m:t>
        </m:r>
        <m:r>
          <m:t>x</m:t>
        </m:r>
        <m:r>
          <m:t>p</m:t>
        </m:r>
        <m:r>
          <m:t>e</m:t>
        </m:r>
        <m:r>
          <m:t>c</m:t>
        </m:r>
        <m:r>
          <m:t>t</m:t>
        </m:r>
        <m:r>
          <m:t>s</m:t>
        </m:r>
        <m:r>
          <m:t>t</m:t>
        </m:r>
        <m:r>
          <m:t>o</m:t>
        </m:r>
        <m:r>
          <m:t>r</m:t>
        </m:r>
        <m:r>
          <m:t>e</m:t>
        </m:r>
        <m:r>
          <m:t>c</m:t>
        </m:r>
        <m:r>
          <m:t>o</m:t>
        </m:r>
        <m:r>
          <m:t>r</m:t>
        </m:r>
        <m:r>
          <m:t>d</m:t>
        </m:r>
        <m:r>
          <m:t>a</m:t>
        </m:r>
        <m:r>
          <m:t>p</m:t>
        </m:r>
        <m:r>
          <m:t>p</m:t>
        </m:r>
        <m:r>
          <m:t>r</m:t>
        </m:r>
        <m:r>
          <m:t>o</m:t>
        </m:r>
        <m:r>
          <m:t>x</m:t>
        </m:r>
        <m:r>
          <m:t>i</m:t>
        </m:r>
        <m:r>
          <m:t>m</m:t>
        </m:r>
        <m:r>
          <m:t>a</m:t>
        </m:r>
        <m:r>
          <m:t>t</m:t>
        </m:r>
        <m:r>
          <m:t>e</m:t>
        </m:r>
        <m:r>
          <m:t>l</m:t>
        </m:r>
        <m:r>
          <m:t>y</m:t>
        </m:r>
        <m:r>
          <m:rPr>
            <m:sty m:val="p"/>
          </m:rPr>
          <m:t>*</m:t>
        </m:r>
        <m:r>
          <m:rPr>
            <m:sty m:val="p"/>
          </m:rPr>
          <m:t>*</m:t>
        </m:r>
      </m:oMath>
      <w:r>
        <w:t xml:space="preserve">20 million of pre-tax North American water-treatment restructuring and impairment charges** in 2Q.</w:t>
      </w:r>
    </w:p>
    <w:p>
      <w:pPr>
        <w:pStyle w:val="BodyText"/>
      </w:pPr>
      <w:r>
        <w:t xml:space="preserve">The stock closed at</w:t>
      </w:r>
      <w:r>
        <w:t xml:space="preserve"> </w:t>
      </w:r>
      <w:r>
        <w:rPr>
          <w:b/>
          <w:bCs/>
        </w:rPr>
        <w:t xml:space="preserve">$62.19 on July 29</w:t>
      </w:r>
      <w:r>
        <w:t xml:space="preserve">, down roughly</w:t>
      </w:r>
      <w:r>
        <w:t xml:space="preserve"> </w:t>
      </w:r>
      <w:r>
        <w:rPr>
          <w:b/>
          <w:bCs/>
        </w:rPr>
        <w:t xml:space="preserve">9.0% year-to-date</w:t>
      </w:r>
      <w:r>
        <w:t xml:space="preserve">, but about</w:t>
      </w:r>
      <w:r>
        <w:t xml:space="preserve"> </w:t>
      </w:r>
      <w:r>
        <w:rPr>
          <w:b/>
          <w:bCs/>
        </w:rPr>
        <w:t xml:space="preserve">11.5% above its June 1 low</w:t>
      </w:r>
      <w:r>
        <w:t xml:space="preserve">. That performance suggests investors have already discounted a meaningful share of the China and margin-risk narrative, but it also leaves little tolerance for another guide-down or evidence that the anticipated 2H price/cost recovery is slipping.</w:t>
      </w:r>
    </w:p>
    <w:p>
      <w:r>
        <w:pict>
          <v:rect style="width:0;height:1.5pt" o:hralign="center" o:hrstd="t" o:hr="t"/>
        </w:pict>
      </w:r>
    </w:p>
    <w:bookmarkEnd w:id="9"/>
    <w:bookmarkStart w:id="13" w:name="what-matters-most-in-the-quarter"/>
    <w:p>
      <w:pPr>
        <w:pStyle w:val="Heading2"/>
      </w:pPr>
      <w:r>
        <w:t xml:space="preserve">What matters most in the quarter</w:t>
      </w:r>
    </w:p>
    <w:bookmarkStart w:id="10" w:name="Xa2be26ea22422612ae34ad182733c901f031a57"/>
    <w:p>
      <w:pPr>
        <w:pStyle w:val="Heading3"/>
      </w:pPr>
      <w:r>
        <w:t xml:space="preserve">1. China: the largest near-term earnings risk</w:t>
      </w:r>
    </w:p>
    <w:p>
      <w:pPr>
        <w:pStyle w:val="FirstParagraph"/>
      </w:pPr>
      <w:r>
        <w:t xml:space="preserve">China is the central issue. In 1Q, China third-party sales fell</w:t>
      </w:r>
      <w:r>
        <w:t xml:space="preserve"> </w:t>
      </w:r>
      <w:r>
        <w:rPr>
          <w:b/>
          <w:bCs/>
        </w:rPr>
        <w:t xml:space="preserve">17% in local currency</w:t>
      </w:r>
      <w:r>
        <w:t xml:space="preserve">, with government appliance subsidies largely ended and premium consumer demand still weak. China represented</w:t>
      </w:r>
      <w:r>
        <w:t xml:space="preserve"> </w:t>
      </w:r>
      <w:r>
        <w:rPr>
          <w:b/>
          <w:bCs/>
        </w:rPr>
        <w:t xml:space="preserve">$162.4 million</w:t>
      </w:r>
      <w:r>
        <w:t xml:space="preserve"> </w:t>
      </w:r>
      <w:r>
        <w:t xml:space="preserve">of 1Q sales—about 17% of consolidated sales—so its earnings impact is meaningfully larger than its revenue mix alone implies.</w:t>
      </w:r>
    </w:p>
    <w:p>
      <w:pPr>
        <w:pStyle w:val="BodyText"/>
      </w:pPr>
      <w:r>
        <w:t xml:space="preserve">Management’s 2Q setup was deliberately cautious:</w:t>
      </w:r>
    </w:p>
    <w:p>
      <w:pPr>
        <w:pStyle w:val="Compact"/>
        <w:numPr>
          <w:ilvl w:val="0"/>
          <w:numId w:val="1001"/>
        </w:numPr>
      </w:pPr>
      <w:r>
        <w:t xml:space="preserve">China sales were expected to be roughly</w:t>
      </w:r>
      <w:r>
        <w:t xml:space="preserve"> </w:t>
      </w:r>
      <w:r>
        <w:rPr>
          <w:b/>
          <w:bCs/>
        </w:rPr>
        <w:t xml:space="preserve">15% below 1Q</w:t>
      </w:r>
      <w:r>
        <w:t xml:space="preserve">, as AOS works to reduce channel inventory.</w:t>
      </w:r>
    </w:p>
    <w:p>
      <w:pPr>
        <w:pStyle w:val="Compact"/>
        <w:numPr>
          <w:ilvl w:val="0"/>
          <w:numId w:val="1001"/>
        </w:numPr>
      </w:pPr>
      <w:r>
        <w:t xml:space="preserve">Management cited</w:t>
      </w:r>
      <w:r>
        <w:t xml:space="preserve"> </w:t>
      </w:r>
      <w:r>
        <w:rPr>
          <w:b/>
          <w:bCs/>
        </w:rPr>
        <w:t xml:space="preserve">35%–40% decremental margins</w:t>
      </w:r>
      <w:r>
        <w:t xml:space="preserve"> </w:t>
      </w:r>
      <w:r>
        <w:t xml:space="preserve">on that expected China sales decline.</w:t>
      </w:r>
    </w:p>
    <w:p>
      <w:pPr>
        <w:pStyle w:val="Compact"/>
        <w:numPr>
          <w:ilvl w:val="0"/>
          <w:numId w:val="1001"/>
        </w:numPr>
      </w:pPr>
      <w:r>
        <w:t xml:space="preserve">Full-year China sales are expected to decline by a</w:t>
      </w:r>
      <w:r>
        <w:t xml:space="preserve"> </w:t>
      </w:r>
      <w:r>
        <w:rPr>
          <w:b/>
          <w:bCs/>
        </w:rPr>
        <w:t xml:space="preserve">low-double-digit percentage in local currency</w:t>
      </w:r>
      <w:r>
        <w:t xml:space="preserve">.</w:t>
      </w:r>
    </w:p>
    <w:p>
      <w:pPr>
        <w:pStyle w:val="Compact"/>
        <w:numPr>
          <w:ilvl w:val="0"/>
          <w:numId w:val="1001"/>
        </w:numPr>
      </w:pPr>
      <w:r>
        <w:t xml:space="preserve">The company is still evaluating strategic alternatives for its China business and had hoped to provide greater clarity “in the coming months.”</w:t>
      </w:r>
    </w:p>
    <w:p>
      <w:pPr>
        <w:pStyle w:val="FirstParagraph"/>
      </w:pPr>
      <w:r>
        <w:rPr>
          <w:b/>
          <w:bCs/>
        </w:rPr>
        <w:t xml:space="preserve">Investor focus:</w:t>
      </w:r>
      <w:r>
        <w:t xml:space="preserve"> </w:t>
      </w:r>
      <w:r>
        <w:t xml:space="preserve">A result merely consistent with the planned China inventory correction may be manageable. More concerning would be a deeper demand decline, incremental price competition, adverse distributor/channel commentary, or another delay in resolving the China strategic review. Conversely, any clarity on a partnership, restructuring, or other strategic path could reduce a persistent valuation overhang.</w:t>
      </w:r>
    </w:p>
    <w:p>
      <w:r>
        <w:pict>
          <v:rect style="width:0;height:1.5pt" o:hralign="center" o:hrstd="t" o:hr="t"/>
        </w:pict>
      </w:r>
    </w:p>
    <w:bookmarkEnd w:id="10"/>
    <w:bookmarkStart w:id="11" w:name="X37dbb5796872b6dd4c78c4f5d32b38002f084d8"/>
    <w:p>
      <w:pPr>
        <w:pStyle w:val="Heading3"/>
      </w:pPr>
      <w:r>
        <w:t xml:space="preserve">2. North America: can price and recovery offset cost and volume pressure?</w:t>
      </w:r>
    </w:p>
    <w:p>
      <w:pPr>
        <w:pStyle w:val="FirstParagraph"/>
      </w:pPr>
      <w:r>
        <w:t xml:space="preserve">North America remains the earnings engine, but 2Q has crosscurrents.</w:t>
      </w:r>
    </w:p>
    <w:p>
      <w:pPr>
        <w:pStyle w:val="BodyText"/>
      </w:pPr>
      <w:r>
        <w:rPr>
          <w:b/>
          <w:bCs/>
        </w:rPr>
        <w:t xml:space="preserve">Potential supports</w:t>
      </w:r>
    </w:p>
    <w:p>
      <w:pPr>
        <w:pStyle w:val="Compact"/>
        <w:numPr>
          <w:ilvl w:val="0"/>
          <w:numId w:val="1002"/>
        </w:numPr>
      </w:pPr>
      <w:r>
        <w:t xml:space="preserve">Management expects some recovery from the 1Q weather-related disruption at its Ashland City, Tennessee facility, although it characterized the catch-up benefit as modest.</w:t>
      </w:r>
    </w:p>
    <w:p>
      <w:pPr>
        <w:pStyle w:val="Compact"/>
        <w:numPr>
          <w:ilvl w:val="0"/>
          <w:numId w:val="1002"/>
        </w:numPr>
      </w:pPr>
      <w:r>
        <w:t xml:space="preserve">AOS implemented</w:t>
      </w:r>
      <w:r>
        <w:t xml:space="preserve"> </w:t>
      </w:r>
      <w:r>
        <w:rPr>
          <w:b/>
          <w:bCs/>
        </w:rPr>
        <w:t xml:space="preserve">4%–7% price increases</w:t>
      </w:r>
      <w:r>
        <w:t xml:space="preserve"> </w:t>
      </w:r>
      <w:r>
        <w:t xml:space="preserve">across most North American water-heater and boiler products, effective around mid-May.</w:t>
      </w:r>
    </w:p>
    <w:p>
      <w:pPr>
        <w:pStyle w:val="Compact"/>
        <w:numPr>
          <w:ilvl w:val="0"/>
          <w:numId w:val="1002"/>
        </w:numPr>
      </w:pPr>
      <w:r>
        <w:t xml:space="preserve">Leonard Valve is tracking well operationally: it contributed about</w:t>
      </w:r>
      <w:r>
        <w:t xml:space="preserve"> </w:t>
      </w:r>
      <m:oMath>
        <m:r>
          <m:t>16</m:t>
        </m:r>
        <m:r>
          <m:t>m</m:t>
        </m:r>
        <m:r>
          <m:t>i</m:t>
        </m:r>
        <m:r>
          <m:t>l</m:t>
        </m:r>
        <m:r>
          <m:t>l</m:t>
        </m:r>
        <m:r>
          <m:t>i</m:t>
        </m:r>
        <m:r>
          <m:t>o</m:t>
        </m:r>
        <m:r>
          <m:t>n</m:t>
        </m:r>
        <m:r>
          <m:rPr>
            <m:sty m:val="p"/>
          </m:rPr>
          <m:t>*</m:t>
        </m:r>
        <m:r>
          <m:rPr>
            <m:sty m:val="p"/>
          </m:rPr>
          <m:t>*</m:t>
        </m:r>
        <m:r>
          <m:t>o</m:t>
        </m:r>
        <m:r>
          <m:t>f</m:t>
        </m:r>
        <m:r>
          <m:t>1</m:t>
        </m:r>
        <m:r>
          <m:t>Q</m:t>
        </m:r>
        <m:r>
          <m:t>s</m:t>
        </m:r>
        <m:r>
          <m:t>a</m:t>
        </m:r>
        <m:r>
          <m:t>l</m:t>
        </m:r>
        <m:r>
          <m:t>e</m:t>
        </m:r>
        <m:r>
          <m:t>s</m:t>
        </m:r>
        <m:r>
          <m:t>a</m:t>
        </m:r>
        <m:r>
          <m:t>n</m:t>
        </m:r>
        <m:r>
          <m:t>d</m:t>
        </m:r>
        <m:r>
          <m:t>A</m:t>
        </m:r>
        <m:r>
          <m:t>O</m:t>
        </m:r>
        <m:r>
          <m:t>S</m:t>
        </m:r>
        <m:r>
          <m:t>s</m:t>
        </m:r>
        <m:r>
          <m:t>t</m:t>
        </m:r>
        <m:r>
          <m:t>i</m:t>
        </m:r>
        <m:r>
          <m:t>l</m:t>
        </m:r>
        <m:r>
          <m:t>l</m:t>
        </m:r>
        <m:r>
          <m:t>e</m:t>
        </m:r>
        <m:r>
          <m:t>x</m:t>
        </m:r>
        <m:r>
          <m:t>p</m:t>
        </m:r>
        <m:r>
          <m:t>e</m:t>
        </m:r>
        <m:r>
          <m:t>c</m:t>
        </m:r>
        <m:r>
          <m:t>t</m:t>
        </m:r>
        <m:r>
          <m:t>s</m:t>
        </m:r>
        <m:r>
          <m:t>r</m:t>
        </m:r>
        <m:r>
          <m:t>o</m:t>
        </m:r>
        <m:r>
          <m:t>u</m:t>
        </m:r>
        <m:r>
          <m:t>g</m:t>
        </m:r>
        <m:r>
          <m:t>h</m:t>
        </m:r>
        <m:r>
          <m:t>l</m:t>
        </m:r>
        <m:r>
          <m:t>y</m:t>
        </m:r>
        <m:r>
          <m:rPr>
            <m:sty m:val="p"/>
          </m:rPr>
          <m:t>*</m:t>
        </m:r>
        <m:r>
          <m:rPr>
            <m:sty m:val="p"/>
          </m:rPr>
          <m:t>*</m:t>
        </m:r>
      </m:oMath>
      <w:r>
        <w:rPr>
          <w:b/>
          <w:bCs/>
        </w:rPr>
        <w:t xml:space="preserve">70 million</w:t>
      </w:r>
      <w:r>
        <w:t xml:space="preserve"> </w:t>
      </w:r>
      <w:r>
        <w:t xml:space="preserve">of 2026 sales, with double-digit growth.</w:t>
      </w:r>
    </w:p>
    <w:p>
      <w:pPr>
        <w:pStyle w:val="Compact"/>
        <w:numPr>
          <w:ilvl w:val="0"/>
          <w:numId w:val="1002"/>
        </w:numPr>
      </w:pPr>
      <w:r>
        <w:t xml:space="preserve">Boiler demand/backlog remains a relative bright spot; full-year boiler sales are expected to rise</w:t>
      </w:r>
      <w:r>
        <w:t xml:space="preserve"> </w:t>
      </w:r>
      <w:r>
        <w:rPr>
          <w:b/>
          <w:bCs/>
        </w:rPr>
        <w:t xml:space="preserve">6%–8%</w:t>
      </w:r>
      <w:r>
        <w:t xml:space="preserve">, primarily pricing-led but also supported by commercial backlog.</w:t>
      </w:r>
    </w:p>
    <w:p>
      <w:pPr>
        <w:pStyle w:val="FirstParagraph"/>
      </w:pPr>
      <w:r>
        <w:rPr>
          <w:b/>
          <w:bCs/>
        </w:rPr>
        <w:t xml:space="preserve">Headwinds</w:t>
      </w:r>
    </w:p>
    <w:p>
      <w:pPr>
        <w:pStyle w:val="Compact"/>
        <w:numPr>
          <w:ilvl w:val="0"/>
          <w:numId w:val="1003"/>
        </w:numPr>
      </w:pPr>
      <w:r>
        <w:t xml:space="preserve">Price realization is expected to become more meaningful in</w:t>
      </w:r>
      <w:r>
        <w:t xml:space="preserve"> </w:t>
      </w:r>
      <w:r>
        <w:rPr>
          <w:b/>
          <w:bCs/>
        </w:rPr>
        <w:t xml:space="preserve">3Q</w:t>
      </w:r>
      <w:r>
        <w:t xml:space="preserve">, while higher steel, freight, diesel, and other input costs hit in 2Q.</w:t>
      </w:r>
    </w:p>
    <w:p>
      <w:pPr>
        <w:pStyle w:val="Compact"/>
        <w:numPr>
          <w:ilvl w:val="0"/>
          <w:numId w:val="1003"/>
        </w:numPr>
      </w:pPr>
      <w:r>
        <w:t xml:space="preserve">The company raised its assumption for steel costs to approximately</w:t>
      </w:r>
      <w:r>
        <w:t xml:space="preserve"> </w:t>
      </w:r>
      <w:r>
        <w:rPr>
          <w:b/>
          <w:bCs/>
        </w:rPr>
        <w:t xml:space="preserve">+15% year over year</w:t>
      </w:r>
      <w:r>
        <w:t xml:space="preserve"> </w:t>
      </w:r>
      <w:r>
        <w:t xml:space="preserve">and expects freight, non-steel materials, and tariffs to add about</w:t>
      </w:r>
      <w:r>
        <w:t xml:space="preserve"> </w:t>
      </w:r>
      <w:r>
        <w:rPr>
          <w:b/>
          <w:bCs/>
        </w:rPr>
        <w:t xml:space="preserve">3% to total-company cost of goods sold</w:t>
      </w:r>
      <w:r>
        <w:t xml:space="preserve"> </w:t>
      </w:r>
      <w:r>
        <w:t xml:space="preserve">in 2026.</w:t>
      </w:r>
    </w:p>
    <w:p>
      <w:pPr>
        <w:pStyle w:val="Compact"/>
        <w:numPr>
          <w:ilvl w:val="0"/>
          <w:numId w:val="1003"/>
        </w:numPr>
      </w:pPr>
      <w:r>
        <w:t xml:space="preserve">Residential water-heater industry demand remains expected to be flat to down for the full year, reflecting weak new construction.</w:t>
      </w:r>
    </w:p>
    <w:p>
      <w:pPr>
        <w:pStyle w:val="Compact"/>
        <w:numPr>
          <w:ilvl w:val="0"/>
          <w:numId w:val="1003"/>
        </w:numPr>
      </w:pPr>
      <w:r>
        <w:t xml:space="preserve">The DOE enforcement delay reduces the expected commercial prebuy benefit in 2Q and 3Q.</w:t>
      </w:r>
    </w:p>
    <w:p>
      <w:pPr>
        <w:pStyle w:val="FirstParagraph"/>
      </w:pPr>
      <w:r>
        <w:rPr>
          <w:b/>
          <w:bCs/>
        </w:rPr>
        <w:t xml:space="preserve">Investor focus:</w:t>
      </w:r>
      <w:r>
        <w:t xml:space="preserve"> </w:t>
      </w:r>
      <w:r>
        <w:t xml:space="preserve">The critical datapoint is not simply North American revenue growth, which may benefit from modest prebuy ahead of the May price increase. It is whether North America margin is holding near the company’s approximately</w:t>
      </w:r>
      <w:r>
        <w:t xml:space="preserve"> </w:t>
      </w:r>
      <w:r>
        <w:rPr>
          <w:b/>
          <w:bCs/>
        </w:rPr>
        <w:t xml:space="preserve">24% full-year target</w:t>
      </w:r>
      <w:r>
        <w:t xml:space="preserve"> </w:t>
      </w:r>
      <w:r>
        <w:t xml:space="preserve">despite the temporary 2Q price/cost mismatch.</w:t>
      </w:r>
    </w:p>
    <w:p>
      <w:r>
        <w:pict>
          <v:rect style="width:0;height:1.5pt" o:hralign="center" o:hrstd="t" o:hr="t"/>
        </w:pict>
      </w:r>
    </w:p>
    <w:bookmarkEnd w:id="11"/>
    <w:bookmarkStart w:id="12" w:name="Xa17ba95ccfac2cb08b4d41cba39e0ce0bf55f25"/>
    <w:p>
      <w:pPr>
        <w:pStyle w:val="Heading3"/>
      </w:pPr>
      <w:r>
        <w:t xml:space="preserve">3. Water treatment: a noisy quarter, but an important medium-term margin test</w:t>
      </w:r>
    </w:p>
    <w:p>
      <w:pPr>
        <w:pStyle w:val="FirstParagraph"/>
      </w:pPr>
      <w:r>
        <w:t xml:space="preserve">AOS expects to record roughly</w:t>
      </w:r>
      <w:r>
        <w:t xml:space="preserve"> </w:t>
      </w:r>
      <m:oMath>
        <m:r>
          <m:t>20</m:t>
        </m:r>
        <m:r>
          <m:t>m</m:t>
        </m:r>
        <m:r>
          <m:t>i</m:t>
        </m:r>
        <m:r>
          <m:t>l</m:t>
        </m:r>
        <m:r>
          <m:t>l</m:t>
        </m:r>
        <m:r>
          <m:t>i</m:t>
        </m:r>
        <m:r>
          <m:t>o</m:t>
        </m:r>
        <m:r>
          <m:t>n</m:t>
        </m:r>
        <m:r>
          <m:t>p</m:t>
        </m:r>
        <m:r>
          <m:t>r</m:t>
        </m:r>
        <m:r>
          <m:t>e</m:t>
        </m:r>
        <m:r>
          <m:rPr>
            <m:sty m:val="p"/>
          </m:rPr>
          <m:t>−</m:t>
        </m:r>
        <m:r>
          <m:t>t</m:t>
        </m:r>
        <m:r>
          <m:t>a</m:t>
        </m:r>
        <m:r>
          <m:t>x</m:t>
        </m:r>
        <m:r>
          <m:rPr>
            <m:sty m:val="p"/>
          </m:rPr>
          <m:t>*</m:t>
        </m:r>
        <m:r>
          <m:rPr>
            <m:sty m:val="p"/>
          </m:rPr>
          <m:t>*</m:t>
        </m:r>
        <m:r>
          <m:t>o</m:t>
        </m:r>
        <m:r>
          <m:t>f</m:t>
        </m:r>
        <m:r>
          <m:t>r</m:t>
        </m:r>
        <m:r>
          <m:t>e</m:t>
        </m:r>
        <m:r>
          <m:t>s</m:t>
        </m:r>
        <m:r>
          <m:t>t</m:t>
        </m:r>
        <m:r>
          <m:t>r</m:t>
        </m:r>
        <m:r>
          <m:t>u</m:t>
        </m:r>
        <m:r>
          <m:t>c</m:t>
        </m:r>
        <m:r>
          <m:t>t</m:t>
        </m:r>
        <m:r>
          <m:t>u</m:t>
        </m:r>
        <m:r>
          <m:t>r</m:t>
        </m:r>
        <m:r>
          <m:t>i</m:t>
        </m:r>
        <m:r>
          <m:t>n</m:t>
        </m:r>
        <m:r>
          <m:t>g</m:t>
        </m:r>
        <m:r>
          <m:t>a</m:t>
        </m:r>
        <m:r>
          <m:t>n</m:t>
        </m:r>
        <m:r>
          <m:t>d</m:t>
        </m:r>
        <m:r>
          <m:t>i</m:t>
        </m:r>
        <m:r>
          <m:t>m</m:t>
        </m:r>
        <m:r>
          <m:t>p</m:t>
        </m:r>
        <m:r>
          <m:t>a</m:t>
        </m:r>
        <m:r>
          <m:t>i</m:t>
        </m:r>
        <m:r>
          <m:t>r</m:t>
        </m:r>
        <m:r>
          <m:t>m</m:t>
        </m:r>
        <m:r>
          <m:t>e</m:t>
        </m:r>
        <m:r>
          <m:t>n</m:t>
        </m:r>
        <m:r>
          <m:t>t</m:t>
        </m:r>
        <m:r>
          <m:t>c</m:t>
        </m:r>
        <m:r>
          <m:t>h</m:t>
        </m:r>
        <m:r>
          <m:t>a</m:t>
        </m:r>
        <m:r>
          <m:t>r</m:t>
        </m:r>
        <m:r>
          <m:t>g</m:t>
        </m:r>
        <m:r>
          <m:t>e</m:t>
        </m:r>
        <m:r>
          <m:t>s</m:t>
        </m:r>
        <m:r>
          <m:t>i</m:t>
        </m:r>
        <m:r>
          <m:t>n</m:t>
        </m:r>
        <m:r>
          <m:t>2</m:t>
        </m:r>
        <m:r>
          <m:t>Q</m:t>
        </m:r>
        <m:r>
          <m:t>r</m:t>
        </m:r>
        <m:r>
          <m:t>e</m:t>
        </m:r>
        <m:r>
          <m:t>l</m:t>
        </m:r>
        <m:r>
          <m:t>a</m:t>
        </m:r>
        <m:r>
          <m:t>t</m:t>
        </m:r>
        <m:r>
          <m:t>e</m:t>
        </m:r>
        <m:r>
          <m:t>d</m:t>
        </m:r>
        <m:r>
          <m:t>t</m:t>
        </m:r>
        <m:r>
          <m:t>o</m:t>
        </m:r>
        <m:r>
          <m:t>t</m:t>
        </m:r>
        <m:r>
          <m:t>h</m:t>
        </m:r>
        <m:r>
          <m:t>e</m:t>
        </m:r>
        <m:r>
          <m:t>N</m:t>
        </m:r>
        <m:r>
          <m:t>o</m:t>
        </m:r>
        <m:r>
          <m:t>r</m:t>
        </m:r>
        <m:r>
          <m:t>t</m:t>
        </m:r>
        <m:r>
          <m:t>h</m:t>
        </m:r>
        <m:r>
          <m:t>A</m:t>
        </m:r>
        <m:r>
          <m:t>m</m:t>
        </m:r>
        <m:r>
          <m:t>e</m:t>
        </m:r>
        <m:r>
          <m:t>r</m:t>
        </m:r>
        <m:r>
          <m:t>i</m:t>
        </m:r>
        <m:r>
          <m:t>c</m:t>
        </m:r>
        <m:r>
          <m:t>a</m:t>
        </m:r>
        <m:r>
          <m:t>n</m:t>
        </m:r>
        <m:r>
          <m:t>w</m:t>
        </m:r>
        <m:r>
          <m:t>a</m:t>
        </m:r>
        <m:r>
          <m:t>t</m:t>
        </m:r>
        <m:r>
          <m:t>e</m:t>
        </m:r>
        <m:r>
          <m:t>r</m:t>
        </m:r>
        <m:r>
          <m:rPr>
            <m:sty m:val="p"/>
          </m:rPr>
          <m:t>−</m:t>
        </m:r>
        <m:r>
          <m:t>t</m:t>
        </m:r>
        <m:r>
          <m:t>r</m:t>
        </m:r>
        <m:r>
          <m:t>e</m:t>
        </m:r>
        <m:r>
          <m:t>a</m:t>
        </m:r>
        <m:r>
          <m:t>t</m:t>
        </m:r>
        <m:r>
          <m:t>m</m:t>
        </m:r>
        <m:r>
          <m:t>e</m:t>
        </m:r>
        <m:r>
          <m:t>n</m:t>
        </m:r>
        <m:r>
          <m:t>t</m:t>
        </m:r>
        <m:r>
          <m:t>b</m:t>
        </m:r>
        <m:r>
          <m:t>u</m:t>
        </m:r>
        <m:r>
          <m:t>s</m:t>
        </m:r>
        <m:r>
          <m:t>i</m:t>
        </m:r>
        <m:r>
          <m:t>n</m:t>
        </m:r>
        <m:r>
          <m:t>e</m:t>
        </m:r>
        <m:r>
          <m:t>s</m:t>
        </m:r>
        <m:r>
          <m:t>s</m:t>
        </m:r>
        <m:r>
          <m:rPr>
            <m:sty m:val="p"/>
          </m:rPr>
          <m:t>.</m:t>
        </m:r>
        <m:r>
          <m:t>M</m:t>
        </m:r>
        <m:r>
          <m:t>o</m:t>
        </m:r>
        <m:r>
          <m:t>s</m:t>
        </m:r>
        <m:r>
          <m:t>t</m:t>
        </m:r>
        <m:r>
          <m:t>o</m:t>
        </m:r>
        <m:r>
          <m:t>f</m:t>
        </m:r>
        <m:r>
          <m:t>t</m:t>
        </m:r>
        <m:r>
          <m:t>h</m:t>
        </m:r>
        <m:r>
          <m:t>e</m:t>
        </m:r>
        <m:r>
          <m:t>c</m:t>
        </m:r>
        <m:r>
          <m:t>h</m:t>
        </m:r>
        <m:r>
          <m:t>a</m:t>
        </m:r>
        <m:r>
          <m:t>r</m:t>
        </m:r>
        <m:r>
          <m:t>g</m:t>
        </m:r>
        <m:r>
          <m:t>e</m:t>
        </m:r>
        <m:r>
          <m:t>i</m:t>
        </m:r>
        <m:r>
          <m:t>s</m:t>
        </m:r>
        <m:r>
          <m:t>e</m:t>
        </m:r>
        <m:r>
          <m:t>x</m:t>
        </m:r>
        <m:r>
          <m:t>p</m:t>
        </m:r>
        <m:r>
          <m:t>e</m:t>
        </m:r>
        <m:r>
          <m:t>c</m:t>
        </m:r>
        <m:r>
          <m:t>t</m:t>
        </m:r>
        <m:r>
          <m:t>e</m:t>
        </m:r>
        <m:r>
          <m:t>d</m:t>
        </m:r>
        <m:r>
          <m:t>t</m:t>
        </m:r>
        <m:r>
          <m:t>o</m:t>
        </m:r>
        <m:r>
          <m:t>b</m:t>
        </m:r>
        <m:r>
          <m:t>e</m:t>
        </m:r>
        <m:r>
          <m:t>n</m:t>
        </m:r>
        <m:r>
          <m:t>o</m:t>
        </m:r>
        <m:r>
          <m:t>n</m:t>
        </m:r>
        <m:r>
          <m:rPr>
            <m:sty m:val="p"/>
          </m:rPr>
          <m:t>−</m:t>
        </m:r>
        <m:r>
          <m:t>c</m:t>
        </m:r>
        <m:r>
          <m:t>a</m:t>
        </m:r>
        <m:r>
          <m:t>s</m:t>
        </m:r>
        <m:r>
          <m:t>h</m:t>
        </m:r>
        <m:r>
          <m:rPr>
            <m:sty m:val="p"/>
          </m:rPr>
          <m:t>.</m:t>
        </m:r>
        <m:r>
          <m:t>T</m:t>
        </m:r>
        <m:r>
          <m:t>h</m:t>
        </m:r>
        <m:r>
          <m:t>e</m:t>
        </m:r>
        <m:r>
          <m:t>p</m:t>
        </m:r>
        <m:r>
          <m:t>r</m:t>
        </m:r>
        <m:r>
          <m:t>o</m:t>
        </m:r>
        <m:r>
          <m:t>g</m:t>
        </m:r>
        <m:r>
          <m:t>r</m:t>
        </m:r>
        <m:r>
          <m:t>a</m:t>
        </m:r>
        <m:r>
          <m:t>m</m:t>
        </m:r>
        <m:r>
          <m:t>i</m:t>
        </m:r>
        <m:r>
          <m:t>n</m:t>
        </m:r>
        <m:r>
          <m:t>c</m:t>
        </m:r>
        <m:r>
          <m:t>l</m:t>
        </m:r>
        <m:r>
          <m:t>u</m:t>
        </m:r>
        <m:r>
          <m:t>d</m:t>
        </m:r>
        <m:r>
          <m:t>e</m:t>
        </m:r>
        <m:r>
          <m:t>s</m:t>
        </m:r>
        <m:r>
          <m:t>f</m:t>
        </m:r>
        <m:r>
          <m:t>o</m:t>
        </m:r>
        <m:r>
          <m:t>o</m:t>
        </m:r>
        <m:r>
          <m:t>t</m:t>
        </m:r>
        <m:r>
          <m:t>p</m:t>
        </m:r>
        <m:r>
          <m:t>r</m:t>
        </m:r>
        <m:r>
          <m:t>i</m:t>
        </m:r>
        <m:r>
          <m:t>n</m:t>
        </m:r>
        <m:r>
          <m:t>t</m:t>
        </m:r>
        <m:r>
          <m:t>o</m:t>
        </m:r>
        <m:r>
          <m:t>p</m:t>
        </m:r>
        <m:r>
          <m:t>t</m:t>
        </m:r>
        <m:r>
          <m:t>i</m:t>
        </m:r>
        <m:r>
          <m:t>m</m:t>
        </m:r>
        <m:r>
          <m:t>i</m:t>
        </m:r>
        <m:r>
          <m:t>z</m:t>
        </m:r>
        <m:r>
          <m:t>a</m:t>
        </m:r>
        <m:r>
          <m:t>t</m:t>
        </m:r>
        <m:r>
          <m:t>i</m:t>
        </m:r>
        <m:r>
          <m:t>o</m:t>
        </m:r>
        <m:r>
          <m:t>n</m:t>
        </m:r>
        <m:r>
          <m:t>a</m:t>
        </m:r>
        <m:r>
          <m:t>n</m:t>
        </m:r>
        <m:r>
          <m:t>d</m:t>
        </m:r>
        <m:r>
          <m:t>b</m:t>
        </m:r>
        <m:r>
          <m:t>r</m:t>
        </m:r>
        <m:r>
          <m:t>a</m:t>
        </m:r>
        <m:r>
          <m:t>n</m:t>
        </m:r>
        <m:r>
          <m:t>d</m:t>
        </m:r>
        <m:r>
          <m:t>r</m:t>
        </m:r>
        <m:r>
          <m:t>a</m:t>
        </m:r>
        <m:r>
          <m:t>t</m:t>
        </m:r>
        <m:r>
          <m:t>i</m:t>
        </m:r>
        <m:r>
          <m:t>o</m:t>
        </m:r>
        <m:r>
          <m:t>n</m:t>
        </m:r>
        <m:r>
          <m:t>a</m:t>
        </m:r>
        <m:r>
          <m:t>l</m:t>
        </m:r>
        <m:r>
          <m:t>i</m:t>
        </m:r>
        <m:r>
          <m:t>z</m:t>
        </m:r>
        <m:r>
          <m:t>a</m:t>
        </m:r>
        <m:r>
          <m:t>t</m:t>
        </m:r>
        <m:r>
          <m:t>i</m:t>
        </m:r>
        <m:r>
          <m:t>o</m:t>
        </m:r>
        <m:r>
          <m:t>n</m:t>
        </m:r>
        <m:r>
          <m:t>a</m:t>
        </m:r>
        <m:r>
          <m:t>n</m:t>
        </m:r>
        <m:r>
          <m:t>d</m:t>
        </m:r>
        <m:r>
          <m:t>i</m:t>
        </m:r>
        <m:r>
          <m:t>s</m:t>
        </m:r>
        <m:r>
          <m:t>p</m:t>
        </m:r>
        <m:r>
          <m:t>r</m:t>
        </m:r>
        <m:r>
          <m:t>o</m:t>
        </m:r>
        <m:r>
          <m:t>j</m:t>
        </m:r>
        <m:r>
          <m:t>e</m:t>
        </m:r>
        <m:r>
          <m:t>c</m:t>
        </m:r>
        <m:r>
          <m:t>t</m:t>
        </m:r>
        <m:r>
          <m:t>e</m:t>
        </m:r>
        <m:r>
          <m:t>d</m:t>
        </m:r>
        <m:r>
          <m:t>t</m:t>
        </m:r>
        <m:r>
          <m:t>o</m:t>
        </m:r>
        <m:r>
          <m:t>g</m:t>
        </m:r>
        <m:r>
          <m:t>e</m:t>
        </m:r>
        <m:r>
          <m:t>n</m:t>
        </m:r>
        <m:r>
          <m:t>e</m:t>
        </m:r>
        <m:r>
          <m:t>r</m:t>
        </m:r>
        <m:r>
          <m:t>a</m:t>
        </m:r>
        <m:r>
          <m:t>t</m:t>
        </m:r>
        <m:r>
          <m:t>e</m:t>
        </m:r>
        <m:r>
          <m:rPr>
            <m:sty m:val="p"/>
          </m:rPr>
          <m:t>*</m:t>
        </m:r>
        <m:r>
          <m:rPr>
            <m:sty m:val="p"/>
          </m:rPr>
          <m:t>*</m:t>
        </m:r>
      </m:oMath>
      <w:r>
        <w:rPr>
          <w:b/>
          <w:bCs/>
        </w:rPr>
        <w:t xml:space="preserve">6 million–$8 million of annual savings beginning in 2027</w:t>
      </w:r>
      <w:r>
        <w:t xml:space="preserve">.</w:t>
      </w:r>
    </w:p>
    <w:p>
      <w:pPr>
        <w:pStyle w:val="BodyText"/>
      </w:pPr>
      <w:r>
        <w:t xml:space="preserve">This makes 2Q GAAP results less comparable and shifts attention to the underlying business:</w:t>
      </w:r>
    </w:p>
    <w:p>
      <w:pPr>
        <w:pStyle w:val="Compact"/>
        <w:numPr>
          <w:ilvl w:val="0"/>
          <w:numId w:val="1004"/>
        </w:numPr>
      </w:pPr>
      <w:r>
        <w:t xml:space="preserve">North American water treatment was only up 1% in 1Q.</w:t>
      </w:r>
    </w:p>
    <w:p>
      <w:pPr>
        <w:pStyle w:val="Compact"/>
        <w:numPr>
          <w:ilvl w:val="0"/>
          <w:numId w:val="1004"/>
        </w:numPr>
      </w:pPr>
      <w:r>
        <w:t xml:space="preserve">Dealer-channel growth was strong, but consumer-facing channels were soft and skewing toward lower-priced products.</w:t>
      </w:r>
    </w:p>
    <w:p>
      <w:pPr>
        <w:pStyle w:val="Compact"/>
        <w:numPr>
          <w:ilvl w:val="0"/>
          <w:numId w:val="1004"/>
        </w:numPr>
      </w:pPr>
      <w:r>
        <w:t xml:space="preserve">Management targets approximately</w:t>
      </w:r>
      <w:r>
        <w:t xml:space="preserve"> </w:t>
      </w:r>
      <w:r>
        <w:rPr>
          <w:b/>
          <w:bCs/>
        </w:rPr>
        <w:t xml:space="preserve">15% operating margin in 2026</w:t>
      </w:r>
      <w:r>
        <w:t xml:space="preserve"> </w:t>
      </w:r>
      <w:r>
        <w:t xml:space="preserve">for water treatment, followed by another roughly 200 basis points of improvement in 2027 from the restructuring.</w:t>
      </w:r>
    </w:p>
    <w:p>
      <w:pPr>
        <w:pStyle w:val="FirstParagraph"/>
      </w:pPr>
      <w:r>
        <w:rPr>
          <w:b/>
          <w:bCs/>
        </w:rPr>
        <w:t xml:space="preserve">Investor focus:</w:t>
      </w:r>
      <w:r>
        <w:t xml:space="preserve"> </w:t>
      </w:r>
      <w:r>
        <w:t xml:space="preserve">Investors should distinguish between the near-term accounting charge and the operational question: is the business actually progressing toward its stated margin target, or is another reset likely required?</w:t>
      </w:r>
    </w:p>
    <w:p>
      <w:r>
        <w:pict>
          <v:rect style="width:0;height:1.5pt" o:hralign="center" o:hrstd="t" o:hr="t"/>
        </w:pict>
      </w:r>
    </w:p>
    <w:bookmarkEnd w:id="12"/>
    <w:bookmarkEnd w:id="13"/>
    <w:bookmarkStart w:id="14" w:name="expectations-framework"/>
    <w:p>
      <w:pPr>
        <w:pStyle w:val="Heading2"/>
      </w:pPr>
      <w:r>
        <w:t xml:space="preserve">Expectations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pPr>
            <w:r>
              <w:t xml:space="preserve">2Q26 setup / key comparison</w:t>
            </w:r>
          </w:p>
        </w:tc>
      </w:tr>
      <w:tr>
        <w:tc>
          <w:tcPr/>
          <w:p>
            <w:pPr>
              <w:pStyle w:val="Compact"/>
            </w:pPr>
            <w:r>
              <w:t xml:space="preserve">Revenue</w:t>
            </w:r>
          </w:p>
        </w:tc>
        <w:tc>
          <w:tcPr/>
          <w:p>
            <w:pPr>
              <w:pStyle w:val="Compact"/>
              <w:jc w:val="right"/>
            </w:pPr>
            <w:r>
              <w:rPr>
                <w:b/>
                <w:bCs/>
              </w:rPr>
              <w:t xml:space="preserve">$1.011B</w:t>
            </w:r>
          </w:p>
        </w:tc>
        <w:tc>
          <w:tcPr/>
          <w:p>
            <w:pPr>
              <w:pStyle w:val="Compact"/>
            </w:pPr>
            <w:r>
              <w:t xml:space="preserve">North America may benefit from modest price-related demand timing and Leonard Valve; Rest of World faces a sharp China decline.</w:t>
            </w:r>
          </w:p>
        </w:tc>
      </w:tr>
      <w:tr>
        <w:tc>
          <w:tcPr/>
          <w:p>
            <w:pPr>
              <w:pStyle w:val="Compact"/>
            </w:pPr>
            <w:r>
              <w:t xml:space="preserve">Diluted EPS</w:t>
            </w:r>
          </w:p>
        </w:tc>
        <w:tc>
          <w:tcPr/>
          <w:p>
            <w:pPr>
              <w:pStyle w:val="Compact"/>
              <w:jc w:val="right"/>
            </w:pPr>
            <w:r>
              <w:rPr>
                <w:b/>
                <w:bCs/>
              </w:rPr>
              <w:t xml:space="preserve">$1.07</w:t>
            </w:r>
          </w:p>
        </w:tc>
        <w:tc>
          <w:tcPr/>
          <w:p>
            <w:pPr>
              <w:pStyle w:val="Compact"/>
            </w:pPr>
            <w:r>
              <w:t xml:space="preserve">Management indicated 2Q EPS around 25% of the midpoint of annual guidance; approximately</w:t>
            </w:r>
            <w:r>
              <w:t xml:space="preserve"> </w:t>
            </w:r>
            <w:r>
              <w:rPr>
                <w:b/>
                <w:bCs/>
              </w:rPr>
              <w:t xml:space="preserve">$0.96 adjusted EPS</w:t>
            </w:r>
            <w:r>
              <w:t xml:space="preserve"> </w:t>
            </w:r>
            <w:r>
              <w:t xml:space="preserve">is a useful implied cadence marker.</w:t>
            </w:r>
          </w:p>
        </w:tc>
      </w:tr>
      <w:tr>
        <w:tc>
          <w:tcPr/>
          <w:p>
            <w:pPr>
              <w:pStyle w:val="Compact"/>
            </w:pPr>
            <w:r>
              <w:t xml:space="preserve">North America margin</w:t>
            </w:r>
          </w:p>
        </w:tc>
        <w:tc>
          <w:tcPr/>
          <w:p>
            <w:pPr>
              <w:pStyle w:val="Compact"/>
              <w:jc w:val="right"/>
            </w:pPr>
            <w:r>
              <w:rPr>
                <w:b/>
                <w:bCs/>
              </w:rPr>
              <w:t xml:space="preserve">25.4%</w:t>
            </w:r>
          </w:p>
        </w:tc>
        <w:tc>
          <w:tcPr/>
          <w:p>
            <w:pPr>
              <w:pStyle w:val="Compact"/>
            </w:pPr>
            <w:r>
              <w:t xml:space="preserve">Cost pressure before full price realization makes this a tougher comparison; AOS targets about</w:t>
            </w:r>
            <w:r>
              <w:t xml:space="preserve"> </w:t>
            </w:r>
            <w:r>
              <w:rPr>
                <w:b/>
                <w:bCs/>
              </w:rPr>
              <w:t xml:space="preserve">24%</w:t>
            </w:r>
            <w:r>
              <w:t xml:space="preserve"> </w:t>
            </w:r>
            <w:r>
              <w:t xml:space="preserve">for FY26.</w:t>
            </w:r>
          </w:p>
        </w:tc>
      </w:tr>
      <w:tr>
        <w:tc>
          <w:tcPr/>
          <w:p>
            <w:pPr>
              <w:pStyle w:val="Compact"/>
            </w:pPr>
            <w:r>
              <w:t xml:space="preserve">Rest of World margin</w:t>
            </w:r>
          </w:p>
        </w:tc>
        <w:tc>
          <w:tcPr/>
          <w:p>
            <w:pPr>
              <w:pStyle w:val="Compact"/>
              <w:jc w:val="right"/>
            </w:pPr>
            <w:r>
              <w:rPr>
                <w:b/>
                <w:bCs/>
              </w:rPr>
              <w:t xml:space="preserve">10.5%</w:t>
            </w:r>
          </w:p>
        </w:tc>
        <w:tc>
          <w:tcPr/>
          <w:p>
            <w:pPr>
              <w:pStyle w:val="Compact"/>
            </w:pPr>
            <w:r>
              <w:t xml:space="preserve">China inventory reduction and high decrementals imply a materially weaker year-over-year comparison.</w:t>
            </w:r>
          </w:p>
        </w:tc>
      </w:tr>
      <w:tr>
        <w:tc>
          <w:tcPr/>
          <w:p>
            <w:pPr>
              <w:pStyle w:val="Compact"/>
            </w:pPr>
            <w:r>
              <w:t xml:space="preserve">Free cash flow</w:t>
            </w:r>
          </w:p>
        </w:tc>
        <w:tc>
          <w:tcPr/>
          <w:p>
            <w:pPr>
              <w:pStyle w:val="Compact"/>
              <w:jc w:val="right"/>
            </w:pPr>
            <w:r>
              <w:rPr>
                <w:b/>
                <w:bCs/>
              </w:rPr>
              <w:t xml:space="preserve">$139.9M</w:t>
            </w:r>
            <w:r>
              <w:t xml:space="preserve"> </w:t>
            </w:r>
            <w:r>
              <w:t xml:space="preserve">for 1H25</w:t>
            </w:r>
          </w:p>
        </w:tc>
        <w:tc>
          <w:tcPr/>
          <w:p>
            <w:pPr>
              <w:pStyle w:val="Compact"/>
            </w:pPr>
            <w:r>
              <w:t xml:space="preserve">Watch working-capital normalization after unusually strong 1Q cash generation driven partly by payment timing.</w:t>
            </w:r>
          </w:p>
        </w:tc>
      </w:tr>
    </w:tbl>
    <w:p>
      <w:pPr>
        <w:pStyle w:val="BodyText"/>
      </w:pPr>
      <w:r>
        <w:rPr>
          <w:i/>
          <w:iCs/>
        </w:rPr>
        <w:t xml:space="preserve">Note: The implied adjusted-EPS figure is derived from management’s own stated quarterly cadence and its</w:t>
      </w:r>
      <w:r>
        <w:rPr>
          <w:i/>
          <w:iCs/>
        </w:rPr>
        <w:t xml:space="preserve"> </w:t>
      </w:r>
      <m:oMath>
        <m:r>
          <m:t>3.70</m:t>
        </m:r>
        <m:r>
          <m:rPr>
            <m:sty m:val="p"/>
          </m:rPr>
          <m:t>–</m:t>
        </m:r>
      </m:oMath>
      <w:r>
        <w:rPr>
          <w:i/>
          <w:iCs/>
        </w:rPr>
        <w:t xml:space="preserve">4.00 full-year adjusted-EPS range; it is not a published analyst-consensus estimate.</w:t>
      </w:r>
    </w:p>
    <w:p>
      <w:r>
        <w:pict>
          <v:rect style="width:0;height:1.5pt" o:hralign="center" o:hrstd="t" o:hr="t"/>
        </w:pict>
      </w:r>
    </w:p>
    <w:bookmarkEnd w:id="14"/>
    <w:bookmarkStart w:id="15" w:name="bull-case"/>
    <w:p>
      <w:pPr>
        <w:pStyle w:val="Heading2"/>
      </w:pPr>
      <w:r>
        <w:t xml:space="preserve">Bull case</w:t>
      </w:r>
    </w:p>
    <w:p>
      <w:pPr>
        <w:pStyle w:val="FirstParagraph"/>
      </w:pPr>
      <w:r>
        <w:t xml:space="preserve">A constructive report would feature:</w:t>
      </w:r>
    </w:p>
    <w:p>
      <w:pPr>
        <w:pStyle w:val="Compact"/>
        <w:numPr>
          <w:ilvl w:val="0"/>
          <w:numId w:val="1005"/>
        </w:numPr>
      </w:pPr>
      <w:r>
        <w:rPr>
          <w:b/>
          <w:bCs/>
        </w:rPr>
        <w:t xml:space="preserve">China results no worse than the planned inventory reduction</w:t>
      </w:r>
      <w:r>
        <w:t xml:space="preserve">, with confirmation that demand, pricing, and share are stabilizing.</w:t>
      </w:r>
    </w:p>
    <w:p>
      <w:pPr>
        <w:pStyle w:val="Compact"/>
        <w:numPr>
          <w:ilvl w:val="0"/>
          <w:numId w:val="1005"/>
        </w:numPr>
      </w:pPr>
      <w:r>
        <w:rPr>
          <w:b/>
          <w:bCs/>
        </w:rPr>
        <w:t xml:space="preserve">North America margin resilience</w:t>
      </w:r>
      <w:r>
        <w:t xml:space="preserve"> </w:t>
      </w:r>
      <w:r>
        <w:t xml:space="preserve">despite the expected 2Q cost headwind.</w:t>
      </w:r>
    </w:p>
    <w:p>
      <w:pPr>
        <w:pStyle w:val="Compact"/>
        <w:numPr>
          <w:ilvl w:val="0"/>
          <w:numId w:val="1005"/>
        </w:numPr>
      </w:pPr>
      <w:r>
        <w:t xml:space="preserve">Evidence of</w:t>
      </w:r>
      <w:r>
        <w:t xml:space="preserve"> </w:t>
      </w:r>
      <w:r>
        <w:rPr>
          <w:b/>
          <w:bCs/>
        </w:rPr>
        <w:t xml:space="preserve">effective price execution</w:t>
      </w:r>
      <w:r>
        <w:t xml:space="preserve"> </w:t>
      </w:r>
      <w:r>
        <w:t xml:space="preserve">and confidence that 3Q price realization will more than offset steel/freight pressure.</w:t>
      </w:r>
    </w:p>
    <w:p>
      <w:pPr>
        <w:pStyle w:val="Compact"/>
        <w:numPr>
          <w:ilvl w:val="0"/>
          <w:numId w:val="1005"/>
        </w:numPr>
      </w:pPr>
      <w:r>
        <w:t xml:space="preserve">Continued outperformance from</w:t>
      </w:r>
      <w:r>
        <w:t xml:space="preserve"> </w:t>
      </w:r>
      <w:r>
        <w:rPr>
          <w:b/>
          <w:bCs/>
        </w:rPr>
        <w:t xml:space="preserve">Leonard Valve</w:t>
      </w:r>
      <w:r>
        <w:t xml:space="preserve">, including concrete cross-selling or synergy progress.</w:t>
      </w:r>
    </w:p>
    <w:p>
      <w:pPr>
        <w:pStyle w:val="Compact"/>
        <w:numPr>
          <w:ilvl w:val="0"/>
          <w:numId w:val="1005"/>
        </w:numPr>
      </w:pPr>
      <w:r>
        <w:t xml:space="preserve">Reaffirmed 2026 guidance, with a credible path to the midpoint or better.</w:t>
      </w:r>
    </w:p>
    <w:p>
      <w:pPr>
        <w:pStyle w:val="Compact"/>
        <w:numPr>
          <w:ilvl w:val="0"/>
          <w:numId w:val="1005"/>
        </w:numPr>
      </w:pPr>
      <w:r>
        <w:t xml:space="preserve">Better-than-expected free cash flow and continued commitment to the planned</w:t>
      </w:r>
      <w:r>
        <w:t xml:space="preserve"> </w:t>
      </w:r>
      <w:r>
        <w:rPr>
          <w:b/>
          <w:bCs/>
        </w:rPr>
        <w:t xml:space="preserve">$200 million</w:t>
      </w:r>
      <w:r>
        <w:t xml:space="preserve"> </w:t>
      </w:r>
      <w:r>
        <w:t xml:space="preserve">of 2026 repurchases.</w:t>
      </w:r>
    </w:p>
    <w:p>
      <w:r>
        <w:pict>
          <v:rect style="width:0;height:1.5pt" o:hralign="center" o:hrstd="t" o:hr="t"/>
        </w:pict>
      </w:r>
    </w:p>
    <w:bookmarkEnd w:id="15"/>
    <w:bookmarkStart w:id="16" w:name="bear-case"/>
    <w:p>
      <w:pPr>
        <w:pStyle w:val="Heading2"/>
      </w:pPr>
      <w:r>
        <w:t xml:space="preserve">Bear case</w:t>
      </w:r>
    </w:p>
    <w:p>
      <w:pPr>
        <w:pStyle w:val="FirstParagraph"/>
      </w:pPr>
      <w:r>
        <w:t xml:space="preserve">The principal downside scenario is not just an EPS miss—it is a change in the full-year earnings algorithm:</w:t>
      </w:r>
    </w:p>
    <w:p>
      <w:pPr>
        <w:pStyle w:val="Compact"/>
        <w:numPr>
          <w:ilvl w:val="0"/>
          <w:numId w:val="1006"/>
        </w:numPr>
      </w:pPr>
      <w:r>
        <w:t xml:space="preserve">China declines materially more than anticipated, or margin decrementals exceed the 35%–40% framework.</w:t>
      </w:r>
    </w:p>
    <w:p>
      <w:pPr>
        <w:pStyle w:val="Compact"/>
        <w:numPr>
          <w:ilvl w:val="0"/>
          <w:numId w:val="1006"/>
        </w:numPr>
      </w:pPr>
      <w:r>
        <w:t xml:space="preserve">North American price increases prove slower or less complete than expected, causing 3Q margin recovery to look less certain.</w:t>
      </w:r>
    </w:p>
    <w:p>
      <w:pPr>
        <w:pStyle w:val="Compact"/>
        <w:numPr>
          <w:ilvl w:val="0"/>
          <w:numId w:val="1006"/>
        </w:numPr>
      </w:pPr>
      <w:r>
        <w:t xml:space="preserve">Residential replacement demand or wholesale-channel share weakens further.</w:t>
      </w:r>
    </w:p>
    <w:p>
      <w:pPr>
        <w:pStyle w:val="Compact"/>
        <w:numPr>
          <w:ilvl w:val="0"/>
          <w:numId w:val="1006"/>
        </w:numPr>
      </w:pPr>
      <w:r>
        <w:t xml:space="preserve">The DOE-related commercial prebuy opportunity is effectively absent rather than merely reduced.</w:t>
      </w:r>
    </w:p>
    <w:p>
      <w:pPr>
        <w:pStyle w:val="Compact"/>
        <w:numPr>
          <w:ilvl w:val="0"/>
          <w:numId w:val="1006"/>
        </w:numPr>
      </w:pPr>
      <w:r>
        <w:t xml:space="preserve">Water-treatment restructuring implies a weaker underlying business or larger-than-expected disruption.</w:t>
      </w:r>
    </w:p>
    <w:p>
      <w:pPr>
        <w:pStyle w:val="Compact"/>
        <w:numPr>
          <w:ilvl w:val="0"/>
          <w:numId w:val="1006"/>
        </w:numPr>
      </w:pPr>
      <w:r>
        <w:t xml:space="preserve">The China strategic review remains unresolved without a clear timetable or operating plan.</w:t>
      </w:r>
    </w:p>
    <w:p>
      <w:r>
        <w:pict>
          <v:rect style="width:0;height:1.5pt" o:hralign="center" o:hrstd="t" o:hr="t"/>
        </w:pict>
      </w:r>
    </w:p>
    <w:bookmarkEnd w:id="16"/>
    <w:bookmarkStart w:id="17" w:name="questions-for-management"/>
    <w:p>
      <w:pPr>
        <w:pStyle w:val="Heading2"/>
      </w:pPr>
      <w:r>
        <w:t xml:space="preserve">Questions for management</w:t>
      </w:r>
    </w:p>
    <w:p>
      <w:pPr>
        <w:pStyle w:val="Compact"/>
        <w:numPr>
          <w:ilvl w:val="0"/>
          <w:numId w:val="1007"/>
        </w:numPr>
      </w:pPr>
      <w:r>
        <w:rPr>
          <w:b/>
          <w:bCs/>
        </w:rPr>
        <w:t xml:space="preserve">China:</w:t>
      </w:r>
      <w:r>
        <w:t xml:space="preserve"> </w:t>
      </w:r>
      <w:r>
        <w:t xml:space="preserve">Was the expected channel inventory reduction completed in 2Q, and what does the exit rate imply for 3Q and 4Q sales and margin?</w:t>
      </w:r>
    </w:p>
    <w:p>
      <w:pPr>
        <w:pStyle w:val="Compact"/>
        <w:numPr>
          <w:ilvl w:val="0"/>
          <w:numId w:val="1007"/>
        </w:numPr>
      </w:pPr>
      <w:r>
        <w:rPr>
          <w:b/>
          <w:bCs/>
        </w:rPr>
        <w:t xml:space="preserve">China review:</w:t>
      </w:r>
      <w:r>
        <w:t xml:space="preserve"> </w:t>
      </w:r>
      <w:r>
        <w:t xml:space="preserve">Is the company prepared to provide a definitive update on strategic alternatives, timing, or expected financial consequences?</w:t>
      </w:r>
    </w:p>
    <w:p>
      <w:pPr>
        <w:pStyle w:val="Compact"/>
        <w:numPr>
          <w:ilvl w:val="0"/>
          <w:numId w:val="1007"/>
        </w:numPr>
      </w:pPr>
      <w:r>
        <w:rPr>
          <w:b/>
          <w:bCs/>
        </w:rPr>
        <w:t xml:space="preserve">Price/cost:</w:t>
      </w:r>
      <w:r>
        <w:t xml:space="preserve"> </w:t>
      </w:r>
      <w:r>
        <w:t xml:space="preserve">How much of the April/May 4%–7% North American pricing has been realized, and what is the expected net margin impact in 3Q?</w:t>
      </w:r>
    </w:p>
    <w:p>
      <w:pPr>
        <w:pStyle w:val="Compact"/>
        <w:numPr>
          <w:ilvl w:val="0"/>
          <w:numId w:val="1007"/>
        </w:numPr>
      </w:pPr>
      <w:r>
        <w:rPr>
          <w:b/>
          <w:bCs/>
        </w:rPr>
        <w:t xml:space="preserve">Water heaters:</w:t>
      </w:r>
      <w:r>
        <w:t xml:space="preserve"> </w:t>
      </w:r>
      <w:r>
        <w:t xml:space="preserve">What are residential replacement trends, wholesale-channel share trends, and inventory levels entering the second half?</w:t>
      </w:r>
    </w:p>
    <w:p>
      <w:pPr>
        <w:pStyle w:val="Compact"/>
        <w:numPr>
          <w:ilvl w:val="0"/>
          <w:numId w:val="1007"/>
        </w:numPr>
      </w:pPr>
      <w:r>
        <w:rPr>
          <w:b/>
          <w:bCs/>
        </w:rPr>
        <w:t xml:space="preserve">Commercial water heating:</w:t>
      </w:r>
      <w:r>
        <w:t xml:space="preserve"> </w:t>
      </w:r>
      <w:r>
        <w:t xml:space="preserve">Has the DOE enforcement delay changed customer ordering behavior, production plans, or expected 2027 demand?</w:t>
      </w:r>
    </w:p>
    <w:p>
      <w:pPr>
        <w:pStyle w:val="Compact"/>
        <w:numPr>
          <w:ilvl w:val="0"/>
          <w:numId w:val="1007"/>
        </w:numPr>
      </w:pPr>
      <w:r>
        <w:rPr>
          <w:b/>
          <w:bCs/>
        </w:rPr>
        <w:t xml:space="preserve">Water treatment:</w:t>
      </w:r>
      <w:r>
        <w:t xml:space="preserve"> </w:t>
      </w:r>
      <w:r>
        <w:t xml:space="preserve">What is the underlying 2Q margin excluding the restructuring charge, and is the roughly 15% 2026 margin objective intact?</w:t>
      </w:r>
    </w:p>
    <w:p>
      <w:pPr>
        <w:pStyle w:val="Compact"/>
        <w:numPr>
          <w:ilvl w:val="0"/>
          <w:numId w:val="1007"/>
        </w:numPr>
      </w:pPr>
      <w:r>
        <w:rPr>
          <w:b/>
          <w:bCs/>
        </w:rPr>
        <w:t xml:space="preserve">Leonard Valve:</w:t>
      </w:r>
      <w:r>
        <w:t xml:space="preserve"> </w:t>
      </w:r>
      <w:r>
        <w:t xml:space="preserve">Is the $70 million 2026 revenue contribution still intact, and when should investors expect visible commercial synergies?</w:t>
      </w:r>
    </w:p>
    <w:p>
      <w:pPr>
        <w:pStyle w:val="Compact"/>
        <w:numPr>
          <w:ilvl w:val="0"/>
          <w:numId w:val="1007"/>
        </w:numPr>
      </w:pPr>
      <w:r>
        <w:rPr>
          <w:b/>
          <w:bCs/>
        </w:rPr>
        <w:t xml:space="preserve">Cash flow and leverage:</w:t>
      </w:r>
      <w:r>
        <w:t xml:space="preserve"> </w:t>
      </w:r>
      <w:r>
        <w:t xml:space="preserve">How much of 1Q’s $119 million free cash flow was timing-related, and is there any change to deleveraging, buybacks, or M&amp;A priorities after the $470 million Leonard acquisition?</w:t>
      </w:r>
    </w:p>
    <w:p>
      <w:r>
        <w:pict>
          <v:rect style="width:0;height:1.5pt" o:hralign="center" o:hrstd="t" o:hr="t"/>
        </w:pict>
      </w:r>
    </w:p>
    <w:bookmarkEnd w:id="17"/>
    <w:bookmarkStart w:id="19" w:name="bottom-line"/>
    <w:p>
      <w:pPr>
        <w:pStyle w:val="Heading2"/>
      </w:pPr>
      <w:r>
        <w:t xml:space="preserve">Bottom line</w:t>
      </w:r>
    </w:p>
    <w:p>
      <w:pPr>
        <w:pStyle w:val="FirstParagraph"/>
      </w:pPr>
      <w:r>
        <w:rPr>
          <w:b/>
          <w:bCs/>
        </w:rPr>
        <w:t xml:space="preserve">The report’s directional read-through will hinge on whether 2Q is simply the trough management described in April.</w:t>
      </w:r>
      <w:r>
        <w:t xml:space="preserve"> </w:t>
      </w:r>
      <w:r>
        <w:t xml:space="preserve">China and price/cost dynamics are supposed to be worst in 2Q; thus, an in-line quarter accompanied by maintained guidance, stable North American margins, and confidence in 3Q price realization could be enough to support a more constructive view of the second half.</w:t>
      </w:r>
    </w:p>
    <w:p>
      <w:pPr>
        <w:pStyle w:val="BodyText"/>
      </w:pPr>
      <w:r>
        <w:t xml:space="preserve">However, investors should be wary of treating an adjusted-EPS beat as sufficient. The more important tests are:</w:t>
      </w:r>
      <w:r>
        <w:t xml:space="preserve"> </w:t>
      </w:r>
      <w:r>
        <w:rPr>
          <w:b/>
          <w:bCs/>
        </w:rPr>
        <w:t xml:space="preserve">China inventory normalization, the durability of North American demand and share, price realization versus inflation, and whether the company can still credibly deliver a second-half earnings recovery.</w:t>
      </w:r>
    </w:p>
    <w:bookmarkStart w:id="18" w:name="sources-reviewed"/>
    <w:p>
      <w:pPr>
        <w:pStyle w:val="Heading3"/>
      </w:pPr>
      <w:r>
        <w:t xml:space="preserve">Sources reviewed</w:t>
      </w:r>
    </w:p>
    <w:p>
      <w:pPr>
        <w:pStyle w:val="Compact"/>
        <w:numPr>
          <w:ilvl w:val="0"/>
          <w:numId w:val="1008"/>
        </w:numPr>
      </w:pPr>
      <w:r>
        <w:t xml:space="preserve">A. O. Smith 1Q26 earnings release, April 30, 2026.</w:t>
      </w:r>
    </w:p>
    <w:p>
      <w:pPr>
        <w:pStyle w:val="Compact"/>
        <w:numPr>
          <w:ilvl w:val="0"/>
          <w:numId w:val="1008"/>
        </w:numPr>
      </w:pPr>
      <w:r>
        <w:t xml:space="preserve">A. O. Smith 1Q26 earnings-call transcript, April 30, 2026.</w:t>
      </w:r>
    </w:p>
    <w:p>
      <w:pPr>
        <w:pStyle w:val="Compact"/>
        <w:numPr>
          <w:ilvl w:val="0"/>
          <w:numId w:val="1008"/>
        </w:numPr>
      </w:pPr>
      <w:r>
        <w:t xml:space="preserve">A. O. Smith 1Q26 Form 10-Q.</w:t>
      </w:r>
    </w:p>
    <w:p>
      <w:pPr>
        <w:pStyle w:val="Compact"/>
        <w:numPr>
          <w:ilvl w:val="0"/>
          <w:numId w:val="1008"/>
        </w:numPr>
      </w:pPr>
      <w:r>
        <w:t xml:space="preserve">A. O. Smith 2Q25 earnings release, July 24, 2025.</w:t>
      </w:r>
    </w:p>
    <w:p>
      <w:pPr>
        <w:pStyle w:val="Compact"/>
        <w:numPr>
          <w:ilvl w:val="0"/>
          <w:numId w:val="1008"/>
        </w:numPr>
      </w:pPr>
      <w:r>
        <w:t xml:space="preserve">A. O. Smith June 22, 2026 leadership-transition release.</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2026-07-29T18:49:56Z</dcterms:created>
  <dcterms:modified xsi:type="dcterms:W3CDTF">2026-07-29T18:49:56Z</dcterms:modified>
</cp:coreProperties>
</file>

<file path=docProps/custom.xml><?xml version="1.0" encoding="utf-8"?>
<Properties xmlns="http://schemas.openxmlformats.org/officeDocument/2006/custom-properties" xmlns:vt="http://schemas.openxmlformats.org/officeDocument/2006/docPropsVTypes"/>
</file>