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A.O. Smith Corporation (AOS) — Q2 2026 Earnings Preview</w:t>
      </w:r>
    </w:p>
    <w:p>
      <w:r>
        <w:rPr>
          <w:rFonts w:ascii="Calibri" w:hAnsi="Calibri"/>
          <w:b/>
          <w:color w:val="525866"/>
          <w:sz w:val="22"/>
        </w:rPr>
        <w:t xml:space="preserve">Earnings Date: </w:t>
      </w:r>
      <w:r>
        <w:rPr>
          <w:rFonts w:ascii="Calibri" w:hAnsi="Calibri"/>
          <w:color w:val="525866"/>
          <w:sz w:val="22"/>
        </w:rPr>
        <w:t xml:space="preserve">July 30, 2026  </w:t>
      </w:r>
      <w:r>
        <w:rPr>
          <w:rFonts w:ascii="Calibri" w:hAnsi="Calibri"/>
          <w:b/>
          <w:color w:val="525866"/>
          <w:sz w:val="22"/>
        </w:rPr>
        <w:t xml:space="preserve">  |  Prepared: </w:t>
      </w:r>
      <w:r>
        <w:rPr>
          <w:rFonts w:ascii="Calibri" w:hAnsi="Calibri"/>
          <w:color w:val="525866"/>
          <w:sz w:val="22"/>
        </w:rPr>
        <w:t xml:space="preserve">July 29, 2026  </w:t>
      </w:r>
      <w:r>
        <w:rPr>
          <w:rFonts w:ascii="Calibri" w:hAnsi="Calibri"/>
          <w:b/>
          <w:color w:val="525866"/>
          <w:sz w:val="22"/>
        </w:rPr>
        <w:t xml:space="preserve">  |  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mixed-to-cautious — consensus is a manageable bar given Q1's guidance reset, but the biggest swing factor is whether </w:t>
      </w:r>
      <w:r>
        <w:rPr>
          <w:rFonts w:ascii="Calibri" w:hAnsi="Calibri"/>
          <w:b/>
          <w:color w:val="525866"/>
          <w:sz w:val="22"/>
        </w:rPr>
        <w:t>China deterioration</w:t>
      </w:r>
      <w:r>
        <w:rPr>
          <w:rFonts w:ascii="Calibri" w:hAnsi="Calibri"/>
          <w:color w:val="525866"/>
          <w:sz w:val="22"/>
        </w:rPr>
        <w:t xml:space="preserve"> is stabilizing or worsening further into Q2, with North America pricing pull-forward providing a partial offset.</w:t>
      </w:r>
    </w:p>
    <w:p>
      <w:r>
        <w:rPr>
          <w:rFonts w:ascii="Calibri" w:hAnsi="Calibri"/>
          <w:color w:val="525866"/>
          <w:sz w:val="22"/>
        </w:rPr>
        <w:t xml:space="preserve">Heading into Q2 2026, AOS faces a reset bar following the April 30 guidance cut, with consensus revenue of ~$990M and operating EPS of ~$0.96 — both reflecting the post-Q1 downward revision. </w:t>
      </w:r>
      <w:r>
        <w:rPr>
          <w:rFonts w:ascii="Calibri" w:hAnsi="Calibri"/>
          <w:color w:val="525866"/>
          <w:sz w:val="22"/>
        </w:rPr>
        <w:t xml:space="preserve">Management guided Q2 EPS at roughly 25% of the full-year midpoint (~$0.96), with a modest North America pricing pull-forward benefit ahead of the mid-May price increase effective date, partially offset by cost headwinds and real China weakness. </w:t>
      </w:r>
      <w:r>
        <w:rPr>
          <w:rFonts w:ascii="Calibri" w:hAnsi="Calibri"/>
          <w:color w:val="525866"/>
          <w:sz w:val="22"/>
        </w:rPr>
        <w:t xml:space="preserve">Estimate revisions have been modestly negative since the Q1 print, with the 5/5/26 baseline for Q2 revenue at ~$996M versus current consensus of ~$990M, suggesting the street has continued to trim. </w:t>
      </w:r>
      <w:r>
        <w:rPr>
          <w:rFonts w:ascii="Calibri" w:hAnsi="Calibri"/>
          <w:color w:val="525866"/>
          <w:sz w:val="22"/>
        </w:rPr>
        <w:t xml:space="preserve">The stock has essentially flatlined since the Q1 earnings selloff — down ~3% from the pre-earnings close but roughly in line with the S&amp;P 500 since the print — implying neither a beat nor a miss is priced in with conviction. </w:t>
      </w:r>
      <w:r>
        <w:rPr>
          <w:rFonts w:ascii="Calibri" w:hAnsi="Calibri"/>
          <w:color w:val="525866"/>
          <w:sz w:val="22"/>
        </w:rPr>
        <w:t xml:space="preserve">The key wildcard is the </w:t>
      </w:r>
      <w:r>
        <w:rPr>
          <w:rFonts w:ascii="Calibri" w:hAnsi="Calibri"/>
          <w:b/>
          <w:color w:val="525866"/>
          <w:sz w:val="22"/>
        </w:rPr>
        <w:t>China strategic assessment resolution</w:t>
      </w:r>
      <w:r>
        <w:rPr>
          <w:rFonts w:ascii="Calibri" w:hAnsi="Calibri"/>
          <w:color w:val="525866"/>
          <w:sz w:val="22"/>
        </w:rPr>
        <w:t>: management committed to providing clarity 'in the coming months' on April 30, and any update — sale, restructuring, or continued assessment — could move the stock more than the quarterly numbers themselves.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after the Q1 reset — the street has already absorbed the guidance cut. </w:t>
      </w:r>
      <w:r>
        <w:rPr>
          <w:rFonts w:ascii="Calibri" w:hAnsi="Calibri"/>
          <w:b/>
          <w:color w:val="525866"/>
          <w:sz w:val="22"/>
        </w:rPr>
        <w:t>North America segment margin</w:t>
      </w:r>
      <w:r>
        <w:rPr>
          <w:rFonts w:ascii="Calibri" w:hAnsi="Calibri"/>
          <w:color w:val="525866"/>
          <w:sz w:val="22"/>
        </w:rPr>
        <w:t xml:space="preserve"> is the bigger swing factor: management guided ~24% for the full year, but Q2 faces cost headwinds before pricing benefits arrive in Q3.</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Qtr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$945.6M</w:t>
            </w:r>
          </w:p>
        </w:tc>
        <w:tc>
          <w:tcPr>
            <w:tcW w:type="dxa" w:w="1234"/>
          </w:tcPr>
          <w:p>
            <w:r>
              <w:rPr>
                <w:rFonts w:ascii="Calibri" w:hAnsi="Calibri"/>
                <w:sz w:val="22"/>
              </w:rPr>
              <w:t>$1,011.3M</w:t>
            </w:r>
          </w:p>
        </w:tc>
        <w:tc>
          <w:tcPr>
            <w:tcW w:type="dxa" w:w="1234"/>
          </w:tcPr>
          <w:p>
            <w:r>
              <w:rPr>
                <w:rFonts w:ascii="Calibri" w:hAnsi="Calibri"/>
                <w:sz w:val="22"/>
              </w:rPr>
              <w:t>$990.2M</w:t>
            </w:r>
          </w:p>
        </w:tc>
        <w:tc>
          <w:tcPr>
            <w:tcW w:type="dxa" w:w="1234"/>
          </w:tcPr>
          <w:p>
            <w:r>
              <w:rPr>
                <w:rFonts w:ascii="Calibri" w:hAnsi="Calibri"/>
                <w:sz w:val="22"/>
              </w:rPr>
              <w:t>-2.1%</w:t>
            </w:r>
          </w:p>
        </w:tc>
        <w:tc>
          <w:tcPr>
            <w:tcW w:type="dxa" w:w="1234"/>
          </w:tcPr>
          <w:p>
            <w:r>
              <w:rPr>
                <w:rFonts w:ascii="Calibri" w:hAnsi="Calibri"/>
                <w:sz w:val="22"/>
              </w:rPr>
              <w:t>FY +2% to +4% total growth</w:t>
            </w:r>
          </w:p>
        </w:tc>
        <w:tc>
          <w:tcPr>
            <w:tcW w:type="dxa" w:w="1234"/>
          </w:tcPr>
          <w:p>
            <w:r>
              <w:rPr>
                <w:rFonts w:ascii="Calibri" w:hAnsi="Calibri"/>
                <w:sz w:val="22"/>
              </w:rPr>
              <w:t>N/A (quarterly)</w:t>
            </w:r>
          </w:p>
        </w:tc>
      </w:tr>
      <w:tr>
        <w:tc>
          <w:tcPr>
            <w:tcW w:type="dxa" w:w="1234"/>
          </w:tcPr>
          <w:p>
            <w:r>
              <w:rPr>
                <w:rFonts w:ascii="Calibri" w:hAnsi="Calibri"/>
                <w:sz w:val="22"/>
              </w:rPr>
              <w:t>Operating EPS (Diluted)</w:t>
            </w:r>
          </w:p>
        </w:tc>
        <w:tc>
          <w:tcPr>
            <w:tcW w:type="dxa" w:w="1234"/>
          </w:tcPr>
          <w:p>
            <w:r>
              <w:rPr>
                <w:rFonts w:ascii="Calibri" w:hAnsi="Calibri"/>
                <w:sz w:val="22"/>
              </w:rPr>
              <w:t>$0.85</w:t>
            </w:r>
          </w:p>
        </w:tc>
        <w:tc>
          <w:tcPr>
            <w:tcW w:type="dxa" w:w="1234"/>
          </w:tcPr>
          <w:p>
            <w:r>
              <w:rPr>
                <w:rFonts w:ascii="Calibri" w:hAnsi="Calibri"/>
                <w:sz w:val="22"/>
              </w:rPr>
              <w:t>$1.07</w:t>
            </w:r>
          </w:p>
        </w:tc>
        <w:tc>
          <w:tcPr>
            <w:tcW w:type="dxa" w:w="1234"/>
          </w:tcPr>
          <w:p>
            <w:r>
              <w:rPr>
                <w:rFonts w:ascii="Calibri" w:hAnsi="Calibri"/>
                <w:sz w:val="22"/>
              </w:rPr>
              <w:t>$0.96</w:t>
            </w:r>
          </w:p>
        </w:tc>
        <w:tc>
          <w:tcPr>
            <w:tcW w:type="dxa" w:w="1234"/>
          </w:tcPr>
          <w:p>
            <w:r>
              <w:rPr>
                <w:rFonts w:ascii="Calibri" w:hAnsi="Calibri"/>
                <w:sz w:val="22"/>
              </w:rPr>
              <w:t>-10.3%</w:t>
            </w:r>
          </w:p>
        </w:tc>
        <w:tc>
          <w:tcPr>
            <w:tcW w:type="dxa" w:w="1234"/>
          </w:tcPr>
          <w:p>
            <w:r>
              <w:rPr>
                <w:rFonts w:ascii="Calibri" w:hAnsi="Calibri"/>
                <w:sz w:val="22"/>
              </w:rPr>
              <w:t>~25% of FY midpoint (~$0.96)</w:t>
            </w:r>
          </w:p>
        </w:tc>
        <w:tc>
          <w:tcPr>
            <w:tcW w:type="dxa" w:w="1234"/>
          </w:tcPr>
          <w:p>
            <w:r>
              <w:rPr>
                <w:rFonts w:ascii="Calibri" w:hAnsi="Calibri"/>
                <w:sz w:val="22"/>
              </w:rPr>
              <w:t>~0% vs. guidance midpoint</w:t>
            </w:r>
          </w:p>
        </w:tc>
      </w:tr>
      <w:tr>
        <w:tc>
          <w:tcPr>
            <w:tcW w:type="dxa" w:w="1234"/>
          </w:tcPr>
          <w:p>
            <w:r>
              <w:rPr>
                <w:rFonts w:ascii="Calibri" w:hAnsi="Calibri"/>
                <w:sz w:val="22"/>
              </w:rPr>
              <w:t>North America Revenue ($M)</w:t>
            </w:r>
          </w:p>
        </w:tc>
        <w:tc>
          <w:tcPr>
            <w:tcW w:type="dxa" w:w="1234"/>
          </w:tcPr>
          <w:p>
            <w:r>
              <w:rPr>
                <w:rFonts w:ascii="Calibri" w:hAnsi="Calibri"/>
                <w:sz w:val="22"/>
              </w:rPr>
              <w:t>$753.4M</w:t>
            </w:r>
          </w:p>
        </w:tc>
        <w:tc>
          <w:tcPr>
            <w:tcW w:type="dxa" w:w="1234"/>
          </w:tcPr>
          <w:p>
            <w:r>
              <w:rPr>
                <w:rFonts w:ascii="Calibri" w:hAnsi="Calibri"/>
                <w:sz w:val="22"/>
              </w:rPr>
              <w:t>$779.0M</w:t>
            </w:r>
          </w:p>
        </w:tc>
        <w:tc>
          <w:tcPr>
            <w:tcW w:type="dxa" w:w="1234"/>
          </w:tcPr>
          <w:p>
            <w:r>
              <w:rPr>
                <w:rFonts w:ascii="Calibri" w:hAnsi="Calibri"/>
                <w:sz w:val="22"/>
              </w:rPr>
              <w:t>$814.7M</w:t>
            </w:r>
          </w:p>
        </w:tc>
        <w:tc>
          <w:tcPr>
            <w:tcW w:type="dxa" w:w="1234"/>
          </w:tcPr>
          <w:p>
            <w:r>
              <w:rPr>
                <w:rFonts w:ascii="Calibri" w:hAnsi="Calibri"/>
                <w:sz w:val="22"/>
              </w:rPr>
              <w:t>+4.6%</w:t>
            </w:r>
          </w:p>
        </w:tc>
        <w:tc>
          <w:tcPr>
            <w:tcW w:type="dxa" w:w="1234"/>
          </w:tcPr>
          <w:p>
            <w:r>
              <w:rPr>
                <w:rFonts w:ascii="Calibri" w:hAnsi="Calibri"/>
                <w:sz w:val="22"/>
              </w:rPr>
              <w:t>FY NA boilers +6-8%; WH flat to down</w:t>
            </w:r>
          </w:p>
        </w:tc>
        <w:tc>
          <w:tcPr>
            <w:tcW w:type="dxa" w:w="1234"/>
          </w:tcPr>
          <w:p>
            <w:r>
              <w:rPr>
                <w:rFonts w:ascii="Calibri" w:hAnsi="Calibri"/>
                <w:sz w:val="22"/>
              </w:rPr>
              <w:t>N/A (quarterly)</w:t>
            </w:r>
          </w:p>
        </w:tc>
      </w:tr>
      <w:tr>
        <w:tc>
          <w:tcPr>
            <w:tcW w:type="dxa" w:w="1234"/>
          </w:tcPr>
          <w:p>
            <w:r>
              <w:rPr>
                <w:rFonts w:ascii="Calibri" w:hAnsi="Calibri"/>
                <w:sz w:val="22"/>
              </w:rPr>
              <w:t>NA Segment EBIT ($M)</w:t>
            </w:r>
          </w:p>
        </w:tc>
        <w:tc>
          <w:tcPr>
            <w:tcW w:type="dxa" w:w="1234"/>
          </w:tcPr>
          <w:p>
            <w:r>
              <w:rPr>
                <w:rFonts w:ascii="Calibri" w:hAnsi="Calibri"/>
                <w:sz w:val="22"/>
              </w:rPr>
              <w:t>$175.4M</w:t>
            </w:r>
          </w:p>
        </w:tc>
        <w:tc>
          <w:tcPr>
            <w:tcW w:type="dxa" w:w="1234"/>
          </w:tcPr>
          <w:p>
            <w:r>
              <w:rPr>
                <w:rFonts w:ascii="Calibri" w:hAnsi="Calibri"/>
                <w:sz w:val="22"/>
              </w:rPr>
              <w:t>$198.1M</w:t>
            </w:r>
          </w:p>
        </w:tc>
        <w:tc>
          <w:tcPr>
            <w:tcW w:type="dxa" w:w="1234"/>
          </w:tcPr>
          <w:p>
            <w:r>
              <w:rPr>
                <w:rFonts w:ascii="Calibri" w:hAnsi="Calibri"/>
                <w:sz w:val="22"/>
              </w:rPr>
              <w:t>$196.3M</w:t>
            </w:r>
          </w:p>
        </w:tc>
        <w:tc>
          <w:tcPr>
            <w:tcW w:type="dxa" w:w="1234"/>
          </w:tcPr>
          <w:p>
            <w:r>
              <w:rPr>
                <w:rFonts w:ascii="Calibri" w:hAnsi="Calibri"/>
                <w:sz w:val="22"/>
              </w:rPr>
              <w:t>-0.9%</w:t>
            </w:r>
          </w:p>
        </w:tc>
        <w:tc>
          <w:tcPr>
            <w:tcW w:type="dxa" w:w="1234"/>
          </w:tcPr>
          <w:p>
            <w:r>
              <w:rPr>
                <w:rFonts w:ascii="Calibri" w:hAnsi="Calibri"/>
                <w:sz w:val="22"/>
              </w:rPr>
              <w:t>~24% NA segment margin</w:t>
            </w:r>
          </w:p>
        </w:tc>
        <w:tc>
          <w:tcPr>
            <w:tcW w:type="dxa" w:w="1234"/>
          </w:tcPr>
          <w:p>
            <w:r>
              <w:rPr>
                <w:rFonts w:ascii="Calibri" w:hAnsi="Calibri"/>
                <w:sz w:val="22"/>
              </w:rPr>
              <w:t>~24.1% implied vs. 24% guide</w:t>
            </w:r>
          </w:p>
        </w:tc>
      </w:tr>
      <w:tr>
        <w:tc>
          <w:tcPr>
            <w:tcW w:type="dxa" w:w="1234"/>
          </w:tcPr>
          <w:p>
            <w:r>
              <w:rPr>
                <w:rFonts w:ascii="Calibri" w:hAnsi="Calibri"/>
                <w:sz w:val="22"/>
              </w:rPr>
              <w:t>NA Segment EBIT Margin (%)</w:t>
            </w:r>
          </w:p>
        </w:tc>
        <w:tc>
          <w:tcPr>
            <w:tcW w:type="dxa" w:w="1234"/>
          </w:tcPr>
          <w:p>
            <w:r>
              <w:rPr>
                <w:rFonts w:ascii="Calibri" w:hAnsi="Calibri"/>
                <w:sz w:val="22"/>
              </w:rPr>
              <w:t>23.3%</w:t>
            </w:r>
          </w:p>
        </w:tc>
        <w:tc>
          <w:tcPr>
            <w:tcW w:type="dxa" w:w="1234"/>
          </w:tcPr>
          <w:p>
            <w:r>
              <w:rPr>
                <w:rFonts w:ascii="Calibri" w:hAnsi="Calibri"/>
                <w:sz w:val="22"/>
              </w:rPr>
              <w:t>25.4%</w:t>
            </w:r>
          </w:p>
        </w:tc>
        <w:tc>
          <w:tcPr>
            <w:tcW w:type="dxa" w:w="1234"/>
          </w:tcPr>
          <w:p>
            <w:r>
              <w:rPr>
                <w:rFonts w:ascii="Calibri" w:hAnsi="Calibri"/>
                <w:sz w:val="22"/>
              </w:rPr>
              <w:t>20.9%</w:t>
            </w:r>
          </w:p>
        </w:tc>
        <w:tc>
          <w:tcPr>
            <w:tcW w:type="dxa" w:w="1234"/>
          </w:tcPr>
          <w:p>
            <w:r>
              <w:rPr>
                <w:rFonts w:ascii="Calibri" w:hAnsi="Calibri"/>
                <w:sz w:val="22"/>
              </w:rPr>
              <w:t>-250 bps</w:t>
            </w:r>
          </w:p>
        </w:tc>
        <w:tc>
          <w:tcPr>
            <w:tcW w:type="dxa" w:w="1234"/>
          </w:tcPr>
          <w:p>
            <w:r>
              <w:rPr>
                <w:rFonts w:ascii="Calibri" w:hAnsi="Calibri"/>
                <w:sz w:val="22"/>
              </w:rPr>
              <w:t>~24% FY</w:t>
            </w:r>
          </w:p>
        </w:tc>
        <w:tc>
          <w:tcPr>
            <w:tcW w:type="dxa" w:w="1234"/>
          </w:tcPr>
          <w:p>
            <w:r>
              <w:rPr>
                <w:rFonts w:ascii="Calibri" w:hAnsi="Calibri"/>
                <w:sz w:val="22"/>
              </w:rPr>
              <w:t>-310 bps vs. guide (Q2 cost headwinds)</w:t>
            </w:r>
          </w:p>
        </w:tc>
      </w:tr>
      <w:tr>
        <w:tc>
          <w:tcPr>
            <w:tcW w:type="dxa" w:w="1234"/>
          </w:tcPr>
          <w:p>
            <w:r>
              <w:rPr>
                <w:rFonts w:ascii="Calibri" w:hAnsi="Calibri"/>
                <w:sz w:val="22"/>
              </w:rPr>
              <w:t>Rest of World Revenue ($M)</w:t>
            </w:r>
          </w:p>
        </w:tc>
        <w:tc>
          <w:tcPr>
            <w:tcW w:type="dxa" w:w="1234"/>
          </w:tcPr>
          <w:p>
            <w:r>
              <w:rPr>
                <w:rFonts w:ascii="Calibri" w:hAnsi="Calibri"/>
                <w:sz w:val="22"/>
              </w:rPr>
              <w:t>$200.7M</w:t>
            </w:r>
          </w:p>
        </w:tc>
        <w:tc>
          <w:tcPr>
            <w:tcW w:type="dxa" w:w="1234"/>
          </w:tcPr>
          <w:p>
            <w:r>
              <w:rPr>
                <w:rFonts w:ascii="Calibri" w:hAnsi="Calibri"/>
                <w:sz w:val="22"/>
              </w:rPr>
              <w:t>$240.1M</w:t>
            </w:r>
          </w:p>
        </w:tc>
        <w:tc>
          <w:tcPr>
            <w:tcW w:type="dxa" w:w="1234"/>
          </w:tcPr>
          <w:p>
            <w:r>
              <w:rPr>
                <w:rFonts w:ascii="Calibri" w:hAnsi="Calibri"/>
                <w:sz w:val="22"/>
              </w:rPr>
              <w:t>$183.0M</w:t>
            </w:r>
          </w:p>
        </w:tc>
        <w:tc>
          <w:tcPr>
            <w:tcW w:type="dxa" w:w="1234"/>
          </w:tcPr>
          <w:p>
            <w:r>
              <w:rPr>
                <w:rFonts w:ascii="Calibri" w:hAnsi="Calibri"/>
                <w:sz w:val="22"/>
              </w:rPr>
              <w:t>-23.8%</w:t>
            </w:r>
          </w:p>
        </w:tc>
        <w:tc>
          <w:tcPr>
            <w:tcW w:type="dxa" w:w="1234"/>
          </w:tcPr>
          <w:p>
            <w:r>
              <w:rPr>
                <w:rFonts w:ascii="Calibri" w:hAnsi="Calibri"/>
                <w:sz w:val="22"/>
              </w:rPr>
              <w:t>China down ~low double digits FY; Q2 down ~15% vs. Q1</w:t>
            </w:r>
          </w:p>
        </w:tc>
        <w:tc>
          <w:tcPr>
            <w:tcW w:type="dxa" w:w="1234"/>
          </w:tcPr>
          <w:p>
            <w:r>
              <w:rPr>
                <w:rFonts w:ascii="Calibri" w:hAnsi="Calibri"/>
                <w:sz w:val="22"/>
              </w:rPr>
              <w:t>In line with guide</w:t>
            </w:r>
          </w:p>
        </w:tc>
      </w:tr>
      <w:tr>
        <w:tc>
          <w:tcPr>
            <w:tcW w:type="dxa" w:w="1234"/>
          </w:tcPr>
          <w:p>
            <w:r>
              <w:rPr>
                <w:rFonts w:ascii="Calibri" w:hAnsi="Calibri"/>
                <w:sz w:val="22"/>
              </w:rPr>
              <w:t>RoW Segment EBIT ($M)</w:t>
            </w:r>
          </w:p>
        </w:tc>
        <w:tc>
          <w:tcPr>
            <w:tcW w:type="dxa" w:w="1234"/>
          </w:tcPr>
          <w:p>
            <w:r>
              <w:rPr>
                <w:rFonts w:ascii="Calibri" w:hAnsi="Calibri"/>
                <w:sz w:val="22"/>
              </w:rPr>
              <w:t>$12.4M</w:t>
            </w:r>
          </w:p>
        </w:tc>
        <w:tc>
          <w:tcPr>
            <w:tcW w:type="dxa" w:w="1234"/>
          </w:tcPr>
          <w:p>
            <w:r>
              <w:rPr>
                <w:rFonts w:ascii="Calibri" w:hAnsi="Calibri"/>
                <w:sz w:val="22"/>
              </w:rPr>
              <w:t>$25.3M</w:t>
            </w:r>
          </w:p>
        </w:tc>
        <w:tc>
          <w:tcPr>
            <w:tcW w:type="dxa" w:w="1234"/>
          </w:tcPr>
          <w:p>
            <w:r>
              <w:rPr>
                <w:rFonts w:ascii="Calibri" w:hAnsi="Calibri"/>
                <w:sz w:val="22"/>
              </w:rPr>
              <w:t>$5.6M</w:t>
            </w:r>
          </w:p>
        </w:tc>
        <w:tc>
          <w:tcPr>
            <w:tcW w:type="dxa" w:w="1234"/>
          </w:tcPr>
          <w:p>
            <w:r>
              <w:rPr>
                <w:rFonts w:ascii="Calibri" w:hAnsi="Calibri"/>
                <w:sz w:val="22"/>
              </w:rPr>
              <w:t>-77.9%</w:t>
            </w:r>
          </w:p>
        </w:tc>
        <w:tc>
          <w:tcPr>
            <w:tcW w:type="dxa" w:w="1234"/>
          </w:tcPr>
          <w:p>
            <w:r>
              <w:rPr>
                <w:rFonts w:ascii="Calibri" w:hAnsi="Calibri"/>
                <w:sz w:val="22"/>
              </w:rPr>
              <w:t>RoW margin 6-7% FY</w:t>
            </w:r>
          </w:p>
        </w:tc>
        <w:tc>
          <w:tcPr>
            <w:tcW w:type="dxa" w:w="1234"/>
          </w:tcPr>
          <w:p>
            <w:r>
              <w:rPr>
                <w:rFonts w:ascii="Calibri" w:hAnsi="Calibri"/>
                <w:sz w:val="22"/>
              </w:rPr>
              <w:t>~3.0% implied vs. 6-7% guide (China drag)</w:t>
            </w:r>
          </w:p>
        </w:tc>
      </w:tr>
      <w:tr>
        <w:tc>
          <w:tcPr>
            <w:tcW w:type="dxa" w:w="1234"/>
          </w:tcPr>
          <w:p>
            <w:r>
              <w:rPr>
                <w:rFonts w:ascii="Calibri" w:hAnsi="Calibri"/>
                <w:sz w:val="22"/>
              </w:rPr>
              <w:t>Free Cash Flow ($M)</w:t>
            </w:r>
          </w:p>
        </w:tc>
        <w:tc>
          <w:tcPr>
            <w:tcW w:type="dxa" w:w="1234"/>
          </w:tcPr>
          <w:p>
            <w:r>
              <w:rPr>
                <w:rFonts w:ascii="Calibri" w:hAnsi="Calibri"/>
                <w:sz w:val="22"/>
              </w:rPr>
              <w:t>$118.9M</w:t>
            </w:r>
          </w:p>
        </w:tc>
        <w:tc>
          <w:tcPr>
            <w:tcW w:type="dxa" w:w="1234"/>
          </w:tcPr>
          <w:p>
            <w:r>
              <w:rPr>
                <w:rFonts w:ascii="Calibri" w:hAnsi="Calibri"/>
                <w:sz w:val="22"/>
              </w:rPr>
              <w:t>$122.5M</w:t>
            </w:r>
          </w:p>
        </w:tc>
        <w:tc>
          <w:tcPr>
            <w:tcW w:type="dxa" w:w="1234"/>
          </w:tcPr>
          <w:p>
            <w:r>
              <w:rPr>
                <w:rFonts w:ascii="Calibri" w:hAnsi="Calibri"/>
                <w:sz w:val="22"/>
              </w:rPr>
              <w:t>$106.6M</w:t>
            </w:r>
          </w:p>
        </w:tc>
        <w:tc>
          <w:tcPr>
            <w:tcW w:type="dxa" w:w="1234"/>
          </w:tcPr>
          <w:p>
            <w:r>
              <w:rPr>
                <w:rFonts w:ascii="Calibri" w:hAnsi="Calibri"/>
                <w:sz w:val="22"/>
              </w:rPr>
              <w:t>-13.0%</w:t>
            </w:r>
          </w:p>
        </w:tc>
        <w:tc>
          <w:tcPr>
            <w:tcW w:type="dxa" w:w="1234"/>
          </w:tcPr>
          <w:p>
            <w:r>
              <w:rPr>
                <w:rFonts w:ascii="Calibri" w:hAnsi="Calibri"/>
                <w:sz w:val="22"/>
              </w:rPr>
              <w:t>FY $525-575M</w:t>
            </w:r>
          </w:p>
        </w:tc>
        <w:tc>
          <w:tcPr>
            <w:tcW w:type="dxa" w:w="1234"/>
          </w:tcPr>
          <w:p>
            <w:r>
              <w:rPr>
                <w:rFonts w:ascii="Calibri" w:hAnsi="Calibri"/>
                <w:sz w:val="22"/>
              </w:rPr>
              <w:t>N/A (quarterly)</w:t>
            </w:r>
          </w:p>
        </w:tc>
      </w:tr>
    </w:tbl>
    <w:p>
      <w:r>
        <w:rPr>
          <w:rFonts w:ascii="Calibri" w:hAnsi="Calibri"/>
          <w:i/>
          <w:color w:val="525866"/>
          <w:sz w:val="22"/>
        </w:rPr>
        <w:t>Source: Visible Alpha Consensus and Actuals Data. Q2 2026 consensus as of July 29, 2026. Q1 2026 actuals and Q2 2025 actuals from Visible Alpha. NA Segment EBIT Margin consensus of 20.9% reflects Q2 cost headwinds (steel, freight) before mid-May price increase benefits flow through in Q3.</w:t>
      </w:r>
    </w:p>
    <w:p>
      <w:r>
        <w:rPr>
          <w:rFonts w:ascii="Calibri" w:hAnsi="Calibri"/>
          <w:b/>
          <w:color w:val="525866"/>
          <w:sz w:val="22"/>
        </w:rPr>
        <w:t>Table 2 — Beat/Miss History: Top 2 KPIs (Last 8 Quarters)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$0.85</w:t>
            </w:r>
          </w:p>
        </w:tc>
        <w:tc>
          <w:tcPr>
            <w:tcW w:type="dxa" w:w="1440"/>
          </w:tcPr>
          <w:p>
            <w:r>
              <w:rPr>
                <w:rFonts w:ascii="Calibri" w:hAnsi="Calibri"/>
                <w:sz w:val="22"/>
              </w:rPr>
              <w:t>$0.94</w:t>
            </w:r>
          </w:p>
        </w:tc>
        <w:tc>
          <w:tcPr>
            <w:tcW w:type="dxa" w:w="1440"/>
          </w:tcPr>
          <w:p>
            <w:r>
              <w:rPr>
                <w:rFonts w:ascii="Calibri" w:hAnsi="Calibri"/>
                <w:b/>
                <w:color w:val="E5484D"/>
                <w:sz w:val="22"/>
              </w:rPr>
              <w:t>-9.6%</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$945.6M</w:t>
            </w:r>
          </w:p>
        </w:tc>
        <w:tc>
          <w:tcPr>
            <w:tcW w:type="dxa" w:w="1440"/>
          </w:tcPr>
          <w:p>
            <w:r>
              <w:rPr>
                <w:rFonts w:ascii="Calibri" w:hAnsi="Calibri"/>
                <w:sz w:val="22"/>
              </w:rPr>
              <w:t>$979.5M</w:t>
            </w:r>
          </w:p>
        </w:tc>
        <w:tc>
          <w:tcPr>
            <w:tcW w:type="dxa" w:w="1440"/>
          </w:tcPr>
          <w:p>
            <w:r>
              <w:rPr>
                <w:rFonts w:ascii="Calibri" w:hAnsi="Calibri"/>
                <w:b/>
                <w:color w:val="E5484D"/>
                <w:sz w:val="22"/>
              </w:rPr>
              <w:t>-3.5%</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$0.90</w:t>
            </w:r>
          </w:p>
        </w:tc>
        <w:tc>
          <w:tcPr>
            <w:tcW w:type="dxa" w:w="1440"/>
          </w:tcPr>
          <w:p>
            <w:r>
              <w:rPr>
                <w:rFonts w:ascii="Calibri" w:hAnsi="Calibri"/>
                <w:sz w:val="22"/>
              </w:rPr>
              <w:t>$0.84</w:t>
            </w:r>
          </w:p>
        </w:tc>
        <w:tc>
          <w:tcPr>
            <w:tcW w:type="dxa" w:w="1440"/>
          </w:tcPr>
          <w:p>
            <w:r>
              <w:rPr>
                <w:rFonts w:ascii="Calibri" w:hAnsi="Calibri"/>
                <w:b/>
                <w:color w:val="30A46C"/>
                <w:sz w:val="22"/>
              </w:rPr>
              <w:t>+7.1%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$912.5M</w:t>
            </w:r>
          </w:p>
        </w:tc>
        <w:tc>
          <w:tcPr>
            <w:tcW w:type="dxa" w:w="1440"/>
          </w:tcPr>
          <w:p>
            <w:r>
              <w:rPr>
                <w:rFonts w:ascii="Calibri" w:hAnsi="Calibri"/>
                <w:sz w:val="22"/>
              </w:rPr>
              <w:t>$926.8M</w:t>
            </w:r>
          </w:p>
        </w:tc>
        <w:tc>
          <w:tcPr>
            <w:tcW w:type="dxa" w:w="1440"/>
          </w:tcPr>
          <w:p>
            <w:r>
              <w:rPr>
                <w:rFonts w:ascii="Calibri" w:hAnsi="Calibri"/>
                <w:b/>
                <w:color w:val="E5484D"/>
                <w:sz w:val="22"/>
              </w:rPr>
              <w:t>-1.5%</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$0.94</w:t>
            </w:r>
          </w:p>
        </w:tc>
        <w:tc>
          <w:tcPr>
            <w:tcW w:type="dxa" w:w="1440"/>
          </w:tcPr>
          <w:p>
            <w:r>
              <w:rPr>
                <w:rFonts w:ascii="Calibri" w:hAnsi="Calibri"/>
                <w:sz w:val="22"/>
              </w:rPr>
              <w:t>$0.90</w:t>
            </w:r>
          </w:p>
        </w:tc>
        <w:tc>
          <w:tcPr>
            <w:tcW w:type="dxa" w:w="1440"/>
          </w:tcPr>
          <w:p>
            <w:r>
              <w:rPr>
                <w:rFonts w:ascii="Calibri" w:hAnsi="Calibri"/>
                <w:b/>
                <w:color w:val="30A46C"/>
                <w:sz w:val="22"/>
              </w:rPr>
              <w:t>+4.4%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$942.5M</w:t>
            </w:r>
          </w:p>
        </w:tc>
        <w:tc>
          <w:tcPr>
            <w:tcW w:type="dxa" w:w="1440"/>
          </w:tcPr>
          <w:p>
            <w:r>
              <w:rPr>
                <w:rFonts w:ascii="Calibri" w:hAnsi="Calibri"/>
                <w:sz w:val="22"/>
              </w:rPr>
              <w:t>$947.1M</w:t>
            </w:r>
          </w:p>
        </w:tc>
        <w:tc>
          <w:tcPr>
            <w:tcW w:type="dxa" w:w="1440"/>
          </w:tcPr>
          <w:p>
            <w:r>
              <w:rPr>
                <w:rFonts w:ascii="Calibri" w:hAnsi="Calibri"/>
                <w:sz w:val="22"/>
              </w:rPr>
              <w:t>-0.5%</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$1.07</w:t>
            </w:r>
          </w:p>
        </w:tc>
        <w:tc>
          <w:tcPr>
            <w:tcW w:type="dxa" w:w="1440"/>
          </w:tcPr>
          <w:p>
            <w:r>
              <w:rPr>
                <w:rFonts w:ascii="Calibri" w:hAnsi="Calibri"/>
                <w:sz w:val="22"/>
              </w:rPr>
              <w:t>$0.98</w:t>
            </w:r>
          </w:p>
        </w:tc>
        <w:tc>
          <w:tcPr>
            <w:tcW w:type="dxa" w:w="1440"/>
          </w:tcPr>
          <w:p>
            <w:r>
              <w:rPr>
                <w:rFonts w:ascii="Calibri" w:hAnsi="Calibri"/>
                <w:b/>
                <w:color w:val="30A46C"/>
                <w:sz w:val="22"/>
              </w:rPr>
              <w:t>+9.2%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$1,011.3M</w:t>
            </w:r>
          </w:p>
        </w:tc>
        <w:tc>
          <w:tcPr>
            <w:tcW w:type="dxa" w:w="1440"/>
          </w:tcPr>
          <w:p>
            <w:r>
              <w:rPr>
                <w:rFonts w:ascii="Calibri" w:hAnsi="Calibri"/>
                <w:sz w:val="22"/>
              </w:rPr>
              <w:t>$999.3M</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$0.95</w:t>
            </w:r>
          </w:p>
        </w:tc>
        <w:tc>
          <w:tcPr>
            <w:tcW w:type="dxa" w:w="1440"/>
          </w:tcPr>
          <w:p>
            <w:r>
              <w:rPr>
                <w:rFonts w:ascii="Calibri" w:hAnsi="Calibri"/>
                <w:sz w:val="22"/>
              </w:rPr>
              <w:t>$0.90</w:t>
            </w:r>
          </w:p>
        </w:tc>
        <w:tc>
          <w:tcPr>
            <w:tcW w:type="dxa" w:w="1440"/>
          </w:tcPr>
          <w:p>
            <w:r>
              <w:rPr>
                <w:rFonts w:ascii="Calibri" w:hAnsi="Calibri"/>
                <w:b/>
                <w:color w:val="30A46C"/>
                <w:sz w:val="22"/>
              </w:rPr>
              <w:t>+5.5%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$963.9M</w:t>
            </w:r>
          </w:p>
        </w:tc>
        <w:tc>
          <w:tcPr>
            <w:tcW w:type="dxa" w:w="1440"/>
          </w:tcPr>
          <w:p>
            <w:r>
              <w:rPr>
                <w:rFonts w:ascii="Calibri" w:hAnsi="Calibri"/>
                <w:sz w:val="22"/>
              </w:rPr>
              <w:t>$953.7M</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$0.85</w:t>
            </w:r>
          </w:p>
        </w:tc>
        <w:tc>
          <w:tcPr>
            <w:tcW w:type="dxa" w:w="1440"/>
          </w:tcPr>
          <w:p>
            <w:r>
              <w:rPr>
                <w:rFonts w:ascii="Calibri" w:hAnsi="Calibri"/>
                <w:sz w:val="22"/>
              </w:rPr>
              <w:t>$0.90</w:t>
            </w:r>
          </w:p>
        </w:tc>
        <w:tc>
          <w:tcPr>
            <w:tcW w:type="dxa" w:w="1440"/>
          </w:tcPr>
          <w:p>
            <w:r>
              <w:rPr>
                <w:rFonts w:ascii="Calibri" w:hAnsi="Calibri"/>
                <w:b/>
                <w:color w:val="E5484D"/>
                <w:sz w:val="22"/>
              </w:rPr>
              <w:t>-5.6%</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$912.4M</w:t>
            </w:r>
          </w:p>
        </w:tc>
        <w:tc>
          <w:tcPr>
            <w:tcW w:type="dxa" w:w="1440"/>
          </w:tcPr>
          <w:p>
            <w:r>
              <w:rPr>
                <w:rFonts w:ascii="Calibri" w:hAnsi="Calibri"/>
                <w:sz w:val="22"/>
              </w:rPr>
              <w:t>$957.1M</w:t>
            </w:r>
          </w:p>
        </w:tc>
        <w:tc>
          <w:tcPr>
            <w:tcW w:type="dxa" w:w="1440"/>
          </w:tcPr>
          <w:p>
            <w:r>
              <w:rPr>
                <w:rFonts w:ascii="Calibri" w:hAnsi="Calibri"/>
                <w:b/>
                <w:color w:val="E5484D"/>
                <w:sz w:val="22"/>
              </w:rPr>
              <w:t>-4.7%</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$0.82</w:t>
            </w:r>
          </w:p>
        </w:tc>
        <w:tc>
          <w:tcPr>
            <w:tcW w:type="dxa" w:w="1440"/>
          </w:tcPr>
          <w:p>
            <w:r>
              <w:rPr>
                <w:rFonts w:ascii="Calibri" w:hAnsi="Calibri"/>
                <w:sz w:val="22"/>
              </w:rPr>
              <w:t>$0.83</w:t>
            </w:r>
          </w:p>
        </w:tc>
        <w:tc>
          <w:tcPr>
            <w:tcW w:type="dxa" w:w="1440"/>
          </w:tcPr>
          <w:p>
            <w:r>
              <w:rPr>
                <w:rFonts w:ascii="Calibri" w:hAnsi="Calibri"/>
                <w:sz w:val="22"/>
              </w:rPr>
              <w:t>-1.2%</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$902.6M</w:t>
            </w:r>
          </w:p>
        </w:tc>
        <w:tc>
          <w:tcPr>
            <w:tcW w:type="dxa" w:w="1440"/>
          </w:tcPr>
          <w:p>
            <w:r>
              <w:rPr>
                <w:rFonts w:ascii="Calibri" w:hAnsi="Calibri"/>
                <w:sz w:val="22"/>
              </w:rPr>
              <w:t>$913.6M</w:t>
            </w:r>
          </w:p>
        </w:tc>
        <w:tc>
          <w:tcPr>
            <w:tcW w:type="dxa" w:w="1440"/>
          </w:tcPr>
          <w:p>
            <w:r>
              <w:rPr>
                <w:rFonts w:ascii="Calibri" w:hAnsi="Calibri"/>
                <w:b/>
                <w:color w:val="E5484D"/>
                <w:sz w:val="22"/>
              </w:rPr>
              <w:t>-1.2%</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$1.06</w:t>
            </w:r>
          </w:p>
        </w:tc>
        <w:tc>
          <w:tcPr>
            <w:tcW w:type="dxa" w:w="1440"/>
          </w:tcPr>
          <w:p>
            <w:r>
              <w:rPr>
                <w:rFonts w:ascii="Calibri" w:hAnsi="Calibri"/>
                <w:sz w:val="22"/>
              </w:rPr>
              <w:t>$1.05</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$1,024.3M</w:t>
            </w:r>
          </w:p>
        </w:tc>
        <w:tc>
          <w:tcPr>
            <w:tcW w:type="dxa" w:w="1440"/>
          </w:tcPr>
          <w:p>
            <w:r>
              <w:rPr>
                <w:rFonts w:ascii="Calibri" w:hAnsi="Calibri"/>
                <w:sz w:val="22"/>
              </w:rPr>
              <w:t>$995.4M</w:t>
            </w:r>
          </w:p>
        </w:tc>
        <w:tc>
          <w:tcPr>
            <w:tcW w:type="dxa" w:w="1440"/>
          </w:tcPr>
          <w:p>
            <w:r>
              <w:rPr>
                <w:rFonts w:ascii="Calibri" w:hAnsi="Calibri"/>
                <w:b/>
                <w:color w:val="30A46C"/>
                <w:sz w:val="22"/>
              </w:rPr>
              <w:t>+2.9%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AOS has a mixed beat/miss record over the last 8 quarters — EPS beats have been more frequent in stronger demand environments (Q1-Q2 2025), but the company has consistently missed on revenue in recent quarters as China deterioration and commercial water heater headwinds have weighed on the top line. The Q1 2026 double-miss was the most significant in recent history.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w:t>
      </w:r>
      <w:r>
        <w:rPr>
          <w:rFonts w:ascii="Calibri" w:hAnsi="Calibri"/>
          <w:b/>
          <w:color w:val="525866"/>
          <w:sz w:val="22"/>
        </w:rPr>
        <w:t>cut materially on April 30</w:t>
      </w:r>
      <w:r>
        <w:rPr>
          <w:rFonts w:ascii="Calibri" w:hAnsi="Calibri"/>
          <w:color w:val="525866"/>
          <w:sz w:val="22"/>
        </w:rPr>
        <w:t xml:space="preserve"> (Q1 earnings) — full-year adjusted EPS lowered to $3.70–$4.00 from the prior range, driven by China deterioration and the DOE commercial water heater enforcement delay. No post-earnings guidance revisions have been issued; the mid-May price increase effective date is the next potential positive catalyst, with benefits expected in Q3.</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$3.70 – $4.00</w:t>
            </w:r>
          </w:p>
        </w:tc>
        <w:tc>
          <w:tcPr>
            <w:tcW w:type="dxa" w:w="1728"/>
          </w:tcPr>
          <w:p>
            <w:r>
              <w:rPr>
                <w:rFonts w:ascii="Calibri" w:hAnsi="Calibri"/>
                <w:sz w:val="22"/>
              </w:rPr>
              <w:t>—</w:t>
            </w:r>
          </w:p>
        </w:tc>
        <w:tc>
          <w:tcPr>
            <w:tcW w:type="dxa" w:w="1728"/>
          </w:tcPr>
          <w:p>
            <w:r>
              <w:rPr>
                <w:rFonts w:ascii="Calibri" w:hAnsi="Calibri"/>
                <w:sz w:val="22"/>
              </w:rPr>
              <w:t>$3.77</w:t>
            </w:r>
          </w:p>
        </w:tc>
        <w:tc>
          <w:tcPr>
            <w:tcW w:type="dxa" w:w="1728"/>
          </w:tcPr>
          <w:p>
            <w:r>
              <w:rPr>
                <w:rFonts w:ascii="Calibri" w:hAnsi="Calibri"/>
                <w:sz w:val="22"/>
              </w:rPr>
              <w:t>Unchanged since Q1 print; consensus sits near low end of range, reflecting China uncertainty</w:t>
            </w:r>
          </w:p>
        </w:tc>
      </w:tr>
      <w:tr>
        <w:tc>
          <w:tcPr>
            <w:tcW w:type="dxa" w:w="1728"/>
          </w:tcPr>
          <w:p>
            <w:r>
              <w:rPr>
                <w:rFonts w:ascii="Calibri" w:hAnsi="Calibri"/>
                <w:sz w:val="22"/>
              </w:rPr>
              <w:t>FY 2026 Total Revenue Growth</w:t>
            </w:r>
          </w:p>
        </w:tc>
        <w:tc>
          <w:tcPr>
            <w:tcW w:type="dxa" w:w="1728"/>
          </w:tcPr>
          <w:p>
            <w:r>
              <w:rPr>
                <w:rFonts w:ascii="Calibri" w:hAnsi="Calibri"/>
                <w:sz w:val="22"/>
              </w:rPr>
              <w:t>+2% to +4%</w:t>
            </w:r>
          </w:p>
        </w:tc>
        <w:tc>
          <w:tcPr>
            <w:tcW w:type="dxa" w:w="1728"/>
          </w:tcPr>
          <w:p>
            <w:r>
              <w:rPr>
                <w:rFonts w:ascii="Calibri" w:hAnsi="Calibri"/>
                <w:sz w:val="22"/>
              </w:rPr>
              <w:t>—</w:t>
            </w:r>
          </w:p>
        </w:tc>
        <w:tc>
          <w:tcPr>
            <w:tcW w:type="dxa" w:w="1728"/>
          </w:tcPr>
          <w:p>
            <w:r>
              <w:rPr>
                <w:rFonts w:ascii="Calibri" w:hAnsi="Calibri"/>
                <w:sz w:val="22"/>
              </w:rPr>
              <w:t>$3.91B (~+2.5% YoY)</w:t>
            </w:r>
          </w:p>
        </w:tc>
        <w:tc>
          <w:tcPr>
            <w:tcW w:type="dxa" w:w="1728"/>
          </w:tcPr>
          <w:p>
            <w:r>
              <w:rPr>
                <w:rFonts w:ascii="Calibri" w:hAnsi="Calibri"/>
                <w:sz w:val="22"/>
              </w:rPr>
              <w:t>Consensus at low end of range; China drag and commercial WH headwinds limiting upside</w:t>
            </w:r>
          </w:p>
        </w:tc>
      </w:tr>
      <w:tr>
        <w:tc>
          <w:tcPr>
            <w:tcW w:type="dxa" w:w="1728"/>
          </w:tcPr>
          <w:p>
            <w:r>
              <w:rPr>
                <w:rFonts w:ascii="Calibri" w:hAnsi="Calibri"/>
                <w:sz w:val="22"/>
              </w:rPr>
              <w:t>NA Segment Margin</w:t>
            </w:r>
          </w:p>
        </w:tc>
        <w:tc>
          <w:tcPr>
            <w:tcW w:type="dxa" w:w="1728"/>
          </w:tcPr>
          <w:p>
            <w:r>
              <w:rPr>
                <w:rFonts w:ascii="Calibri" w:hAnsi="Calibri"/>
                <w:sz w:val="22"/>
              </w:rPr>
              <w:t>~24%</w:t>
            </w:r>
          </w:p>
        </w:tc>
        <w:tc>
          <w:tcPr>
            <w:tcW w:type="dxa" w:w="1728"/>
          </w:tcPr>
          <w:p>
            <w:r>
              <w:rPr>
                <w:rFonts w:ascii="Calibri" w:hAnsi="Calibri"/>
                <w:sz w:val="22"/>
              </w:rPr>
              <w:t>—</w:t>
            </w:r>
          </w:p>
        </w:tc>
        <w:tc>
          <w:tcPr>
            <w:tcW w:type="dxa" w:w="1728"/>
          </w:tcPr>
          <w:p>
            <w:r>
              <w:rPr>
                <w:rFonts w:ascii="Calibri" w:hAnsi="Calibri"/>
                <w:sz w:val="22"/>
              </w:rPr>
              <w:t>23.5% FY consensus</w:t>
            </w:r>
          </w:p>
        </w:tc>
        <w:tc>
          <w:tcPr>
            <w:tcW w:type="dxa" w:w="1728"/>
          </w:tcPr>
          <w:p>
            <w:r>
              <w:rPr>
                <w:rFonts w:ascii="Calibri" w:hAnsi="Calibri"/>
                <w:sz w:val="22"/>
              </w:rPr>
              <w:t>Consensus slightly below guide; Q2 cost headwinds before pricing benefits in Q3</w:t>
            </w:r>
          </w:p>
        </w:tc>
      </w:tr>
      <w:tr>
        <w:tc>
          <w:tcPr>
            <w:tcW w:type="dxa" w:w="1728"/>
          </w:tcPr>
          <w:p>
            <w:r>
              <w:rPr>
                <w:rFonts w:ascii="Calibri" w:hAnsi="Calibri"/>
                <w:sz w:val="22"/>
              </w:rPr>
              <w:t>RoW Segment Margin</w:t>
            </w:r>
          </w:p>
        </w:tc>
        <w:tc>
          <w:tcPr>
            <w:tcW w:type="dxa" w:w="1728"/>
          </w:tcPr>
          <w:p>
            <w:r>
              <w:rPr>
                <w:rFonts w:ascii="Calibri" w:hAnsi="Calibri"/>
                <w:sz w:val="22"/>
              </w:rPr>
              <w:t>6% – 7%</w:t>
            </w:r>
          </w:p>
        </w:tc>
        <w:tc>
          <w:tcPr>
            <w:tcW w:type="dxa" w:w="1728"/>
          </w:tcPr>
          <w:p>
            <w:r>
              <w:rPr>
                <w:rFonts w:ascii="Calibri" w:hAnsi="Calibri"/>
                <w:sz w:val="22"/>
              </w:rPr>
              <w:t>—</w:t>
            </w:r>
          </w:p>
        </w:tc>
        <w:tc>
          <w:tcPr>
            <w:tcW w:type="dxa" w:w="1728"/>
          </w:tcPr>
          <w:p>
            <w:r>
              <w:rPr>
                <w:rFonts w:ascii="Calibri" w:hAnsi="Calibri"/>
                <w:sz w:val="22"/>
              </w:rPr>
              <w:t>6.5% FY consensus</w:t>
            </w:r>
          </w:p>
        </w:tc>
        <w:tc>
          <w:tcPr>
            <w:tcW w:type="dxa" w:w="1728"/>
          </w:tcPr>
          <w:p>
            <w:r>
              <w:rPr>
                <w:rFonts w:ascii="Calibri" w:hAnsi="Calibri"/>
                <w:sz w:val="22"/>
              </w:rPr>
              <w:t>Consensus within guide range; Q2 China channel inventory destocking is the key risk</w:t>
            </w:r>
          </w:p>
        </w:tc>
      </w:tr>
      <w:tr>
        <w:tc>
          <w:tcPr>
            <w:tcW w:type="dxa" w:w="1728"/>
          </w:tcPr>
          <w:p>
            <w:r>
              <w:rPr>
                <w:rFonts w:ascii="Calibri" w:hAnsi="Calibri"/>
                <w:sz w:val="22"/>
              </w:rPr>
              <w:t>China FY Sales</w:t>
            </w:r>
          </w:p>
        </w:tc>
        <w:tc>
          <w:tcPr>
            <w:tcW w:type="dxa" w:w="1728"/>
          </w:tcPr>
          <w:p>
            <w:r>
              <w:rPr>
                <w:rFonts w:ascii="Calibri" w:hAnsi="Calibri"/>
                <w:sz w:val="22"/>
              </w:rPr>
              <w:t>Down low double digits in local currency; Q2 down ~15% vs. Q1</w:t>
            </w:r>
          </w:p>
        </w:tc>
        <w:tc>
          <w:tcPr>
            <w:tcW w:type="dxa" w:w="1728"/>
          </w:tcPr>
          <w:p>
            <w:r>
              <w:rPr>
                <w:rFonts w:ascii="Calibri" w:hAnsi="Calibri"/>
                <w:sz w:val="22"/>
              </w:rPr>
              <w:t>—</w:t>
            </w:r>
          </w:p>
        </w:tc>
        <w:tc>
          <w:tcPr>
            <w:tcW w:type="dxa" w:w="1728"/>
          </w:tcPr>
          <w:p>
            <w:r>
              <w:rPr>
                <w:rFonts w:ascii="Calibri" w:hAnsi="Calibri"/>
                <w:sz w:val="22"/>
              </w:rPr>
              <w:t>RoW revenue ~$805M FY</w:t>
            </w:r>
          </w:p>
        </w:tc>
        <w:tc>
          <w:tcPr>
            <w:tcW w:type="dxa" w:w="1728"/>
          </w:tcPr>
          <w:p>
            <w:r>
              <w:rPr>
                <w:rFonts w:ascii="Calibri" w:hAnsi="Calibri"/>
                <w:sz w:val="22"/>
              </w:rPr>
              <w:t>Q2 China expected to be the trough; strategic assessment resolution pending</w:t>
            </w:r>
          </w:p>
        </w:tc>
      </w:tr>
      <w:tr>
        <w:tc>
          <w:tcPr>
            <w:tcW w:type="dxa" w:w="1728"/>
          </w:tcPr>
          <w:p>
            <w:r>
              <w:rPr>
                <w:rFonts w:ascii="Calibri" w:hAnsi="Calibri"/>
                <w:sz w:val="22"/>
              </w:rPr>
              <w:t>NA Water Treatment Sales Growth</w:t>
            </w:r>
          </w:p>
        </w:tc>
        <w:tc>
          <w:tcPr>
            <w:tcW w:type="dxa" w:w="1728"/>
          </w:tcPr>
          <w:p>
            <w:r>
              <w:rPr>
                <w:rFonts w:ascii="Calibri" w:hAnsi="Calibri"/>
                <w:sz w:val="22"/>
              </w:rPr>
              <w:t>+5% to +6%</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Reduced from prior guide; cautious consumer behavior and trade-down to lower-priced products</w:t>
            </w:r>
          </w:p>
        </w:tc>
      </w:tr>
      <w:tr>
        <w:tc>
          <w:tcPr>
            <w:tcW w:type="dxa" w:w="1728"/>
          </w:tcPr>
          <w:p>
            <w:r>
              <w:rPr>
                <w:rFonts w:ascii="Calibri" w:hAnsi="Calibri"/>
                <w:sz w:val="22"/>
              </w:rPr>
              <w:t>NA Boiler Sales Growth</w:t>
            </w:r>
          </w:p>
        </w:tc>
        <w:tc>
          <w:tcPr>
            <w:tcW w:type="dxa" w:w="1728"/>
          </w:tcPr>
          <w:p>
            <w:r>
              <w:rPr>
                <w:rFonts w:ascii="Calibri" w:hAnsi="Calibri"/>
                <w:sz w:val="22"/>
              </w:rPr>
              <w:t>+6% to +8%</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pricing benefits and strengthening commercial/residential backlog</w:t>
            </w:r>
          </w:p>
        </w:tc>
      </w:tr>
      <w:tr>
        <w:tc>
          <w:tcPr>
            <w:tcW w:type="dxa" w:w="1728"/>
          </w:tcPr>
          <w:p>
            <w:r>
              <w:rPr>
                <w:rFonts w:ascii="Calibri" w:hAnsi="Calibri"/>
                <w:sz w:val="22"/>
              </w:rPr>
              <w:t>FY 2026 Free Cash Flow</w:t>
            </w:r>
          </w:p>
        </w:tc>
        <w:tc>
          <w:tcPr>
            <w:tcW w:type="dxa" w:w="1728"/>
          </w:tcPr>
          <w:p>
            <w:r>
              <w:rPr>
                <w:rFonts w:ascii="Calibri" w:hAnsi="Calibri"/>
                <w:sz w:val="22"/>
              </w:rPr>
              <w:t>$525M – $575M</w:t>
            </w:r>
          </w:p>
        </w:tc>
        <w:tc>
          <w:tcPr>
            <w:tcW w:type="dxa" w:w="1728"/>
          </w:tcPr>
          <w:p>
            <w:r>
              <w:rPr>
                <w:rFonts w:ascii="Calibri" w:hAnsi="Calibri"/>
                <w:sz w:val="22"/>
              </w:rPr>
              <w:t>—</w:t>
            </w:r>
          </w:p>
        </w:tc>
        <w:tc>
          <w:tcPr>
            <w:tcW w:type="dxa" w:w="1728"/>
          </w:tcPr>
          <w:p>
            <w:r>
              <w:rPr>
                <w:rFonts w:ascii="Calibri" w:hAnsi="Calibri"/>
                <w:sz w:val="22"/>
              </w:rPr>
              <w:t>$556.9M</w:t>
            </w:r>
          </w:p>
        </w:tc>
        <w:tc>
          <w:tcPr>
            <w:tcW w:type="dxa" w:w="1728"/>
          </w:tcPr>
          <w:p>
            <w:r>
              <w:rPr>
                <w:rFonts w:ascii="Calibri" w:hAnsi="Calibri"/>
                <w:sz w:val="22"/>
              </w:rPr>
              <w:t>Consensus within guide range; strong FCF generation remains a key positive</w:t>
            </w:r>
          </w:p>
        </w:tc>
      </w:tr>
      <w:tr>
        <w:tc>
          <w:tcPr>
            <w:tcW w:type="dxa" w:w="1728"/>
          </w:tcPr>
          <w:p>
            <w:r>
              <w:rPr>
                <w:rFonts w:ascii="Calibri" w:hAnsi="Calibri"/>
                <w:sz w:val="22"/>
              </w:rPr>
              <w:t>FY 2026 CapEx</w:t>
            </w:r>
          </w:p>
        </w:tc>
        <w:tc>
          <w:tcPr>
            <w:tcW w:type="dxa" w:w="1728"/>
          </w:tcPr>
          <w:p>
            <w:r>
              <w:rPr>
                <w:rFonts w:ascii="Calibri" w:hAnsi="Calibri"/>
                <w:sz w:val="22"/>
              </w:rPr>
              <w:t>$70M – $80M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Leonard Valve Contribution</w:t>
            </w:r>
          </w:p>
        </w:tc>
        <w:tc>
          <w:tcPr>
            <w:tcW w:type="dxa" w:w="1728"/>
          </w:tcPr>
          <w:p>
            <w:r>
              <w:rPr>
                <w:rFonts w:ascii="Calibri" w:hAnsi="Calibri"/>
                <w:sz w:val="22"/>
              </w:rPr>
              <w:t>~$70M in FY 2026 sales; double-digit growth</w:t>
            </w:r>
          </w:p>
        </w:tc>
        <w:tc>
          <w:tcPr>
            <w:tcW w:type="dxa" w:w="1728"/>
          </w:tcPr>
          <w:p>
            <w:r>
              <w:rPr>
                <w:rFonts w:ascii="Calibri" w:hAnsi="Calibri"/>
                <w:sz w:val="22"/>
              </w:rPr>
              <w:t>—</w:t>
            </w:r>
          </w:p>
        </w:tc>
        <w:tc>
          <w:tcPr>
            <w:tcW w:type="dxa" w:w="1728"/>
          </w:tcPr>
          <w:p>
            <w:r>
              <w:rPr>
                <w:rFonts w:ascii="Calibri" w:hAnsi="Calibri"/>
                <w:sz w:val="22"/>
              </w:rPr>
              <w:t>N/A — not separately tracked</w:t>
            </w:r>
          </w:p>
        </w:tc>
        <w:tc>
          <w:tcPr>
            <w:tcW w:type="dxa" w:w="1728"/>
          </w:tcPr>
          <w:p>
            <w:r>
              <w:rPr>
                <w:rFonts w:ascii="Calibri" w:hAnsi="Calibri"/>
                <w:sz w:val="22"/>
              </w:rPr>
              <w:t>Unchanged; integration on track; $16M contributed in Q1</w:t>
            </w:r>
          </w:p>
        </w:tc>
      </w:tr>
      <w:tr>
        <w:tc>
          <w:tcPr>
            <w:tcW w:type="dxa" w:w="1728"/>
          </w:tcPr>
          <w:p>
            <w:r>
              <w:rPr>
                <w:rFonts w:ascii="Calibri" w:hAnsi="Calibri"/>
                <w:sz w:val="22"/>
              </w:rPr>
              <w:t>NA Price Increases (WH &amp; Boilers)</w:t>
            </w:r>
          </w:p>
        </w:tc>
        <w:tc>
          <w:tcPr>
            <w:tcW w:type="dxa" w:w="1728"/>
          </w:tcPr>
          <w:p>
            <w:r>
              <w:rPr>
                <w:rFonts w:ascii="Calibri" w:hAnsi="Calibri"/>
                <w:sz w:val="22"/>
              </w:rPr>
              <w:t>+4% to +7%; effective mid-May; benefit begins Q3</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Q3/Q4 tailwind; Q2 still absorbing cost headwinds before pricing flows through</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lower</w:t>
      </w:r>
      <w:r>
        <w:rPr>
          <w:rFonts w:ascii="Calibri" w:hAnsi="Calibri"/>
          <w:color w:val="525866"/>
          <w:sz w:val="22"/>
        </w:rPr>
        <w:t xml:space="preserve"> since the Q1 print baseline (5 trading days post-April 30), with Q2 revenue trimmed ~0.5% and FY EPS down ~0.4% — suggesting the street has largely absorbed the guidance reset but remains cautious on China. The gap between consensus and guidance is narrow, leaving limited cushion if China deteriorates further.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5/5/26 (Post-Q1 Baseline)</w:t>
            </w:r>
          </w:p>
        </w:tc>
        <w:tc>
          <w:tcPr>
            <w:tcW w:type="dxa" w:w="1080"/>
            <w:shd w:val="clear" w:color="auto" w:fill="3B4259"/>
          </w:tcPr>
          <w:p>
            <w:r>
              <w:rPr>
                <w:rFonts w:ascii="Calibri" w:hAnsi="Calibri"/>
                <w:b/>
                <w:color w:val="FFFFFF"/>
                <w:sz w:val="22"/>
              </w:rPr>
              <w:t>Current Consensus (7/29/26)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$995.6M</w:t>
            </w:r>
          </w:p>
        </w:tc>
        <w:tc>
          <w:tcPr>
            <w:tcW w:type="dxa" w:w="1080"/>
          </w:tcPr>
          <w:p>
            <w:r>
              <w:rPr>
                <w:rFonts w:ascii="Calibri" w:hAnsi="Calibri"/>
                <w:sz w:val="22"/>
              </w:rPr>
              <w:t>$990.2M</w:t>
            </w:r>
          </w:p>
        </w:tc>
        <w:tc>
          <w:tcPr>
            <w:tcW w:type="dxa" w:w="1080"/>
          </w:tcPr>
          <w:p>
            <w:r>
              <w:rPr>
                <w:rFonts w:ascii="Calibri" w:hAnsi="Calibri"/>
                <w:sz w:val="22"/>
              </w:rPr>
              <w:t>-0.5%</w:t>
            </w:r>
          </w:p>
        </w:tc>
        <w:tc>
          <w:tcPr>
            <w:tcW w:type="dxa" w:w="1080"/>
          </w:tcPr>
          <w:p>
            <w:r>
              <w:rPr>
                <w:rFonts w:ascii="Calibri" w:hAnsi="Calibri"/>
                <w:sz w:val="22"/>
              </w:rPr>
              <w:t>FY +2-4%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(quarterly)</w:t>
            </w:r>
          </w:p>
        </w:tc>
      </w:tr>
      <w:tr>
        <w:tc>
          <w:tcPr>
            <w:tcW w:type="dxa" w:w="1080"/>
          </w:tcPr>
          <w:p>
            <w:r>
              <w:rPr>
                <w:rFonts w:ascii="Calibri" w:hAnsi="Calibri"/>
                <w:sz w:val="22"/>
              </w:rPr>
              <w:t>Operating EPS — Q2 2026</w:t>
            </w:r>
          </w:p>
        </w:tc>
        <w:tc>
          <w:tcPr>
            <w:tcW w:type="dxa" w:w="1080"/>
          </w:tcPr>
          <w:p>
            <w:r>
              <w:rPr>
                <w:rFonts w:ascii="Calibri" w:hAnsi="Calibri"/>
                <w:sz w:val="22"/>
              </w:rPr>
              <w:t>$0.97</w:t>
            </w:r>
          </w:p>
        </w:tc>
        <w:tc>
          <w:tcPr>
            <w:tcW w:type="dxa" w:w="1080"/>
          </w:tcPr>
          <w:p>
            <w:r>
              <w:rPr>
                <w:rFonts w:ascii="Calibri" w:hAnsi="Calibri"/>
                <w:sz w:val="22"/>
              </w:rPr>
              <w:t>$0.96</w:t>
            </w:r>
          </w:p>
        </w:tc>
        <w:tc>
          <w:tcPr>
            <w:tcW w:type="dxa" w:w="1080"/>
          </w:tcPr>
          <w:p>
            <w:r>
              <w:rPr>
                <w:rFonts w:ascii="Calibri" w:hAnsi="Calibri"/>
                <w:sz w:val="22"/>
              </w:rPr>
              <w:t>-1.0%</w:t>
            </w:r>
          </w:p>
        </w:tc>
        <w:tc>
          <w:tcPr>
            <w:tcW w:type="dxa" w:w="1080"/>
          </w:tcPr>
          <w:p>
            <w:r>
              <w:rPr>
                <w:rFonts w:ascii="Calibri" w:hAnsi="Calibri"/>
                <w:sz w:val="22"/>
              </w:rPr>
              <w:t>~25% of FY midpoint (~$0.96)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vs. guide midpoint</w:t>
            </w:r>
          </w:p>
        </w:tc>
      </w:tr>
      <w:tr>
        <w:tc>
          <w:tcPr>
            <w:tcW w:type="dxa" w:w="1080"/>
          </w:tcPr>
          <w:p>
            <w:r>
              <w:rPr>
                <w:rFonts w:ascii="Calibri" w:hAnsi="Calibri"/>
                <w:sz w:val="22"/>
              </w:rPr>
              <w:t>NA Segment EBIT — Q2 2026</w:t>
            </w:r>
          </w:p>
        </w:tc>
        <w:tc>
          <w:tcPr>
            <w:tcW w:type="dxa" w:w="1080"/>
          </w:tcPr>
          <w:p>
            <w:r>
              <w:rPr>
                <w:rFonts w:ascii="Calibri" w:hAnsi="Calibri"/>
                <w:sz w:val="22"/>
              </w:rPr>
              <w:t>$197.4M</w:t>
            </w:r>
          </w:p>
        </w:tc>
        <w:tc>
          <w:tcPr>
            <w:tcW w:type="dxa" w:w="1080"/>
          </w:tcPr>
          <w:p>
            <w:r>
              <w:rPr>
                <w:rFonts w:ascii="Calibri" w:hAnsi="Calibri"/>
                <w:sz w:val="22"/>
              </w:rPr>
              <w:t>$196.3M</w:t>
            </w:r>
          </w:p>
        </w:tc>
        <w:tc>
          <w:tcPr>
            <w:tcW w:type="dxa" w:w="1080"/>
          </w:tcPr>
          <w:p>
            <w:r>
              <w:rPr>
                <w:rFonts w:ascii="Calibri" w:hAnsi="Calibri"/>
                <w:sz w:val="22"/>
              </w:rPr>
              <w:t>-0.6%</w:t>
            </w:r>
          </w:p>
        </w:tc>
        <w:tc>
          <w:tcPr>
            <w:tcW w:type="dxa" w:w="1080"/>
          </w:tcPr>
          <w:p>
            <w:r>
              <w:rPr>
                <w:rFonts w:ascii="Calibri" w:hAnsi="Calibri"/>
                <w:sz w:val="22"/>
              </w:rPr>
              <w:t>~24% NA margin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~24.1% implied; in line</w:t>
            </w:r>
          </w:p>
        </w:tc>
      </w:tr>
      <w:tr>
        <w:tc>
          <w:tcPr>
            <w:tcW w:type="dxa" w:w="1080"/>
          </w:tcPr>
          <w:p>
            <w:r>
              <w:rPr>
                <w:rFonts w:ascii="Calibri" w:hAnsi="Calibri"/>
                <w:sz w:val="22"/>
              </w:rPr>
              <w:t>RoW Segment EBIT — Q2 2026</w:t>
            </w:r>
          </w:p>
        </w:tc>
        <w:tc>
          <w:tcPr>
            <w:tcW w:type="dxa" w:w="1080"/>
          </w:tcPr>
          <w:p>
            <w:r>
              <w:rPr>
                <w:rFonts w:ascii="Calibri" w:hAnsi="Calibri"/>
                <w:sz w:val="22"/>
              </w:rPr>
              <w:t>$6.6M</w:t>
            </w:r>
          </w:p>
        </w:tc>
        <w:tc>
          <w:tcPr>
            <w:tcW w:type="dxa" w:w="1080"/>
          </w:tcPr>
          <w:p>
            <w:r>
              <w:rPr>
                <w:rFonts w:ascii="Calibri" w:hAnsi="Calibri"/>
                <w:sz w:val="22"/>
              </w:rPr>
              <w:t>$5.6M</w:t>
            </w:r>
          </w:p>
        </w:tc>
        <w:tc>
          <w:tcPr>
            <w:tcW w:type="dxa" w:w="1080"/>
          </w:tcPr>
          <w:p>
            <w:r>
              <w:rPr>
                <w:rFonts w:ascii="Calibri" w:hAnsi="Calibri"/>
                <w:sz w:val="22"/>
              </w:rPr>
              <w:t>-15.2%</w:t>
            </w:r>
          </w:p>
        </w:tc>
        <w:tc>
          <w:tcPr>
            <w:tcW w:type="dxa" w:w="1080"/>
          </w:tcPr>
          <w:p>
            <w:r>
              <w:rPr>
                <w:rFonts w:ascii="Calibri" w:hAnsi="Calibri"/>
                <w:sz w:val="22"/>
              </w:rPr>
              <w:t>RoW margin 6-7%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 implied; well below guide (China Q2 trough)</w:t>
            </w:r>
          </w:p>
        </w:tc>
      </w:tr>
      <w:tr>
        <w:tc>
          <w:tcPr>
            <w:tcW w:type="dxa" w:w="1080"/>
          </w:tcPr>
          <w:p>
            <w:r>
              <w:rPr>
                <w:rFonts w:ascii="Calibri" w:hAnsi="Calibri"/>
                <w:sz w:val="22"/>
              </w:rPr>
              <w:t>Total Revenue — FY 2026</w:t>
            </w:r>
          </w:p>
        </w:tc>
        <w:tc>
          <w:tcPr>
            <w:tcW w:type="dxa" w:w="1080"/>
          </w:tcPr>
          <w:p>
            <w:r>
              <w:rPr>
                <w:rFonts w:ascii="Calibri" w:hAnsi="Calibri"/>
                <w:sz w:val="22"/>
              </w:rPr>
              <w:t>$3,912.9M</w:t>
            </w:r>
          </w:p>
        </w:tc>
        <w:tc>
          <w:tcPr>
            <w:tcW w:type="dxa" w:w="1080"/>
          </w:tcPr>
          <w:p>
            <w:r>
              <w:rPr>
                <w:rFonts w:ascii="Calibri" w:hAnsi="Calibri"/>
                <w:sz w:val="22"/>
              </w:rPr>
              <w:t>$3,906.6M</w:t>
            </w:r>
          </w:p>
        </w:tc>
        <w:tc>
          <w:tcPr>
            <w:tcW w:type="dxa" w:w="1080"/>
          </w:tcPr>
          <w:p>
            <w:r>
              <w:rPr>
                <w:rFonts w:ascii="Calibri" w:hAnsi="Calibri"/>
                <w:sz w:val="22"/>
              </w:rPr>
              <w:t>-0.2%</w:t>
            </w:r>
          </w:p>
        </w:tc>
        <w:tc>
          <w:tcPr>
            <w:tcW w:type="dxa" w:w="1080"/>
          </w:tcPr>
          <w:p>
            <w:r>
              <w:rPr>
                <w:rFonts w:ascii="Calibri" w:hAnsi="Calibri"/>
                <w:sz w:val="22"/>
              </w:rPr>
              <w:t>+2% to +4%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Low end of range</w:t>
            </w:r>
          </w:p>
        </w:tc>
      </w:tr>
      <w:tr>
        <w:tc>
          <w:tcPr>
            <w:tcW w:type="dxa" w:w="1080"/>
          </w:tcPr>
          <w:p>
            <w:r>
              <w:rPr>
                <w:rFonts w:ascii="Calibri" w:hAnsi="Calibri"/>
                <w:sz w:val="22"/>
              </w:rPr>
              <w:t>Operating EPS — FY 2026</w:t>
            </w:r>
          </w:p>
        </w:tc>
        <w:tc>
          <w:tcPr>
            <w:tcW w:type="dxa" w:w="1080"/>
          </w:tcPr>
          <w:p>
            <w:r>
              <w:rPr>
                <w:rFonts w:ascii="Calibri" w:hAnsi="Calibri"/>
                <w:sz w:val="22"/>
              </w:rPr>
              <w:t>$3.78</w:t>
            </w:r>
          </w:p>
        </w:tc>
        <w:tc>
          <w:tcPr>
            <w:tcW w:type="dxa" w:w="1080"/>
          </w:tcPr>
          <w:p>
            <w:r>
              <w:rPr>
                <w:rFonts w:ascii="Calibri" w:hAnsi="Calibri"/>
                <w:sz w:val="22"/>
              </w:rPr>
              <w:t>$3.77</w:t>
            </w:r>
          </w:p>
        </w:tc>
        <w:tc>
          <w:tcPr>
            <w:tcW w:type="dxa" w:w="1080"/>
          </w:tcPr>
          <w:p>
            <w:r>
              <w:rPr>
                <w:rFonts w:ascii="Calibri" w:hAnsi="Calibri"/>
                <w:sz w:val="22"/>
              </w:rPr>
              <w:t>-0.4%</w:t>
            </w:r>
          </w:p>
        </w:tc>
        <w:tc>
          <w:tcPr>
            <w:tcW w:type="dxa" w:w="1080"/>
          </w:tcPr>
          <w:p>
            <w:r>
              <w:rPr>
                <w:rFonts w:ascii="Calibri" w:hAnsi="Calibri"/>
                <w:sz w:val="22"/>
              </w:rPr>
              <w:t>$3.70 – $4.00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~$0.07 below midpoint; near low end</w:t>
            </w:r>
          </w:p>
        </w:tc>
      </w:tr>
      <w:tr>
        <w:tc>
          <w:tcPr>
            <w:tcW w:type="dxa" w:w="1080"/>
          </w:tcPr>
          <w:p>
            <w:r>
              <w:rPr>
                <w:rFonts w:ascii="Calibri" w:hAnsi="Calibri"/>
                <w:sz w:val="22"/>
              </w:rPr>
              <w:t>Free Cash Flow — FY 2026</w:t>
            </w:r>
          </w:p>
        </w:tc>
        <w:tc>
          <w:tcPr>
            <w:tcW w:type="dxa" w:w="1080"/>
          </w:tcPr>
          <w:p>
            <w:r>
              <w:rPr>
                <w:rFonts w:ascii="Calibri" w:hAnsi="Calibri"/>
                <w:sz w:val="22"/>
              </w:rPr>
              <w:t>$559.0M</w:t>
            </w:r>
          </w:p>
        </w:tc>
        <w:tc>
          <w:tcPr>
            <w:tcW w:type="dxa" w:w="1080"/>
          </w:tcPr>
          <w:p>
            <w:r>
              <w:rPr>
                <w:rFonts w:ascii="Calibri" w:hAnsi="Calibri"/>
                <w:sz w:val="22"/>
              </w:rPr>
              <w:t>$556.9M</w:t>
            </w:r>
          </w:p>
        </w:tc>
        <w:tc>
          <w:tcPr>
            <w:tcW w:type="dxa" w:w="1080"/>
          </w:tcPr>
          <w:p>
            <w:r>
              <w:rPr>
                <w:rFonts w:ascii="Calibri" w:hAnsi="Calibri"/>
                <w:sz w:val="22"/>
              </w:rPr>
              <w:t>-0.4%</w:t>
            </w:r>
          </w:p>
        </w:tc>
        <w:tc>
          <w:tcPr>
            <w:tcW w:type="dxa" w:w="1080"/>
          </w:tcPr>
          <w:p>
            <w:r>
              <w:rPr>
                <w:rFonts w:ascii="Calibri" w:hAnsi="Calibri"/>
                <w:sz w:val="22"/>
              </w:rPr>
              <w:t>$525M – $575M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guide range; solid</w:t>
            </w:r>
          </w:p>
        </w:tc>
      </w:tr>
    </w:tbl>
    <w:p>
      <w:r>
        <w:rPr>
          <w:rFonts w:ascii="Calibri" w:hAnsi="Calibri"/>
          <w:i/>
          <w:color w:val="525866"/>
          <w:sz w:val="22"/>
        </w:rPr>
        <w:t>Source: Visible Alpha Consensus and Actuals Data. Baseline as of 5/5/26 (5 trading days post-Q1 earnings). The most notable revision is the RoW EBIT estimate for Q2, which has been trimmed ~15% since the post-Q1 baseline, reflecting continued analyst caution on China channel inventory destocking. FY estimates are broadly stable, consistent with management's unchanged guidance framework.</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AOS has </w:t>
      </w:r>
      <w:r>
        <w:rPr>
          <w:rFonts w:ascii="Calibri" w:hAnsi="Calibri"/>
          <w:b/>
          <w:color w:val="525866"/>
          <w:sz w:val="22"/>
        </w:rPr>
        <w:t>significantly underperformed</w:t>
      </w:r>
      <w:r>
        <w:rPr>
          <w:rFonts w:ascii="Calibri" w:hAnsi="Calibri"/>
          <w:color w:val="525866"/>
          <w:sz w:val="22"/>
        </w:rPr>
        <w:t xml:space="preserve"> both the S&amp;P 500 and the XLI Industrials ETF since the Q1 earnings print — the stock sold off sharply on April 30 and has failed to recover, with the gap driven by </w:t>
      </w:r>
      <w:r>
        <w:rPr>
          <w:rFonts w:ascii="Calibri" w:hAnsi="Calibri"/>
          <w:b/>
          <w:color w:val="525866"/>
          <w:sz w:val="22"/>
        </w:rPr>
        <w:t>multiple compression</w:t>
      </w:r>
      <w:r>
        <w:rPr>
          <w:rFonts w:ascii="Calibri" w:hAnsi="Calibri"/>
          <w:color w:val="525866"/>
          <w:sz w:val="22"/>
        </w:rPr>
        <w:t xml:space="preserve"> on China uncertainty rather than estimate revisions, which have been modest.</w:t>
      </w:r>
    </w:p>
    <w:p>
      <w:r>
        <w:rPr>
          <w:rFonts w:ascii="Calibri" w:hAnsi="Calibri"/>
          <w:color w:val="525866"/>
          <w:sz w:val="22"/>
        </w:rPr>
        <w:t xml:space="preserve">Since the Q1 2026 earnings release on April 30, 2026, AOS closed at $61.84 on earnings day (down from $63.68 the prior session, a -2.9% day-of reaction). As of July 28, 2026, AOS trades at $64.01, representing a +3.5% recovery from the earnings-day close but still lagging the XLI (+4.5%) and S&amp;P 500 (+3.1%) over the same period on an indexed basis. The stock's underperformance relative to industrials peers reflects persistent China overhang and the DOE enforcement delay removing the commercial pre-buy tailwind. The sector ETF used is </w:t>
      </w:r>
      <w:r>
        <w:rPr>
          <w:rFonts w:ascii="Calibri" w:hAnsi="Calibri"/>
          <w:b/>
          <w:color w:val="525866"/>
          <w:sz w:val="22"/>
        </w:rPr>
        <w:t>XLI (Industrial Select Sector SPDR Fund)</w:t>
      </w:r>
      <w:r>
        <w:rPr>
          <w:rFonts w:ascii="Calibri" w:hAnsi="Calibri"/>
          <w:color w:val="525866"/>
          <w:sz w:val="22"/>
        </w:rPr>
        <w:t>, which is appropriate for AOS's sub-sector as a diversified industrial manufacturer with significant exposure to building products and HVAC-adjacent end markets. Key events marked: mid-May price increase effective date (positive catalyst for Q3 margin recovery) and June 22 executive chairman retirement announcement (Kevin Wheeler; Stephen Shafer assumes combined Chairman/CEO role).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AOS vs. XLI (Industrials ETF) vs. S&amp;P 500 — Indexed to 100 at Q1 2026 Earnings Date (April 30, 2026). Source: Yahoo Finance / Stock Price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leadership consolidation</w:t>
      </w:r>
      <w:r>
        <w:rPr>
          <w:rFonts w:ascii="Calibri" w:hAnsi="Calibri"/>
          <w:color w:val="525866"/>
          <w:sz w:val="22"/>
        </w:rPr>
        <w:t xml:space="preserve"> (Wheeler retirement, Shafer as Chairman/CEO) and the </w:t>
      </w:r>
      <w:r>
        <w:rPr>
          <w:rFonts w:ascii="Calibri" w:hAnsi="Calibri"/>
          <w:b/>
          <w:color w:val="525866"/>
          <w:sz w:val="22"/>
        </w:rPr>
        <w:t>mid-May price increase taking effect</w:t>
      </w:r>
      <w:r>
        <w:rPr>
          <w:rFonts w:ascii="Calibri" w:hAnsi="Calibri"/>
          <w:color w:val="525866"/>
          <w:sz w:val="22"/>
        </w:rPr>
        <w:t xml:space="preserve"> — both signal management is focused on execution and margin recovery, but the China strategic assessment remains the dominant unresolved overhang heading into the print.</w:t>
      </w:r>
    </w:p>
    <w:p>
      <w:pPr>
        <w:pStyle w:val="ListBullet"/>
        <w:ind w:left="360" w:hanging="360"/>
      </w:pPr>
      <w:r>
        <w:rPr>
          <w:rFonts w:ascii="Calibri" w:hAnsi="Calibri"/>
          <w:b/>
          <w:color w:val="525866"/>
          <w:sz w:val="22"/>
        </w:rPr>
        <w:t>June 22, 2026 — Executive Chairman Kevin Wheeler Retires; CEO Stephen Shafer Named Chairman.</w:t>
      </w:r>
      <w:r>
        <w:rPr>
          <w:rFonts w:ascii="Calibri" w:hAnsi="Calibri"/>
          <w:color w:val="525866"/>
          <w:sz w:val="22"/>
        </w:rPr>
        <w:t xml:space="preserve"> Wheeler, a 30-year AOS veteran who served as CEO from 2018 and Chairman from 2020, retired effective July 1. Shafer (CEO since July 2025) assumes the combined Chairman/CEO role, becoming the 11th CEO in company history to hold both titles. Wheeler remains a board member. </w:t>
      </w:r>
      <w:r>
        <w:rPr>
          <w:rFonts w:ascii="Calibri" w:hAnsi="Calibri"/>
          <w:b/>
          <w:color w:val="525866"/>
          <w:sz w:val="22"/>
        </w:rPr>
        <w:t>Implication:</w:t>
      </w:r>
      <w:r>
        <w:rPr>
          <w:rFonts w:ascii="Calibri" w:hAnsi="Calibri"/>
          <w:color w:val="525866"/>
          <w:sz w:val="22"/>
        </w:rPr>
        <w:t xml:space="preserve"> Consolidation of leadership signals Shafer has full strategic authority heading into the China assessment resolution; reduces any ambiguity about strategic direction. No financial guidance changes accompanied the announcement.</w:t>
      </w:r>
    </w:p>
    <w:p>
      <w:pPr>
        <w:pStyle w:val="ListBullet"/>
        <w:ind w:left="360" w:hanging="360"/>
      </w:pPr>
      <w:r>
        <w:rPr>
          <w:rFonts w:ascii="Calibri" w:hAnsi="Calibri"/>
          <w:b/>
          <w:color w:val="525866"/>
          <w:sz w:val="22"/>
        </w:rPr>
        <w:t>Mid-May 2026 — North America Price Increases Effective (~4–7% on Water Heaters &amp; Boilers).</w:t>
      </w:r>
      <w:r>
        <w:rPr>
          <w:rFonts w:ascii="Calibri" w:hAnsi="Calibri"/>
          <w:color w:val="525866"/>
          <w:sz w:val="22"/>
        </w:rPr>
        <w:t xml:space="preserve"> Announced on the Q1 earnings call (April 30), price increases across most NA water heater and boiler products took effect mid-May. </w:t>
      </w:r>
      <w:r>
        <w:rPr>
          <w:rFonts w:ascii="Calibri" w:hAnsi="Calibri"/>
          <w:b/>
          <w:color w:val="525866"/>
          <w:sz w:val="22"/>
        </w:rPr>
        <w:t>Implication:</w:t>
      </w:r>
      <w:r>
        <w:rPr>
          <w:rFonts w:ascii="Calibri" w:hAnsi="Calibri"/>
          <w:color w:val="525866"/>
          <w:sz w:val="22"/>
        </w:rPr>
        <w:t xml:space="preserve"> Q2 will see only partial benefit (pricing pull-forward in April/early May), with the full benefit expected in Q3 and Q4. This is the primary margin recovery lever for the back half of 2026.</w:t>
      </w:r>
    </w:p>
    <w:p>
      <w:pPr>
        <w:pStyle w:val="ListBullet"/>
        <w:ind w:left="360" w:hanging="360"/>
      </w:pPr>
      <w:r>
        <w:rPr>
          <w:rFonts w:ascii="Calibri" w:hAnsi="Calibri"/>
          <w:b/>
          <w:color w:val="525866"/>
          <w:sz w:val="22"/>
        </w:rPr>
        <w:t>April 30, 2026 — Q2 2026 Water Treatment Restructuring Charge Announced (~$20M).</w:t>
      </w:r>
      <w:r>
        <w:rPr>
          <w:rFonts w:ascii="Calibri" w:hAnsi="Calibri"/>
          <w:color w:val="525866"/>
          <w:sz w:val="22"/>
        </w:rPr>
        <w:t xml:space="preserve"> AOS announced footprint optimization and brand rationalization (focusing on A.O. Smith brand over acquired brands) for the North America water treatment segment, with a ~$20M restructuring charge expected in Q2 2026. Projected annual savings of $6–8M beginning in 2027, targeting ~200 bps of incremental margin expansion. </w:t>
      </w:r>
      <w:r>
        <w:rPr>
          <w:rFonts w:ascii="Calibri" w:hAnsi="Calibri"/>
          <w:b/>
          <w:color w:val="525866"/>
          <w:sz w:val="22"/>
        </w:rPr>
        <w:t>Implication:</w:t>
      </w:r>
      <w:r>
        <w:rPr>
          <w:rFonts w:ascii="Calibri" w:hAnsi="Calibri"/>
          <w:color w:val="525866"/>
          <w:sz w:val="22"/>
        </w:rPr>
        <w:t xml:space="preserve"> Q2 reported EPS will include this charge (excluded from adjusted EPS guidance); watch for any update on restructuring progress and 2027 margin targets.</w:t>
      </w:r>
    </w:p>
    <w:p>
      <w:pPr>
        <w:pStyle w:val="ListBullet"/>
        <w:ind w:left="360" w:hanging="360"/>
      </w:pPr>
      <w:r>
        <w:rPr>
          <w:rFonts w:ascii="Calibri" w:hAnsi="Calibri"/>
          <w:b/>
          <w:color w:val="525866"/>
          <w:sz w:val="22"/>
        </w:rPr>
        <w:t>April 30, 2026 — DOE Non-Enforcement Letter Delays Commercial Water Heater Regulatory Change to October 2027.</w:t>
      </w:r>
      <w:r>
        <w:rPr>
          <w:rFonts w:ascii="Calibri" w:hAnsi="Calibri"/>
          <w:color w:val="525866"/>
          <w:sz w:val="22"/>
        </w:rPr>
        <w:t xml:space="preserve"> The DOE issued a non-enforcement letter for the October 2026 commercial water heater efficiency standard (pending Supreme Court review), effectively delaying enforcement by one year. </w:t>
      </w:r>
      <w:r>
        <w:rPr>
          <w:rFonts w:ascii="Calibri" w:hAnsi="Calibri"/>
          <w:b/>
          <w:color w:val="525866"/>
          <w:sz w:val="22"/>
        </w:rPr>
        <w:t>Implication:</w:t>
      </w:r>
      <w:r>
        <w:rPr>
          <w:rFonts w:ascii="Calibri" w:hAnsi="Calibri"/>
          <w:color w:val="525866"/>
          <w:sz w:val="22"/>
        </w:rPr>
        <w:t xml:space="preserve"> Removes the anticipated commercial pre-buy tailwind that was embedded in prior guidance; management now projects U.S. commercial industry volumes flat year-over-year. This was the single largest driver of the Q1 guidance cut.</w:t>
      </w:r>
    </w:p>
    <w:p>
      <w:pPr>
        <w:pStyle w:val="ListBullet"/>
        <w:ind w:left="360" w:hanging="360"/>
      </w:pPr>
      <w:r>
        <w:rPr>
          <w:rFonts w:ascii="Calibri" w:hAnsi="Calibri"/>
          <w:b/>
          <w:color w:val="525866"/>
          <w:sz w:val="22"/>
        </w:rPr>
        <w:t>April 30, 2026 — Leonard Valve Integration On Track; $70M FY 2026 Revenue Contribution Unchanged.</w:t>
      </w:r>
      <w:r>
        <w:rPr>
          <w:rFonts w:ascii="Calibri" w:hAnsi="Calibri"/>
          <w:color w:val="525866"/>
          <w:sz w:val="22"/>
        </w:rPr>
        <w:t xml:space="preserve"> Leonard Valve contributed $16M to Q1 2026 sales. Management confirmed double-digit growth and ~$70M FY contribution guidance unchanged. </w:t>
      </w:r>
      <w:r>
        <w:rPr>
          <w:rFonts w:ascii="Calibri" w:hAnsi="Calibri"/>
          <w:b/>
          <w:color w:val="525866"/>
          <w:sz w:val="22"/>
        </w:rPr>
        <w:t>Implication:</w:t>
      </w:r>
      <w:r>
        <w:rPr>
          <w:rFonts w:ascii="Calibri" w:hAnsi="Calibri"/>
          <w:color w:val="525866"/>
          <w:sz w:val="22"/>
        </w:rPr>
        <w:t xml:space="preserve"> Positive signal for the water management platform strategy; watch for any update on cross-selling progress with the core water heater business.</w:t>
      </w:r>
    </w:p>
    <w:p>
      <w:pPr>
        <w:pStyle w:val="ListBullet"/>
        <w:ind w:left="360" w:hanging="360"/>
      </w:pPr>
      <w:r>
        <w:rPr>
          <w:rFonts w:ascii="Calibri" w:hAnsi="Calibri"/>
          <w:b/>
          <w:color w:val="525866"/>
          <w:sz w:val="22"/>
        </w:rPr>
        <w:t>Analyst Rating Actions Post-Q1 (May 2026):</w:t>
      </w:r>
      <w:r>
        <w:rPr>
          <w:rFonts w:ascii="Calibri" w:hAnsi="Calibri"/>
          <w:color w:val="525866"/>
          <w:sz w:val="22"/>
        </w:rPr>
        <w:t xml:space="preserve"> Multiple analysts cut price targets following the Q1 miss and guidance reduction: JPMorgan lowered PT from $65 to $60 (Neutral → Underweight, May 15); Citigroup lowered PT from $74 to $65 (Neutral, May 4); DA Davidson lowered PT from $75 to $67 (Neutral, May 4); Robert W. Baird lowered PT (May 1); Goldman Sachs lowered PT from $69 to $61 (Sell, April 13 pre-earnings). Oppenheimer lowered PT from $80 to $75 (Outperform, June 10). Consensus rating is now 'Reduce' (3 Sell / 6 Hold / 2 Buy per MarketBeat). </w:t>
      </w:r>
      <w:r>
        <w:rPr>
          <w:rFonts w:ascii="Calibri" w:hAnsi="Calibri"/>
          <w:b/>
          <w:color w:val="525866"/>
          <w:sz w:val="22"/>
        </w:rPr>
        <w:t>Implication:</w:t>
      </w:r>
      <w:r>
        <w:rPr>
          <w:rFonts w:ascii="Calibri" w:hAnsi="Calibri"/>
          <w:color w:val="525866"/>
          <w:sz w:val="22"/>
        </w:rPr>
        <w:t xml:space="preserve"> Sentiment is cautious; a Q2 beat or positive China update could drive meaningful re-rating given the low bar.</w:t>
      </w:r>
    </w:p>
    <w:p>
      <w:pPr>
        <w:pStyle w:val="ListBullet"/>
        <w:ind w:left="360" w:hanging="360"/>
      </w:pPr>
      <w:r>
        <w:rPr>
          <w:rFonts w:ascii="Calibri" w:hAnsi="Calibri"/>
          <w:b/>
          <w:color w:val="525866"/>
          <w:sz w:val="22"/>
        </w:rPr>
        <w:t>Ongoing — China Strategic Assessment.</w:t>
      </w:r>
      <w:r>
        <w:rPr>
          <w:rFonts w:ascii="Calibri" w:hAnsi="Calibri"/>
          <w:color w:val="525866"/>
          <w:sz w:val="22"/>
        </w:rPr>
        <w:t xml:space="preserve"> Management committed on April 30 to providing clarity on the China business 'in the coming months.' The prolonged assessment is itself creating market uncertainty and delaying investments, compounding weak demand. Q2 China sales guided down ~15% sequentially vs. Q1 as channel inventories are balanced. </w:t>
      </w:r>
      <w:r>
        <w:rPr>
          <w:rFonts w:ascii="Calibri" w:hAnsi="Calibri"/>
          <w:b/>
          <w:color w:val="525866"/>
          <w:sz w:val="22"/>
        </w:rPr>
        <w:t>Implication:</w:t>
      </w:r>
      <w:r>
        <w:rPr>
          <w:rFonts w:ascii="Calibri" w:hAnsi="Calibri"/>
          <w:color w:val="525866"/>
          <w:sz w:val="22"/>
        </w:rPr>
        <w:t xml:space="preserve"> Any announcement — sale, JV, restructuring, or continuation — is the single largest potential stock catalyst. Silence on this topic would be a mild negative.</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Q2 2026 peer earnings (reported July 28–29) paint a </w:t>
      </w:r>
      <w:r>
        <w:rPr>
          <w:rFonts w:ascii="Calibri" w:hAnsi="Calibri"/>
          <w:b/>
          <w:color w:val="525866"/>
          <w:sz w:val="22"/>
        </w:rPr>
        <w:t>bifurcated picture</w:t>
      </w:r>
      <w:r>
        <w:rPr>
          <w:rFonts w:ascii="Calibri" w:hAnsi="Calibri"/>
          <w:color w:val="525866"/>
          <w:sz w:val="22"/>
        </w:rPr>
        <w:t xml:space="preserve"> for AOS: </w:t>
      </w:r>
      <w:r>
        <w:rPr>
          <w:rFonts w:ascii="Calibri" w:hAnsi="Calibri"/>
          <w:b/>
          <w:color w:val="525866"/>
          <w:sz w:val="22"/>
        </w:rPr>
        <w:t>North America residential demand remains soft but is stabilizing</w:t>
      </w:r>
      <w:r>
        <w:rPr>
          <w:rFonts w:ascii="Calibri" w:hAnsi="Calibri"/>
          <w:color w:val="525866"/>
          <w:sz w:val="22"/>
        </w:rPr>
        <w:t xml:space="preserve"> (positive for WH replacement), </w:t>
      </w:r>
      <w:r>
        <w:rPr>
          <w:rFonts w:ascii="Calibri" w:hAnsi="Calibri"/>
          <w:b/>
          <w:color w:val="525866"/>
          <w:sz w:val="22"/>
        </w:rPr>
        <w:t>commercial HVAC is accelerating</w:t>
      </w:r>
      <w:r>
        <w:rPr>
          <w:rFonts w:ascii="Calibri" w:hAnsi="Calibri"/>
          <w:color w:val="525866"/>
          <w:sz w:val="22"/>
        </w:rPr>
        <w:t xml:space="preserve"> (mixed read for commercial WH given DOE delay), </w:t>
      </w:r>
      <w:r>
        <w:rPr>
          <w:rFonts w:ascii="Calibri" w:hAnsi="Calibri"/>
          <w:b/>
          <w:color w:val="525866"/>
          <w:sz w:val="22"/>
        </w:rPr>
        <w:t>China residential remains deeply challenged</w:t>
      </w:r>
      <w:r>
        <w:rPr>
          <w:rFonts w:ascii="Calibri" w:hAnsi="Calibri"/>
          <w:color w:val="525866"/>
          <w:sz w:val="22"/>
        </w:rPr>
        <w:t xml:space="preserve"> across all peers, and </w:t>
      </w:r>
      <w:r>
        <w:rPr>
          <w:rFonts w:ascii="Calibri" w:hAnsi="Calibri"/>
          <w:b/>
          <w:color w:val="525866"/>
          <w:sz w:val="22"/>
        </w:rPr>
        <w:t>pricing is sticking</w:t>
      </w:r>
      <w:r>
        <w:rPr>
          <w:rFonts w:ascii="Calibri" w:hAnsi="Calibri"/>
          <w:color w:val="525866"/>
          <w:sz w:val="22"/>
        </w:rPr>
        <w:t xml:space="preserve"> despite cost headwinds — all broadly consistent with AOS's Q2 setup. The most important read-through is from Lennox (LII) and Carrier (CARR) on residential demand recovery timing and pricing realization.</w:t>
      </w:r>
    </w:p>
    <w:p>
      <w:pPr>
        <w:pStyle w:val="Heading3"/>
      </w:pPr>
      <w:r>
        <w:rPr>
          <w:rFonts w:ascii="Calibri" w:hAnsi="Calibri"/>
          <w:b/>
          <w:color w:val="3B4259"/>
          <w:sz w:val="24"/>
        </w:rPr>
        <w:t>Lennox International (LII) — Q2 2026 Earnings (Reported July 29, 2026)</w:t>
      </w:r>
    </w:p>
    <w:p>
      <w:r>
        <w:rPr>
          <w:rFonts w:ascii="Calibri" w:hAnsi="Calibri"/>
          <w:b/>
          <w:color w:val="525866"/>
          <w:sz w:val="22"/>
        </w:rPr>
        <w:t xml:space="preserve">Relevance to AOS: </w:t>
      </w:r>
      <w:r>
        <w:rPr>
          <w:rFonts w:ascii="Calibri" w:hAnsi="Calibri"/>
          <w:color w:val="525866"/>
          <w:sz w:val="22"/>
        </w:rPr>
        <w:t>High. LII is the closest HVAC/building products peer with significant residential and commercial exposure. Commentary on residential demand recovery timing, replacement vs. repair dynamics, and pricing realization are direct read-throughs for AOS's North America water heater business.</w:t>
      </w:r>
    </w:p>
    <w:p>
      <w:pPr>
        <w:pStyle w:val="ListBullet"/>
        <w:ind w:left="360" w:hanging="360"/>
      </w:pPr>
      <w:r>
        <w:rPr>
          <w:rFonts w:ascii="Calibri" w:hAnsi="Calibri"/>
          <w:b/>
          <w:color w:val="525866"/>
          <w:sz w:val="22"/>
        </w:rPr>
        <w:t>Residential demand recovery slower than expected; pushed to 2027.</w:t>
      </w:r>
      <w:r>
        <w:rPr>
          <w:rFonts w:ascii="Calibri" w:hAnsi="Calibri"/>
          <w:color w:val="525866"/>
          <w:sz w:val="22"/>
        </w:rPr>
        <w:t xml:space="preserve"> LII's Home Comfort Solutions revenue declined 7% YoY in Q2, with unit volumes down 12% (an improvement from -21% in Q1). Management explicitly stated the most meaningful residential recovery benefits will extend into 2027 rather than H2 2026, citing elevated mortgage rates, inflationary pressures, and historically low consumer confidence. </w:t>
      </w:r>
      <w:r>
        <w:rPr>
          <w:rFonts w:ascii="Calibri" w:hAnsi="Calibri"/>
          <w:b/>
          <w:color w:val="525866"/>
          <w:sz w:val="22"/>
        </w:rPr>
        <w:t>AOS read-through:</w:t>
      </w:r>
      <w:r>
        <w:rPr>
          <w:rFonts w:ascii="Calibri" w:hAnsi="Calibri"/>
          <w:color w:val="525866"/>
          <w:sz w:val="22"/>
        </w:rPr>
        <w:t xml:space="preserve"> Consistent with AOS's view that residential water heater industry shipments will be 'flat to down' in 2026 due to new construction softness. Replacement demand is steady but not accelerating — no upside surprise expected on residential WH volumes.</w:t>
      </w:r>
    </w:p>
    <w:p>
      <w:pPr>
        <w:pStyle w:val="ListBullet"/>
        <w:ind w:left="360" w:hanging="360"/>
      </w:pPr>
      <w:r>
        <w:rPr>
          <w:rFonts w:ascii="Calibri" w:hAnsi="Calibri"/>
          <w:b/>
          <w:color w:val="525866"/>
          <w:sz w:val="22"/>
        </w:rPr>
        <w:t>Repair vs. replace trend stabilizing; emergency replacement gaining share.</w:t>
      </w:r>
      <w:r>
        <w:rPr>
          <w:rFonts w:ascii="Calibri" w:hAnsi="Calibri"/>
          <w:color w:val="525866"/>
          <w:sz w:val="22"/>
        </w:rPr>
        <w:t xml:space="preserve"> LII noted the 'repair versus replace trend has stabilized' and that the company has gained share in emergency replacement. Channel confidence has 'returned fully' after prior disruptions. </w:t>
      </w:r>
      <w:r>
        <w:rPr>
          <w:rFonts w:ascii="Calibri" w:hAnsi="Calibri"/>
          <w:b/>
          <w:color w:val="525866"/>
          <w:sz w:val="22"/>
        </w:rPr>
        <w:t>AOS read-through:</w:t>
      </w:r>
      <w:r>
        <w:rPr>
          <w:rFonts w:ascii="Calibri" w:hAnsi="Calibri"/>
          <w:color w:val="525866"/>
          <w:sz w:val="22"/>
        </w:rPr>
        <w:t xml:space="preserve"> Positive signal for the replacement-driven portion of AOS's residential WH business (~60%+ of volumes). Stabilization in repair/replace dynamics reduces downside risk to replacement demand.</w:t>
      </w:r>
    </w:p>
    <w:p>
      <w:pPr>
        <w:pStyle w:val="ListBullet"/>
        <w:ind w:left="360" w:hanging="360"/>
      </w:pPr>
      <w:r>
        <w:rPr>
          <w:rFonts w:ascii="Calibri" w:hAnsi="Calibri"/>
          <w:b/>
          <w:color w:val="525866"/>
          <w:sz w:val="22"/>
        </w:rPr>
        <w:t>Commercial HVAC accelerating strongly; Building Climate Solutions revenue +24% YoY.</w:t>
      </w:r>
      <w:r>
        <w:rPr>
          <w:rFonts w:ascii="Calibri" w:hAnsi="Calibri"/>
          <w:color w:val="525866"/>
          <w:sz w:val="22"/>
        </w:rPr>
        <w:t xml:space="preserve"> LII's commercial segment showed exceptional strength, with organic sales up 12% and the commercial end market 'finally turning around the corner' after 17-18 consecutive months of decline. Emergency replacement and national account wins drove outperformance. </w:t>
      </w:r>
      <w:r>
        <w:rPr>
          <w:rFonts w:ascii="Calibri" w:hAnsi="Calibri"/>
          <w:b/>
          <w:color w:val="525866"/>
          <w:sz w:val="22"/>
        </w:rPr>
        <w:t>AOS read-through:</w:t>
      </w:r>
      <w:r>
        <w:rPr>
          <w:rFonts w:ascii="Calibri" w:hAnsi="Calibri"/>
          <w:color w:val="525866"/>
          <w:sz w:val="22"/>
        </w:rPr>
        <w:t xml:space="preserve"> Mixed for AOS commercial WH. Strong commercial building activity is a positive backdrop, but the DOE enforcement delay has removed the pre-buy tailwind specifically for commercial water heaters. AOS commercial WH volumes are now guided flat YoY.</w:t>
      </w:r>
    </w:p>
    <w:p>
      <w:pPr>
        <w:pStyle w:val="ListBullet"/>
        <w:ind w:left="360" w:hanging="360"/>
      </w:pPr>
      <w:r>
        <w:rPr>
          <w:rFonts w:ascii="Calibri" w:hAnsi="Calibri"/>
          <w:b/>
          <w:color w:val="525866"/>
          <w:sz w:val="22"/>
        </w:rPr>
        <w:t>Pricing actions sticking; +3% in Q2, expected +4% for full year.</w:t>
      </w:r>
      <w:r>
        <w:rPr>
          <w:rFonts w:ascii="Calibri" w:hAnsi="Calibri"/>
          <w:color w:val="525866"/>
          <w:sz w:val="22"/>
        </w:rPr>
        <w:t xml:space="preserve"> LII achieved ~3% pricing in Q2 and expects to pick up 'a point or two' in H2 from new pricing initiatives starting July. Tariff-related pricing is in place but margin-dilutive. </w:t>
      </w:r>
      <w:r>
        <w:rPr>
          <w:rFonts w:ascii="Calibri" w:hAnsi="Calibri"/>
          <w:b/>
          <w:color w:val="525866"/>
          <w:sz w:val="22"/>
        </w:rPr>
        <w:t>AOS read-through:</w:t>
      </w:r>
      <w:r>
        <w:rPr>
          <w:rFonts w:ascii="Calibri" w:hAnsi="Calibri"/>
          <w:color w:val="525866"/>
          <w:sz w:val="22"/>
        </w:rPr>
        <w:t xml:space="preserve"> Supportive for AOS's 4-7% price increase realization in Q3/Q4. Industry pricing discipline appears intact, reducing risk of competitive pushback on AOS's announced increases.</w:t>
      </w:r>
    </w:p>
    <w:p>
      <w:pPr>
        <w:pStyle w:val="Heading3"/>
      </w:pPr>
      <w:r>
        <w:rPr>
          <w:rFonts w:ascii="Calibri" w:hAnsi="Calibri"/>
          <w:b/>
          <w:color w:val="3B4259"/>
          <w:sz w:val="24"/>
        </w:rPr>
        <w:t>Carrier Global (CARR) — Q2 2026 Earnings (Reported July 28, 2026)</w:t>
      </w:r>
    </w:p>
    <w:p>
      <w:r>
        <w:rPr>
          <w:rFonts w:ascii="Calibri" w:hAnsi="Calibri"/>
          <w:b/>
          <w:color w:val="525866"/>
          <w:sz w:val="22"/>
        </w:rPr>
        <w:t xml:space="preserve">Relevance to AOS: </w:t>
      </w:r>
      <w:r>
        <w:rPr>
          <w:rFonts w:ascii="Calibri" w:hAnsi="Calibri"/>
          <w:color w:val="525866"/>
          <w:sz w:val="22"/>
        </w:rPr>
        <w:t>Medium-High. CARR's commentary on residential and light commercial HVAC demand, new construction trends, replacement dynamics, and China residential is relevant to AOS's North America and Rest of World segments.</w:t>
      </w:r>
    </w:p>
    <w:p>
      <w:pPr>
        <w:pStyle w:val="ListBullet"/>
        <w:ind w:left="360" w:hanging="360"/>
      </w:pPr>
      <w:r>
        <w:rPr>
          <w:rFonts w:ascii="Calibri" w:hAnsi="Calibri"/>
          <w:b/>
          <w:color w:val="525866"/>
          <w:sz w:val="22"/>
        </w:rPr>
        <w:t>Residential HVAC returning to growth; market now expected up low single digits.</w:t>
      </w:r>
      <w:r>
        <w:rPr>
          <w:rFonts w:ascii="Calibri" w:hAnsi="Calibri"/>
          <w:color w:val="525866"/>
          <w:sz w:val="22"/>
        </w:rPr>
        <w:t xml:space="preserve"> CARR's CSA residential sales were up 9% in Q2, better than expected. The market is now expected to be ~7.0–7.5M units, 'largely stable versus last year.' Full-year CSA resi sales raised to 'up high single digits.' New home construction now expected 'up low single digits' vs. prior flat-to-down expectation. </w:t>
      </w:r>
      <w:r>
        <w:rPr>
          <w:rFonts w:ascii="Calibri" w:hAnsi="Calibri"/>
          <w:b/>
          <w:color w:val="525866"/>
          <w:sz w:val="22"/>
        </w:rPr>
        <w:t>AOS read-through:</w:t>
      </w:r>
      <w:r>
        <w:rPr>
          <w:rFonts w:ascii="Calibri" w:hAnsi="Calibri"/>
          <w:color w:val="525866"/>
          <w:sz w:val="22"/>
        </w:rPr>
        <w:t xml:space="preserve"> Modestly positive for AOS residential WH. New construction slightly better than feared reduces downside risk to AOS's 'flat to down' industry shipment view. However, AOS's wholesale channel faces specific competitive pressures from retail encroachment that are not captured in CARR's data.</w:t>
      </w:r>
    </w:p>
    <w:p>
      <w:pPr>
        <w:pStyle w:val="ListBullet"/>
        <w:ind w:left="360" w:hanging="360"/>
      </w:pPr>
      <w:r>
        <w:rPr>
          <w:rFonts w:ascii="Calibri" w:hAnsi="Calibri"/>
          <w:b/>
          <w:color w:val="525866"/>
          <w:sz w:val="22"/>
        </w:rPr>
        <w:t>Replacement market 'returning to basics'; repair vs. replace less accentuated.</w:t>
      </w:r>
      <w:r>
        <w:rPr>
          <w:rFonts w:ascii="Calibri" w:hAnsi="Calibri"/>
          <w:color w:val="525866"/>
          <w:sz w:val="22"/>
        </w:rPr>
        <w:t xml:space="preserve"> CARR management noted the repair-vs.-replace trend is 'less accentuated than it was last year' and the market is 'returning to a replacement business.' Anecdotal data supports movement up mid-single digits in H2. </w:t>
      </w:r>
      <w:r>
        <w:rPr>
          <w:rFonts w:ascii="Calibri" w:hAnsi="Calibri"/>
          <w:b/>
          <w:color w:val="525866"/>
          <w:sz w:val="22"/>
        </w:rPr>
        <w:t>AOS read-through:</w:t>
      </w:r>
      <w:r>
        <w:rPr>
          <w:rFonts w:ascii="Calibri" w:hAnsi="Calibri"/>
          <w:color w:val="525866"/>
          <w:sz w:val="22"/>
        </w:rPr>
        <w:t xml:space="preserve"> Positive for AOS's replacement-driven WH business. Consistent with LII's stabilization commentary.</w:t>
      </w:r>
    </w:p>
    <w:p>
      <w:pPr>
        <w:pStyle w:val="ListBullet"/>
        <w:ind w:left="360" w:hanging="360"/>
      </w:pPr>
      <w:r>
        <w:rPr>
          <w:rFonts w:ascii="Calibri" w:hAnsi="Calibri"/>
          <w:b/>
          <w:color w:val="525866"/>
          <w:sz w:val="22"/>
        </w:rPr>
        <w:t>China residential remains the main drag; commercial well-positioned.</w:t>
      </w:r>
      <w:r>
        <w:rPr>
          <w:rFonts w:ascii="Calibri" w:hAnsi="Calibri"/>
          <w:color w:val="525866"/>
          <w:sz w:val="22"/>
        </w:rPr>
        <w:t xml:space="preserve"> CARR explicitly noted 'residential and light commercial in China remains the main drag.' The housing market is 'very difficult' and management is evaluating the investment required and duration of the housing headwind. Commercial China is better, driven by data centers and renewable energy. </w:t>
      </w:r>
      <w:r>
        <w:rPr>
          <w:rFonts w:ascii="Calibri" w:hAnsi="Calibri"/>
          <w:b/>
          <w:color w:val="525866"/>
          <w:sz w:val="22"/>
        </w:rPr>
        <w:t>AOS read-through:</w:t>
      </w:r>
      <w:r>
        <w:rPr>
          <w:rFonts w:ascii="Calibri" w:hAnsi="Calibri"/>
          <w:color w:val="525866"/>
          <w:sz w:val="22"/>
        </w:rPr>
        <w:t xml:space="preserve"> Directly confirms AOS's China residential weakness narrative. No signs of stabilization in the residential/premium segment where AOS competes. The strategic question CARR is asking about China investment mirrors AOS's own ongoing assessment.</w:t>
      </w:r>
    </w:p>
    <w:p>
      <w:pPr>
        <w:pStyle w:val="ListBullet"/>
        <w:ind w:left="360" w:hanging="360"/>
      </w:pPr>
      <w:r>
        <w:rPr>
          <w:rFonts w:ascii="Calibri" w:hAnsi="Calibri"/>
          <w:b/>
          <w:color w:val="525866"/>
          <w:sz w:val="22"/>
        </w:rPr>
        <w:t>Pricing discipline improving; 4% full-year target.</w:t>
      </w:r>
      <w:r>
        <w:rPr>
          <w:rFonts w:ascii="Calibri" w:hAnsi="Calibri"/>
          <w:color w:val="525866"/>
          <w:sz w:val="22"/>
        </w:rPr>
        <w:t xml:space="preserve"> CARR is taking 'a more aggressive and structured approach to cost reduction and pricing discipline.' Full-year pricing expected ~4%. Tariff-related pricing is in place but margin-dilutive. </w:t>
      </w:r>
      <w:r>
        <w:rPr>
          <w:rFonts w:ascii="Calibri" w:hAnsi="Calibri"/>
          <w:b/>
          <w:color w:val="525866"/>
          <w:sz w:val="22"/>
        </w:rPr>
        <w:t>AOS read-through:</w:t>
      </w:r>
      <w:r>
        <w:rPr>
          <w:rFonts w:ascii="Calibri" w:hAnsi="Calibri"/>
          <w:color w:val="525866"/>
          <w:sz w:val="22"/>
        </w:rPr>
        <w:t xml:space="preserve"> Supportive for AOS's pricing environment. Industry-wide pricing discipline reduces risk of competitive undercutting.</w:t>
      </w:r>
    </w:p>
    <w:p>
      <w:pPr>
        <w:pStyle w:val="Heading3"/>
      </w:pPr>
      <w:r>
        <w:rPr>
          <w:rFonts w:ascii="Calibri" w:hAnsi="Calibri"/>
          <w:b/>
          <w:color w:val="3B4259"/>
          <w:sz w:val="24"/>
        </w:rPr>
        <w:t>Masco Corporation (MAS) — Q2 2026 Earnings (Reported July 29, 2026)</w:t>
      </w:r>
    </w:p>
    <w:p>
      <w:r>
        <w:rPr>
          <w:rFonts w:ascii="Calibri" w:hAnsi="Calibri"/>
          <w:b/>
          <w:color w:val="525866"/>
          <w:sz w:val="22"/>
        </w:rPr>
        <w:t xml:space="preserve">Relevance to AOS: </w:t>
      </w:r>
      <w:r>
        <w:rPr>
          <w:rFonts w:ascii="Calibri" w:hAnsi="Calibri"/>
          <w:color w:val="525866"/>
          <w:sz w:val="22"/>
        </w:rPr>
        <w:t>Medium. MAS's plumbing products segment (Delta Faucet, Watkins wellness) and commentary on repair &amp; remodel demand, consumer sentiment, and tariff/commodity dynamics are relevant to AOS's North America water treatment and water management platform.</w:t>
      </w:r>
    </w:p>
    <w:p>
      <w:pPr>
        <w:pStyle w:val="ListBullet"/>
        <w:ind w:left="360" w:hanging="360"/>
      </w:pPr>
      <w:r>
        <w:rPr>
          <w:rFonts w:ascii="Calibri" w:hAnsi="Calibri"/>
          <w:b/>
          <w:color w:val="525866"/>
          <w:sz w:val="22"/>
        </w:rPr>
        <w:t>Plumbing sales down 3% in local currency; North America plumbing -6%.</w:t>
      </w:r>
      <w:r>
        <w:rPr>
          <w:rFonts w:ascii="Calibri" w:hAnsi="Calibri"/>
          <w:color w:val="525866"/>
          <w:sz w:val="22"/>
        </w:rPr>
        <w:t xml:space="preserve"> MAS plumbing segment declined in Q2, primarily due to strategic investments and a tough Q2 2025 comp. Excluding strategic investments, NA plumbing grew low single digits in H1, in line with expectations. International plumbing +4% in local currency, driven by European growth partially offset by China weakness. </w:t>
      </w:r>
      <w:r>
        <w:rPr>
          <w:rFonts w:ascii="Calibri" w:hAnsi="Calibri"/>
          <w:b/>
          <w:color w:val="525866"/>
          <w:sz w:val="22"/>
        </w:rPr>
        <w:t>AOS read-through:</w:t>
      </w:r>
      <w:r>
        <w:rPr>
          <w:rFonts w:ascii="Calibri" w:hAnsi="Calibri"/>
          <w:color w:val="525866"/>
          <w:sz w:val="22"/>
        </w:rPr>
        <w:t xml:space="preserve"> Consistent with AOS's cautious view on consumer-facing water products. The 'cautious consumer environment' and trade-down to lower-priced products that AOS flagged in water treatment is echoed in MAS's plumbing commentary.</w:t>
      </w:r>
    </w:p>
    <w:p>
      <w:pPr>
        <w:pStyle w:val="ListBullet"/>
        <w:ind w:left="360" w:hanging="360"/>
      </w:pPr>
      <w:r>
        <w:rPr>
          <w:rFonts w:ascii="Calibri" w:hAnsi="Calibri"/>
          <w:b/>
          <w:color w:val="525866"/>
          <w:sz w:val="22"/>
        </w:rPr>
        <w:t>Long-term R&amp;R drivers intact; pent-up demand building.</w:t>
      </w:r>
      <w:r>
        <w:rPr>
          <w:rFonts w:ascii="Calibri" w:hAnsi="Calibri"/>
          <w:color w:val="525866"/>
          <w:sz w:val="22"/>
        </w:rPr>
        <w:t xml:space="preserve"> MAS highlighted that 'strong home equity levels, aging housing stock, and pent-up demand for home improvement projects remain firmly in place as market conditions improve.' Upper-income consumer 'continues to hang in there pretty strongly.' </w:t>
      </w:r>
      <w:r>
        <w:rPr>
          <w:rFonts w:ascii="Calibri" w:hAnsi="Calibri"/>
          <w:b/>
          <w:color w:val="525866"/>
          <w:sz w:val="22"/>
        </w:rPr>
        <w:t>AOS read-through:</w:t>
      </w:r>
      <w:r>
        <w:rPr>
          <w:rFonts w:ascii="Calibri" w:hAnsi="Calibri"/>
          <w:color w:val="525866"/>
          <w:sz w:val="22"/>
        </w:rPr>
        <w:t xml:space="preserve"> Positive for AOS's medium-term water treatment and water management platform thesis. Aging housing stock supports replacement demand for water heaters and treatment products.</w:t>
      </w:r>
    </w:p>
    <w:p>
      <w:pPr>
        <w:pStyle w:val="ListBullet"/>
        <w:ind w:left="360" w:hanging="360"/>
      </w:pPr>
      <w:r>
        <w:rPr>
          <w:rFonts w:ascii="Calibri" w:hAnsi="Calibri"/>
          <w:b/>
          <w:color w:val="525866"/>
          <w:sz w:val="22"/>
        </w:rPr>
        <w:t>Tariff refunds provided a significant Q2 benefit (~$95M net); commodity inflation mid-single digits in H2.</w:t>
      </w:r>
      <w:r>
        <w:rPr>
          <w:rFonts w:ascii="Calibri" w:hAnsi="Calibri"/>
          <w:color w:val="525866"/>
          <w:sz w:val="22"/>
        </w:rPr>
        <w:t xml:space="preserve"> MAS recognized ~$95M net tariff refund benefit in Q2 (IEEPA refunds). Full-year net tariff refund benefit estimated at $85M. Commodity inflation expectations for H2 are mid-single digits for both plumbing and decorative segments. </w:t>
      </w:r>
      <w:r>
        <w:rPr>
          <w:rFonts w:ascii="Calibri" w:hAnsi="Calibri"/>
          <w:b/>
          <w:color w:val="525866"/>
          <w:sz w:val="22"/>
        </w:rPr>
        <w:t>AOS read-through:</w:t>
      </w:r>
      <w:r>
        <w:rPr>
          <w:rFonts w:ascii="Calibri" w:hAnsi="Calibri"/>
          <w:color w:val="525866"/>
          <w:sz w:val="22"/>
        </w:rPr>
        <w:t xml:space="preserve"> AOS does not have the same IEEPA refund dynamic, but the mid-single digit commodity inflation in H2 is consistent with AOS's ~15% YoY steel cost increase assumption and elevated freight/transportation costs. Confirms the cost environment remains challenging.</w:t>
      </w:r>
    </w:p>
    <w:p>
      <w:pPr>
        <w:pStyle w:val="ListBullet"/>
        <w:ind w:left="360" w:hanging="360"/>
      </w:pPr>
      <w:r>
        <w:rPr>
          <w:rFonts w:ascii="Calibri" w:hAnsi="Calibri"/>
          <w:b/>
          <w:color w:val="525866"/>
          <w:sz w:val="22"/>
        </w:rPr>
        <w:t>Pricing up mid-single digits for plumbing in Q2; price-cost positive for full year.</w:t>
      </w:r>
      <w:r>
        <w:rPr>
          <w:rFonts w:ascii="Calibri" w:hAnsi="Calibri"/>
          <w:color w:val="525866"/>
          <w:sz w:val="22"/>
        </w:rPr>
        <w:t xml:space="preserve"> MAS achieved mid-single digit pricing in plumbing in Q2, consistent with expectations, and expects to be price-cost positive for the full year in plumbing. </w:t>
      </w:r>
      <w:r>
        <w:rPr>
          <w:rFonts w:ascii="Calibri" w:hAnsi="Calibri"/>
          <w:b/>
          <w:color w:val="525866"/>
          <w:sz w:val="22"/>
        </w:rPr>
        <w:t>AOS read-through:</w:t>
      </w:r>
      <w:r>
        <w:rPr>
          <w:rFonts w:ascii="Calibri" w:hAnsi="Calibri"/>
          <w:color w:val="525866"/>
          <w:sz w:val="22"/>
        </w:rPr>
        <w:t xml:space="preserve"> Supportive for AOS's pricing realization. If MAS is achieving mid-single digit pricing in plumbing, AOS's 4-7% water heater/boiler price increases appear achievable.</w:t>
      </w:r>
    </w:p>
    <w:p>
      <w:pPr>
        <w:pStyle w:val="ListBullet"/>
        <w:ind w:left="360" w:hanging="360"/>
      </w:pPr>
      <w:r>
        <w:rPr>
          <w:rFonts w:ascii="Calibri" w:hAnsi="Calibri"/>
          <w:b/>
          <w:color w:val="525866"/>
          <w:sz w:val="22"/>
        </w:rPr>
        <w:t>China ongoing weakness; partially offsetting European growth.</w:t>
      </w:r>
      <w:r>
        <w:rPr>
          <w:rFonts w:ascii="Calibri" w:hAnsi="Calibri"/>
          <w:color w:val="525866"/>
          <w:sz w:val="22"/>
        </w:rPr>
        <w:t xml:space="preserve"> MAS noted 'ongoing weak market in China' and 'continued softness' partially offsetting European gains in international plumbing. </w:t>
      </w:r>
      <w:r>
        <w:rPr>
          <w:rFonts w:ascii="Calibri" w:hAnsi="Calibri"/>
          <w:b/>
          <w:color w:val="525866"/>
          <w:sz w:val="22"/>
        </w:rPr>
        <w:t>AOS read-through:</w:t>
      </w:r>
      <w:r>
        <w:rPr>
          <w:rFonts w:ascii="Calibri" w:hAnsi="Calibri"/>
          <w:color w:val="525866"/>
          <w:sz w:val="22"/>
        </w:rPr>
        <w:t xml:space="preserve"> Consistent with AOS's China narrative. No peer is seeing improvement in China residential/consumer-facing markets.</w:t>
      </w:r>
    </w:p>
    <w:p>
      <w:pPr>
        <w:pStyle w:val="Heading3"/>
      </w:pPr>
      <w:r>
        <w:rPr>
          <w:rFonts w:ascii="Calibri" w:hAnsi="Calibri"/>
          <w:b/>
          <w:color w:val="3B4259"/>
          <w:sz w:val="24"/>
        </w:rPr>
        <w:t>Whirlpool (WHR) — Q1 2026 Earnings (Reported May 7, 2026)</w:t>
      </w:r>
    </w:p>
    <w:p>
      <w:r>
        <w:rPr>
          <w:rFonts w:ascii="Calibri" w:hAnsi="Calibri"/>
          <w:b/>
          <w:color w:val="525866"/>
          <w:sz w:val="22"/>
        </w:rPr>
        <w:t xml:space="preserve">Relevance to AOS: </w:t>
      </w:r>
      <w:r>
        <w:rPr>
          <w:rFonts w:ascii="Calibri" w:hAnsi="Calibri"/>
          <w:color w:val="525866"/>
          <w:sz w:val="22"/>
        </w:rPr>
        <w:t>Medium. WHR's Q1 2026 commentary (the most recent available) on consumer sentiment, appliance demand, steel costs, and pricing is relevant to AOS's North America end markets. Note: WHR reported Q1 2026 results in May; this is commentary about the current reporting environment, not a prior-quarter look-back.</w:t>
      </w:r>
    </w:p>
    <w:p>
      <w:pPr>
        <w:pStyle w:val="ListBullet"/>
        <w:ind w:left="360" w:hanging="360"/>
      </w:pPr>
      <w:r>
        <w:rPr>
          <w:rFonts w:ascii="Calibri" w:hAnsi="Calibri"/>
          <w:b/>
          <w:color w:val="525866"/>
          <w:sz w:val="22"/>
        </w:rPr>
        <w:t>Consumer sentiment at 50-year low in Q1; U.S. appliance industry demand -7.4% in Q1.</w:t>
      </w:r>
      <w:r>
        <w:rPr>
          <w:rFonts w:ascii="Calibri" w:hAnsi="Calibri"/>
          <w:color w:val="525866"/>
          <w:sz w:val="22"/>
        </w:rPr>
        <w:t xml:space="preserve"> WHR reported severe consumer sentiment deterioration, with the U.S. consumer sentiment index reaching its lowest level on record in March. U.S. appliance industry demand declined 7.4% in Q1, with March down 10%. WHR now forecasts full-year U.S. industry demand down ~5%. </w:t>
      </w:r>
      <w:r>
        <w:rPr>
          <w:rFonts w:ascii="Calibri" w:hAnsi="Calibri"/>
          <w:b/>
          <w:color w:val="525866"/>
          <w:sz w:val="22"/>
        </w:rPr>
        <w:t>AOS read-through:</w:t>
      </w:r>
      <w:r>
        <w:rPr>
          <w:rFonts w:ascii="Calibri" w:hAnsi="Calibri"/>
          <w:color w:val="525866"/>
          <w:sz w:val="22"/>
        </w:rPr>
        <w:t xml:space="preserve"> Confirms the challenging consumer environment AOS flagged for its water treatment consumer-facing channels (~50% of water treatment business). The 'repair rather than replace' trend WHR observed (strongest business was spare parts/repair) is consistent with AOS's 'flat to down' residential WH industry shipment view.</w:t>
      </w:r>
    </w:p>
    <w:p>
      <w:pPr>
        <w:pStyle w:val="ListBullet"/>
        <w:ind w:left="360" w:hanging="360"/>
      </w:pPr>
      <w:r>
        <w:rPr>
          <w:rFonts w:ascii="Calibri" w:hAnsi="Calibri"/>
          <w:b/>
          <w:color w:val="525866"/>
          <w:sz w:val="22"/>
        </w:rPr>
        <w:t>Largest price increase in a decade (+10%+) announced; pricing sticking in early weeks.</w:t>
      </w:r>
      <w:r>
        <w:rPr>
          <w:rFonts w:ascii="Calibri" w:hAnsi="Calibri"/>
          <w:color w:val="525866"/>
          <w:sz w:val="22"/>
        </w:rPr>
        <w:t xml:space="preserve"> WHR issued a promotional price increase of 10%+ effective April 17, with a list price increase of ~4% effective July 9. Early data showed pricing is 'sticking' with retail sell-out prices up 10% vs. January 2025. Competitor behavior 'shifted more favorably.' </w:t>
      </w:r>
      <w:r>
        <w:rPr>
          <w:rFonts w:ascii="Calibri" w:hAnsi="Calibri"/>
          <w:b/>
          <w:color w:val="525866"/>
          <w:sz w:val="22"/>
        </w:rPr>
        <w:t>AOS read-through:</w:t>
      </w:r>
      <w:r>
        <w:rPr>
          <w:rFonts w:ascii="Calibri" w:hAnsi="Calibri"/>
          <w:color w:val="525866"/>
          <w:sz w:val="22"/>
        </w:rPr>
        <w:t xml:space="preserve"> Positive signal for AOS's pricing environment. If WHR's aggressive pricing is sticking and competitors are following, AOS's 4-7% water heater/boiler price increases face less competitive risk. Industry pricing discipline appears to be improving.</w:t>
      </w:r>
    </w:p>
    <w:p>
      <w:pPr>
        <w:pStyle w:val="ListBullet"/>
        <w:ind w:left="360" w:hanging="360"/>
      </w:pPr>
      <w:r>
        <w:rPr>
          <w:rFonts w:ascii="Calibri" w:hAnsi="Calibri"/>
          <w:b/>
          <w:color w:val="525866"/>
          <w:sz w:val="22"/>
        </w:rPr>
        <w:t>Steel costs at maximum of long-term agreements; ~75 bps raw material headwind for FY.</w:t>
      </w:r>
      <w:r>
        <w:rPr>
          <w:rFonts w:ascii="Calibri" w:hAnsi="Calibri"/>
          <w:color w:val="525866"/>
          <w:sz w:val="22"/>
        </w:rPr>
        <w:t xml:space="preserve"> WHR's steel costs reached the cap of their long-term agreements. Full-year raw material impact updated to ~75 bps negative. Steel is WHR's #1 purchased product. </w:t>
      </w:r>
      <w:r>
        <w:rPr>
          <w:rFonts w:ascii="Calibri" w:hAnsi="Calibri"/>
          <w:b/>
          <w:color w:val="525866"/>
          <w:sz w:val="22"/>
        </w:rPr>
        <w:t>AOS read-through:</w:t>
      </w:r>
      <w:r>
        <w:rPr>
          <w:rFonts w:ascii="Calibri" w:hAnsi="Calibri"/>
          <w:color w:val="525866"/>
          <w:sz w:val="22"/>
        </w:rPr>
        <w:t xml:space="preserve"> Directly confirms AOS's ~15% YoY steel cost increase assumption. Steel inflation is a real and persistent headwind across the industry, validating AOS's cost assumptions and the rationale for price increases.</w:t>
      </w:r>
    </w:p>
    <w:p>
      <w:pPr>
        <w:pStyle w:val="ListBullet"/>
        <w:ind w:left="360" w:hanging="360"/>
      </w:pPr>
      <w:r>
        <w:rPr>
          <w:rFonts w:ascii="Calibri" w:hAnsi="Calibri"/>
          <w:b/>
          <w:color w:val="525866"/>
          <w:sz w:val="22"/>
        </w:rPr>
        <w:t>Section 232 tariff framework strengthened; 25% on all imported appliances.</w:t>
      </w:r>
      <w:r>
        <w:rPr>
          <w:rFonts w:ascii="Calibri" w:hAnsi="Calibri"/>
          <w:color w:val="525866"/>
          <w:sz w:val="22"/>
        </w:rPr>
        <w:t xml:space="preserve"> The updated 232 framework imposes a flat 25% tariff on all imported appliances (more for China), providing structural advantage to domestic manufacturers like WHR. </w:t>
      </w:r>
      <w:r>
        <w:rPr>
          <w:rFonts w:ascii="Calibri" w:hAnsi="Calibri"/>
          <w:b/>
          <w:color w:val="525866"/>
          <w:sz w:val="22"/>
        </w:rPr>
        <w:t>AOS read-through:</w:t>
      </w:r>
      <w:r>
        <w:rPr>
          <w:rFonts w:ascii="Calibri" w:hAnsi="Calibri"/>
          <w:color w:val="525866"/>
          <w:sz w:val="22"/>
        </w:rPr>
        <w:t xml:space="preserve"> AOS manufactures the majority of its North America water heaters domestically, so this framework is broadly supportive. Reduces risk of import competition undercutting AOS's price increases.</w:t>
      </w:r>
    </w:p>
    <w:p>
      <w:pPr>
        <w:pStyle w:val="Heading3"/>
      </w:pPr>
      <w:r>
        <w:rPr>
          <w:rFonts w:ascii="Calibri" w:hAnsi="Calibri"/>
          <w:b/>
          <w:color w:val="3B4259"/>
          <w:sz w:val="24"/>
        </w:rPr>
        <w:t>D.R. Horton (DHI) — Q3 FY2026 Earnings (Reported July 21, 2026)</w:t>
      </w:r>
    </w:p>
    <w:p>
      <w:r>
        <w:rPr>
          <w:rFonts w:ascii="Calibri" w:hAnsi="Calibri"/>
          <w:b/>
          <w:color w:val="525866"/>
          <w:sz w:val="22"/>
        </w:rPr>
        <w:t xml:space="preserve">Relevance to AOS: </w:t>
      </w:r>
      <w:r>
        <w:rPr>
          <w:rFonts w:ascii="Calibri" w:hAnsi="Calibri"/>
          <w:color w:val="525866"/>
          <w:sz w:val="22"/>
        </w:rPr>
        <w:t>Low-Medium. DHI is the largest U.S. homebuilder; its commentary on new construction demand and consumer confidence is a read-through for AOS's new construction-exposed residential water heater volumes.</w:t>
      </w:r>
    </w:p>
    <w:p>
      <w:pPr>
        <w:pStyle w:val="ListBullet"/>
        <w:ind w:left="360" w:hanging="360"/>
      </w:pPr>
      <w:r>
        <w:rPr>
          <w:rFonts w:ascii="Calibri" w:hAnsi="Calibri"/>
          <w:b/>
          <w:color w:val="525866"/>
          <w:sz w:val="22"/>
        </w:rPr>
        <w:t>New home demand 'a little softer' post-April; affordability constraints and cautious consumer sentiment persist.</w:t>
      </w:r>
      <w:r>
        <w:rPr>
          <w:rFonts w:ascii="Calibri" w:hAnsi="Calibri"/>
          <w:color w:val="525866"/>
          <w:sz w:val="22"/>
        </w:rPr>
        <w:t xml:space="preserve"> DHI closed 23,983 homes in Q3 FY2026 (at the high end of guidance) but noted demand softened mid-quarter and later in the quarter, leading to a reduction in the annual guide. Cancellation rate increased to 20% (from 17% prior year). Management cited 'general lack of confidence' among buyers. </w:t>
      </w:r>
      <w:r>
        <w:rPr>
          <w:rFonts w:ascii="Calibri" w:hAnsi="Calibri"/>
          <w:b/>
          <w:color w:val="525866"/>
          <w:sz w:val="22"/>
        </w:rPr>
        <w:t>AOS read-through:</w:t>
      </w:r>
      <w:r>
        <w:rPr>
          <w:rFonts w:ascii="Calibri" w:hAnsi="Calibri"/>
          <w:color w:val="525866"/>
          <w:sz w:val="22"/>
        </w:rPr>
        <w:t xml:space="preserve"> Consistent with AOS's 'flat to down' residential WH industry shipment view driven by new construction softness. DHI's softening demand in Q3 (calendar Q2) confirms no near-term acceleration in new construction that would benefit AOS's wholesale channel.</w:t>
      </w:r>
    </w:p>
    <w:p>
      <w:pPr>
        <w:pStyle w:val="ListBullet"/>
        <w:ind w:left="360" w:hanging="360"/>
      </w:pPr>
      <w:r>
        <w:rPr>
          <w:rFonts w:ascii="Calibri" w:hAnsi="Calibri"/>
          <w:b/>
          <w:color w:val="525866"/>
          <w:sz w:val="22"/>
        </w:rPr>
        <w:t>Regional strength in Mid-Atlantic, Ohio Valley, Midwest; weakness in Northwest (Seattle).</w:t>
      </w:r>
      <w:r>
        <w:rPr>
          <w:rFonts w:ascii="Calibri" w:hAnsi="Calibri"/>
          <w:color w:val="525866"/>
          <w:sz w:val="22"/>
        </w:rPr>
        <w:t xml:space="preserve"> DHI noted relative strength in the North operating area and Florida/Southeast, with weakness in the Northwest tied to tech sector layoffs. </w:t>
      </w:r>
      <w:r>
        <w:rPr>
          <w:rFonts w:ascii="Calibri" w:hAnsi="Calibri"/>
          <w:b/>
          <w:color w:val="525866"/>
          <w:sz w:val="22"/>
        </w:rPr>
        <w:t>AOS read-through:</w:t>
      </w:r>
      <w:r>
        <w:rPr>
          <w:rFonts w:ascii="Calibri" w:hAnsi="Calibri"/>
          <w:color w:val="525866"/>
          <w:sz w:val="22"/>
        </w:rPr>
        <w:t xml:space="preserve"> Geographic mix of new construction activity is relevant to AOS's regional wholesale channel dynamics. No broad-based recovery signal.</w:t>
      </w:r>
    </w:p>
    <w:p>
      <w:pPr>
        <w:pStyle w:val="ListBullet"/>
        <w:ind w:left="360" w:hanging="360"/>
      </w:pPr>
      <w:r>
        <w:rPr>
          <w:rFonts w:ascii="Calibri" w:hAnsi="Calibri"/>
          <w:b/>
          <w:color w:val="525866"/>
          <w:sz w:val="22"/>
        </w:rPr>
        <w:t>65% of closings to first-time home buyers; affordability remains the key constraint.</w:t>
      </w:r>
      <w:r>
        <w:rPr>
          <w:rFonts w:ascii="Calibri" w:hAnsi="Calibri"/>
          <w:color w:val="525866"/>
          <w:sz w:val="22"/>
        </w:rPr>
        <w:t xml:space="preserve"> DHI's buyer mix skews heavily toward first-time buyers, who are most sensitive to mortgage rates and economic uncertainty. Management expects this mix to remain in the 'two-thirds range.' </w:t>
      </w:r>
      <w:r>
        <w:rPr>
          <w:rFonts w:ascii="Calibri" w:hAnsi="Calibri"/>
          <w:b/>
          <w:color w:val="525866"/>
          <w:sz w:val="22"/>
        </w:rPr>
        <w:t>AOS read-through:</w:t>
      </w:r>
      <w:r>
        <w:rPr>
          <w:rFonts w:ascii="Calibri" w:hAnsi="Calibri"/>
          <w:color w:val="525866"/>
          <w:sz w:val="22"/>
        </w:rPr>
        <w:t xml:space="preserve"> First-time buyers typically purchase entry-level homes with standard (non-premium) water heaters, which is less favorable for AOS's mix vs. move-up buyers who may purchase higher-efficiency products.</w:t>
      </w:r>
    </w:p>
    <w:p>
      <w:r>
        <w:rPr>
          <w:rFonts w:ascii="Calibri" w:hAnsi="Calibri"/>
          <w:b/>
          <w:color w:val="525866"/>
          <w:sz w:val="22"/>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AOS Read-Through Direction</w:t>
            </w:r>
          </w:p>
        </w:tc>
        <w:tc>
          <w:tcPr>
            <w:tcW w:type="dxa" w:w="1728"/>
            <w:shd w:val="clear" w:color="auto" w:fill="3B4259"/>
          </w:tcPr>
          <w:p>
            <w:r>
              <w:rPr>
                <w:rFonts w:ascii="Calibri" w:hAnsi="Calibri"/>
                <w:b/>
                <w:color w:val="FFFFFF"/>
                <w:sz w:val="22"/>
              </w:rPr>
              <w:t>Relevance</w:t>
            </w:r>
          </w:p>
        </w:tc>
      </w:tr>
      <w:tr>
        <w:tc>
          <w:tcPr>
            <w:tcW w:type="dxa" w:w="1728"/>
          </w:tcPr>
          <w:p>
            <w:r>
              <w:rPr>
                <w:rFonts w:ascii="Calibri" w:hAnsi="Calibri"/>
                <w:sz w:val="22"/>
              </w:rPr>
              <w:t>LII</w:t>
            </w:r>
          </w:p>
        </w:tc>
        <w:tc>
          <w:tcPr>
            <w:tcW w:type="dxa" w:w="1728"/>
          </w:tcPr>
          <w:p>
            <w:r>
              <w:rPr>
                <w:rFonts w:ascii="Calibri" w:hAnsi="Calibri"/>
                <w:sz w:val="22"/>
              </w:rPr>
              <w:t>Q2 2026</w:t>
            </w:r>
          </w:p>
        </w:tc>
        <w:tc>
          <w:tcPr>
            <w:tcW w:type="dxa" w:w="1728"/>
          </w:tcPr>
          <w:p>
            <w:r>
              <w:rPr>
                <w:rFonts w:ascii="Calibri" w:hAnsi="Calibri"/>
                <w:sz w:val="22"/>
              </w:rPr>
              <w:t>Resi recovery pushed to 2027; commercial accelerating; pricing sticking</w:t>
            </w:r>
          </w:p>
        </w:tc>
        <w:tc>
          <w:tcPr>
            <w:tcW w:type="dxa" w:w="1728"/>
          </w:tcPr>
          <w:p>
            <w:r>
              <w:rPr>
                <w:rFonts w:ascii="Calibri" w:hAnsi="Calibri"/>
                <w:b/>
                <w:sz w:val="22"/>
              </w:rPr>
              <w:t>Mixed</w:t>
            </w:r>
          </w:p>
        </w:tc>
        <w:tc>
          <w:tcPr>
            <w:tcW w:type="dxa" w:w="1728"/>
          </w:tcPr>
          <w:p>
            <w:r>
              <w:rPr>
                <w:rFonts w:ascii="Calibri" w:hAnsi="Calibri"/>
                <w:sz w:val="22"/>
              </w:rPr>
              <w:t>High</w:t>
            </w:r>
          </w:p>
        </w:tc>
      </w:tr>
      <w:tr>
        <w:tc>
          <w:tcPr>
            <w:tcW w:type="dxa" w:w="1728"/>
          </w:tcPr>
          <w:p>
            <w:r>
              <w:rPr>
                <w:rFonts w:ascii="Calibri" w:hAnsi="Calibri"/>
                <w:sz w:val="22"/>
              </w:rPr>
              <w:t>CARR</w:t>
            </w:r>
          </w:p>
        </w:tc>
        <w:tc>
          <w:tcPr>
            <w:tcW w:type="dxa" w:w="1728"/>
          </w:tcPr>
          <w:p>
            <w:r>
              <w:rPr>
                <w:rFonts w:ascii="Calibri" w:hAnsi="Calibri"/>
                <w:sz w:val="22"/>
              </w:rPr>
              <w:t>Q2 2026</w:t>
            </w:r>
          </w:p>
        </w:tc>
        <w:tc>
          <w:tcPr>
            <w:tcW w:type="dxa" w:w="1728"/>
          </w:tcPr>
          <w:p>
            <w:r>
              <w:rPr>
                <w:rFonts w:ascii="Calibri" w:hAnsi="Calibri"/>
                <w:sz w:val="22"/>
              </w:rPr>
              <w:t>Resi HVAC returning to growth; China resi 'main drag'; replacement market normalizing</w:t>
            </w:r>
          </w:p>
        </w:tc>
        <w:tc>
          <w:tcPr>
            <w:tcW w:type="dxa" w:w="1728"/>
          </w:tcPr>
          <w:p>
            <w:r>
              <w:rPr>
                <w:rFonts w:ascii="Calibri" w:hAnsi="Calibri"/>
                <w:b/>
                <w:sz w:val="22"/>
              </w:rPr>
              <w:t>Mixed</w:t>
            </w:r>
          </w:p>
        </w:tc>
        <w:tc>
          <w:tcPr>
            <w:tcW w:type="dxa" w:w="1728"/>
          </w:tcPr>
          <w:p>
            <w:r>
              <w:rPr>
                <w:rFonts w:ascii="Calibri" w:hAnsi="Calibri"/>
                <w:sz w:val="22"/>
              </w:rPr>
              <w:t>High</w:t>
            </w:r>
          </w:p>
        </w:tc>
      </w:tr>
      <w:tr>
        <w:tc>
          <w:tcPr>
            <w:tcW w:type="dxa" w:w="1728"/>
          </w:tcPr>
          <w:p>
            <w:r>
              <w:rPr>
                <w:rFonts w:ascii="Calibri" w:hAnsi="Calibri"/>
                <w:sz w:val="22"/>
              </w:rPr>
              <w:t>MAS</w:t>
            </w:r>
          </w:p>
        </w:tc>
        <w:tc>
          <w:tcPr>
            <w:tcW w:type="dxa" w:w="1728"/>
          </w:tcPr>
          <w:p>
            <w:r>
              <w:rPr>
                <w:rFonts w:ascii="Calibri" w:hAnsi="Calibri"/>
                <w:sz w:val="22"/>
              </w:rPr>
              <w:t>Q2 2026</w:t>
            </w:r>
          </w:p>
        </w:tc>
        <w:tc>
          <w:tcPr>
            <w:tcW w:type="dxa" w:w="1728"/>
          </w:tcPr>
          <w:p>
            <w:r>
              <w:rPr>
                <w:rFonts w:ascii="Calibri" w:hAnsi="Calibri"/>
                <w:sz w:val="22"/>
              </w:rPr>
              <w:t>Plumbing soft; R&amp;R long-term drivers intact; tariff refunds; China weak</w:t>
            </w:r>
          </w:p>
        </w:tc>
        <w:tc>
          <w:tcPr>
            <w:tcW w:type="dxa" w:w="1728"/>
          </w:tcPr>
          <w:p>
            <w:r>
              <w:rPr>
                <w:rFonts w:ascii="Calibri" w:hAnsi="Calibri"/>
                <w:b/>
                <w:sz w:val="22"/>
              </w:rPr>
              <w:t>Neutral</w:t>
            </w:r>
          </w:p>
        </w:tc>
        <w:tc>
          <w:tcPr>
            <w:tcW w:type="dxa" w:w="1728"/>
          </w:tcPr>
          <w:p>
            <w:r>
              <w:rPr>
                <w:rFonts w:ascii="Calibri" w:hAnsi="Calibri"/>
                <w:sz w:val="22"/>
              </w:rPr>
              <w:t>Medium</w:t>
            </w:r>
          </w:p>
        </w:tc>
      </w:tr>
      <w:tr>
        <w:tc>
          <w:tcPr>
            <w:tcW w:type="dxa" w:w="1728"/>
          </w:tcPr>
          <w:p>
            <w:r>
              <w:rPr>
                <w:rFonts w:ascii="Calibri" w:hAnsi="Calibri"/>
                <w:sz w:val="22"/>
              </w:rPr>
              <w:t>WHR</w:t>
            </w:r>
          </w:p>
        </w:tc>
        <w:tc>
          <w:tcPr>
            <w:tcW w:type="dxa" w:w="1728"/>
          </w:tcPr>
          <w:p>
            <w:r>
              <w:rPr>
                <w:rFonts w:ascii="Calibri" w:hAnsi="Calibri"/>
                <w:sz w:val="22"/>
              </w:rPr>
              <w:t>Q1 2026</w:t>
            </w:r>
          </w:p>
        </w:tc>
        <w:tc>
          <w:tcPr>
            <w:tcW w:type="dxa" w:w="1728"/>
          </w:tcPr>
          <w:p>
            <w:r>
              <w:rPr>
                <w:rFonts w:ascii="Calibri" w:hAnsi="Calibri"/>
                <w:sz w:val="22"/>
              </w:rPr>
              <w:t>Consumer sentiment at 50-yr low; pricing sticking; steel at cost cap; 232 tariffs supportive</w:t>
            </w:r>
          </w:p>
        </w:tc>
        <w:tc>
          <w:tcPr>
            <w:tcW w:type="dxa" w:w="1728"/>
          </w:tcPr>
          <w:p>
            <w:r>
              <w:rPr>
                <w:rFonts w:ascii="Calibri" w:hAnsi="Calibri"/>
                <w:b/>
                <w:sz w:val="22"/>
              </w:rPr>
              <w:t>Neutral-Positive</w:t>
            </w:r>
          </w:p>
        </w:tc>
        <w:tc>
          <w:tcPr>
            <w:tcW w:type="dxa" w:w="1728"/>
          </w:tcPr>
          <w:p>
            <w:r>
              <w:rPr>
                <w:rFonts w:ascii="Calibri" w:hAnsi="Calibri"/>
                <w:sz w:val="22"/>
              </w:rPr>
              <w:t>Medium</w:t>
            </w:r>
          </w:p>
        </w:tc>
      </w:tr>
      <w:tr>
        <w:tc>
          <w:tcPr>
            <w:tcW w:type="dxa" w:w="1728"/>
          </w:tcPr>
          <w:p>
            <w:r>
              <w:rPr>
                <w:rFonts w:ascii="Calibri" w:hAnsi="Calibri"/>
                <w:sz w:val="22"/>
              </w:rPr>
              <w:t>DHI</w:t>
            </w:r>
          </w:p>
        </w:tc>
        <w:tc>
          <w:tcPr>
            <w:tcW w:type="dxa" w:w="1728"/>
          </w:tcPr>
          <w:p>
            <w:r>
              <w:rPr>
                <w:rFonts w:ascii="Calibri" w:hAnsi="Calibri"/>
                <w:sz w:val="22"/>
              </w:rPr>
              <w:t>Q3 FY2026</w:t>
            </w:r>
          </w:p>
        </w:tc>
        <w:tc>
          <w:tcPr>
            <w:tcW w:type="dxa" w:w="1728"/>
          </w:tcPr>
          <w:p>
            <w:r>
              <w:rPr>
                <w:rFonts w:ascii="Calibri" w:hAnsi="Calibri"/>
                <w:sz w:val="22"/>
              </w:rPr>
              <w:t>New construction softening; affordability constraints; cautious consumer confidence</w:t>
            </w:r>
          </w:p>
        </w:tc>
        <w:tc>
          <w:tcPr>
            <w:tcW w:type="dxa" w:w="1728"/>
          </w:tcPr>
          <w:p>
            <w:r>
              <w:rPr>
                <w:rFonts w:ascii="Calibri" w:hAnsi="Calibri"/>
                <w:b/>
                <w:sz w:val="22"/>
              </w:rPr>
              <w:t>Negative</w:t>
            </w:r>
          </w:p>
        </w:tc>
        <w:tc>
          <w:tcPr>
            <w:tcW w:type="dxa" w:w="1728"/>
          </w:tcPr>
          <w:p>
            <w:r>
              <w:rPr>
                <w:rFonts w:ascii="Calibri" w:hAnsi="Calibri"/>
                <w:sz w:val="22"/>
              </w:rPr>
              <w:t>Low-Medium</w:t>
            </w:r>
          </w:p>
        </w:tc>
      </w:tr>
    </w:tbl>
    <w:p>
      <w:r>
        <w:rPr>
          <w:rFonts w:ascii="Calibri" w:hAnsi="Calibri"/>
          <w:b/>
          <w:color w:val="525866"/>
          <w:sz w:val="22"/>
        </w:rPr>
        <w:t xml:space="preserve">Overall peer read-through: </w:t>
      </w:r>
      <w:r>
        <w:rPr>
          <w:rFonts w:ascii="Calibri" w:hAnsi="Calibri"/>
          <w:color w:val="525866"/>
          <w:sz w:val="22"/>
        </w:rPr>
        <w:t>The Q2 2026 peer earnings broadly validate AOS's setup — residential demand is soft but stabilizing, China residential remains deeply challenged with no near-term recovery, pricing discipline is holding across the industry, and cost headwinds (steel, freight) are real but manageable with pricing. The most important divergence is LII's commercial HVAC acceleration, which does not translate directly to AOS's commercial WH business given the DOE enforcement delay. Net-net, peers suggest AOS's Q2 guidance is achievable but upside is limited without a China catalyst.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Q1 earnings print is minimal — the only disclosed transaction is a routine RSU grant to the CFO. There are no open-market purchases or discretionary sales, which is neither a positive nor negative signal. The absence of insider buying following the stock's post-Q1 selloff is notable but not alarming given the ongoing China strategic assessment (which may restrict trading windows).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Anderson, Carrie L.</w:t>
            </w:r>
          </w:p>
        </w:tc>
        <w:tc>
          <w:tcPr>
            <w:tcW w:type="dxa" w:w="1440"/>
          </w:tcPr>
          <w:p>
            <w:r>
              <w:rPr>
                <w:rFonts w:ascii="Calibri" w:hAnsi="Calibri"/>
                <w:sz w:val="22"/>
              </w:rPr>
              <w:t>EVP &amp; CFO</w:t>
            </w:r>
          </w:p>
        </w:tc>
        <w:tc>
          <w:tcPr>
            <w:tcW w:type="dxa" w:w="1440"/>
          </w:tcPr>
          <w:p>
            <w:r>
              <w:rPr>
                <w:rFonts w:ascii="Calibri" w:hAnsi="Calibri"/>
                <w:sz w:val="22"/>
              </w:rPr>
              <w:t>RSU Grant (Acquisition — Code A)</w:t>
            </w:r>
          </w:p>
        </w:tc>
        <w:tc>
          <w:tcPr>
            <w:tcW w:type="dxa" w:w="1440"/>
          </w:tcPr>
          <w:p>
            <w:r>
              <w:rPr>
                <w:rFonts w:ascii="Calibri" w:hAnsi="Calibri"/>
                <w:sz w:val="22"/>
              </w:rPr>
              <w:t>32,060 RSUs</w:t>
            </w:r>
          </w:p>
        </w:tc>
        <w:tc>
          <w:tcPr>
            <w:tcW w:type="dxa" w:w="1440"/>
          </w:tcPr>
          <w:p>
            <w:r>
              <w:rPr>
                <w:rFonts w:ascii="Calibri" w:hAnsi="Calibri"/>
                <w:sz w:val="22"/>
              </w:rPr>
              <w:t>July 1, 2026</w:t>
            </w:r>
          </w:p>
        </w:tc>
        <w:tc>
          <w:tcPr>
            <w:tcW w:type="dxa" w:w="1440"/>
          </w:tcPr>
          <w:p>
            <w:r>
              <w:rPr>
                <w:rFonts w:ascii="Calibri" w:hAnsi="Calibri"/>
                <w:sz w:val="22"/>
              </w:rPr>
              <w:t>Routine equity compensation grant; not an open-market purchase. Direct ownership. No 10b5-1 plan.</w:t>
            </w:r>
          </w:p>
        </w:tc>
      </w:tr>
    </w:tbl>
    <w:p>
      <w:r>
        <w:rPr>
          <w:rFonts w:ascii="Calibri" w:hAnsi="Calibri"/>
          <w:i/>
          <w:color w:val="525866"/>
          <w:sz w:val="22"/>
        </w:rPr>
        <w:t>Source: SEC Form 4 Filings Database (Insider Transaction Data). Window: April 30, 2026 – July 29, 2026. Only open-market buys (Code P) and sells (Code S) plus 10b5-1 plan initiations are flagged as signals; the RSU grant above (Code A) is routine compensation and carries no directional signal. No open-market purchases or discretionary sales were filed in the period.</w:t>
      </w:r>
    </w:p>
    <w:p>
      <w:r>
        <w:rPr>
          <w:rFonts w:ascii="Calibri" w:hAnsi="Calibri"/>
          <w:color w:val="525866"/>
          <w:sz w:val="22"/>
        </w:rPr>
        <w:t>No open-market insider purchases or sales were recorded since the Q1 2026 earnings print. The absence of buying after a ~3% stock decline from pre-earnings levels is worth monitoring but is not unusual given the ongoing China strategic assessment, which may restrict insiders from trading during the evaluation period. Investors should watch for any Form 4 filings around the earnings date for signals on management conviction.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