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 O. Smith Corporation (AOS)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 O. Smith Corporation</w:t>
            </w:r>
          </w:p>
        </w:tc>
      </w:tr>
      <w:tr>
        <w:tc>
          <w:tcPr>
            <w:tcW w:type="dxa" w:w="4320"/>
          </w:tcPr>
          <w:p>
            <w:r>
              <w:rPr>
                <w:rFonts w:ascii="Calibri" w:hAnsi="Calibri"/>
                <w:b/>
                <w:sz w:val="22"/>
              </w:rPr>
              <w:t>Ticker</w:t>
            </w:r>
          </w:p>
        </w:tc>
        <w:tc>
          <w:tcPr>
            <w:tcW w:type="dxa" w:w="4320"/>
          </w:tcPr>
          <w:p>
            <w:r>
              <w:rPr>
                <w:rFonts w:ascii="Calibri" w:hAnsi="Calibri"/>
                <w:sz w:val="22"/>
              </w:rPr>
              <w:t>AOS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10:00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mixed-to-cautiously-constructive — consensus has been revised sharply lower since Q1 and now sits at a manageable bar, but the single biggest swing factor is whether China deterioration has bottomed or continues to surprise to the downside.</w:t>
      </w:r>
    </w:p>
    <w:p>
      <w:r>
        <w:rPr>
          <w:rFonts w:ascii="Calibri" w:hAnsi="Calibri"/>
          <w:color w:val="525866"/>
          <w:sz w:val="22"/>
        </w:rPr>
        <w:t xml:space="preserve">Heading into the Q2 2026 print, the </w:t>
      </w:r>
      <w:r>
        <w:rPr>
          <w:rFonts w:ascii="Calibri" w:hAnsi="Calibri"/>
          <w:b/>
          <w:color w:val="525866"/>
          <w:sz w:val="22"/>
        </w:rPr>
        <w:t>bar is low</w:t>
      </w:r>
      <w:r>
        <w:rPr>
          <w:rFonts w:ascii="Calibri" w:hAnsi="Calibri"/>
          <w:color w:val="525866"/>
          <w:sz w:val="22"/>
        </w:rPr>
        <w:t xml:space="preserve"> by historical standards: consensus adjusted EPS of ~$0.96 represents a meaningful step-down from Q2 2025's $1.07 actual, and estimates have been cut from ~$1.15 in mid-2025 to ~$0.84 today — a ~27% reduction over twelve months. Management's </w:t>
      </w:r>
      <w:r>
        <w:rPr>
          <w:rFonts w:ascii="Calibri" w:hAnsi="Calibri"/>
          <w:b/>
          <w:color w:val="525866"/>
          <w:sz w:val="22"/>
        </w:rPr>
        <w:t>tone at Q1 was cautious but not panicked</w:t>
      </w:r>
      <w:r>
        <w:rPr>
          <w:rFonts w:ascii="Calibri" w:hAnsi="Calibri"/>
          <w:color w:val="525866"/>
          <w:sz w:val="22"/>
        </w:rPr>
        <w:t xml:space="preserve">: the company guided Q2 EPS at roughly 25% of the full-year midpoint (~$0.93), flagged China sales down ~15% sequentially in local currency, and noted some pricing pull-forward benefit in Q2 ahead of the mid-May price increase effective date. </w:t>
      </w:r>
      <w:r>
        <w:rPr>
          <w:rFonts w:ascii="Calibri" w:hAnsi="Calibri"/>
          <w:b/>
          <w:color w:val="525866"/>
          <w:sz w:val="22"/>
        </w:rPr>
        <w:t>Estimate trajectory has stabilized</w:t>
      </w:r>
      <w:r>
        <w:rPr>
          <w:rFonts w:ascii="Calibri" w:hAnsi="Calibri"/>
          <w:color w:val="525866"/>
          <w:sz w:val="22"/>
        </w:rPr>
        <w:t xml:space="preserve"> since the Q1 print — the April guidance cut drove the bulk of the revision, and the July consensus of ~$0.84 is only modestly below the May post-print level of ~$0.86, suggesting the street has largely digested the reset. </w:t>
      </w:r>
      <w:r>
        <w:rPr>
          <w:rFonts w:ascii="Calibri" w:hAnsi="Calibri"/>
          <w:b/>
          <w:color w:val="525866"/>
          <w:sz w:val="22"/>
        </w:rPr>
        <w:t>The stock is down ~12% over the past six months</w:t>
      </w:r>
      <w:r>
        <w:rPr>
          <w:rFonts w:ascii="Calibri" w:hAnsi="Calibri"/>
          <w:color w:val="525866"/>
          <w:sz w:val="22"/>
        </w:rPr>
        <w:t xml:space="preserve"> and trades at ~16x NTM P/E, a discount to its own history and to industrial peers, reflecting China overhang and limited organic growth visibility — the multiple is not stretched, meaning a clean beat could drive a re-rate. The </w:t>
      </w:r>
      <w:r>
        <w:rPr>
          <w:rFonts w:ascii="Calibri" w:hAnsi="Calibri"/>
          <w:b/>
          <w:color w:val="525866"/>
          <w:sz w:val="22"/>
        </w:rPr>
        <w:t>key wildcard is China</w:t>
      </w:r>
      <w:r>
        <w:rPr>
          <w:rFonts w:ascii="Calibri" w:hAnsi="Calibri"/>
          <w:color w:val="525866"/>
          <w:sz w:val="22"/>
        </w:rPr>
        <w:t>: management guided Q2 China sales down ~15% sequentially in local currency with 35–40% decremental margins, and any update on the strategic assessment timeline (promised within 'a few months' on the Q1 call) could be the most market-moving element of the print regardless of the headline EPS number.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on EPS (~$0.96 vs. $1.07 a year ago) after a ~27% downward revision cycle; North America segment margin is the bigger swing factor — pricing pull-forward benefit in Q2 should support the NA margin, but China revenue is the key risk to the downside.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$945.6M</w:t>
            </w:r>
          </w:p>
        </w:tc>
        <w:tc>
          <w:tcPr>
            <w:tcW w:type="dxa" w:w="1234"/>
          </w:tcPr>
          <w:p>
            <w:r>
              <w:rPr>
                <w:rFonts w:ascii="Calibri" w:hAnsi="Calibri"/>
                <w:sz w:val="22"/>
              </w:rPr>
              <w:t>$1,011.3M</w:t>
            </w:r>
          </w:p>
        </w:tc>
        <w:tc>
          <w:tcPr>
            <w:tcW w:type="dxa" w:w="1234"/>
          </w:tcPr>
          <w:p>
            <w:r>
              <w:rPr>
                <w:rFonts w:ascii="Calibri" w:hAnsi="Calibri"/>
                <w:sz w:val="22"/>
              </w:rPr>
              <w:t>$990.2M</w:t>
            </w:r>
          </w:p>
        </w:tc>
        <w:tc>
          <w:tcPr>
            <w:tcW w:type="dxa" w:w="1234"/>
          </w:tcPr>
          <w:p>
            <w:r>
              <w:rPr>
                <w:rFonts w:ascii="Calibri" w:hAnsi="Calibri"/>
                <w:b/>
                <w:color w:val="E5484D"/>
                <w:sz w:val="22"/>
              </w:rPr>
              <w:t>-2.1% YoY</w:t>
            </w:r>
          </w:p>
        </w:tc>
        <w:tc>
          <w:tcPr>
            <w:tcW w:type="dxa" w:w="1234"/>
          </w:tcPr>
          <w:p>
            <w:r>
              <w:rPr>
                <w:rFonts w:ascii="Calibri" w:hAnsi="Calibri"/>
                <w:sz w:val="22"/>
              </w:rPr>
              <w:t>$3,900–$4,000M (FY)</w:t>
            </w:r>
          </w:p>
        </w:tc>
        <w:tc>
          <w:tcPr>
            <w:tcW w:type="dxa" w:w="1234"/>
          </w:tcPr>
          <w:p>
            <w:r>
              <w:rPr>
                <w:rFonts w:ascii="Calibri" w:hAnsi="Calibri"/>
                <w:sz w:val="22"/>
              </w:rPr>
              <w:t>Tracking ~$3.91B FY; within range</w:t>
            </w:r>
          </w:p>
        </w:tc>
      </w:tr>
      <w:tr>
        <w:tc>
          <w:tcPr>
            <w:tcW w:type="dxa" w:w="1234"/>
          </w:tcPr>
          <w:p>
            <w:r>
              <w:rPr>
                <w:rFonts w:ascii="Calibri" w:hAnsi="Calibri"/>
                <w:sz w:val="22"/>
              </w:rPr>
              <w:t>Adj. EPS — Diluted ($)</w:t>
            </w:r>
          </w:p>
        </w:tc>
        <w:tc>
          <w:tcPr>
            <w:tcW w:type="dxa" w:w="1234"/>
          </w:tcPr>
          <w:p>
            <w:r>
              <w:rPr>
                <w:rFonts w:ascii="Calibri" w:hAnsi="Calibri"/>
                <w:sz w:val="22"/>
              </w:rPr>
              <w:t>$0.85</w:t>
            </w:r>
          </w:p>
        </w:tc>
        <w:tc>
          <w:tcPr>
            <w:tcW w:type="dxa" w:w="1234"/>
          </w:tcPr>
          <w:p>
            <w:r>
              <w:rPr>
                <w:rFonts w:ascii="Calibri" w:hAnsi="Calibri"/>
                <w:sz w:val="22"/>
              </w:rPr>
              <w:t>$1.07</w:t>
            </w:r>
          </w:p>
        </w:tc>
        <w:tc>
          <w:tcPr>
            <w:tcW w:type="dxa" w:w="1234"/>
          </w:tcPr>
          <w:p>
            <w:r>
              <w:rPr>
                <w:rFonts w:ascii="Calibri" w:hAnsi="Calibri"/>
                <w:sz w:val="22"/>
              </w:rPr>
              <w:t>$0.96</w:t>
            </w:r>
          </w:p>
        </w:tc>
        <w:tc>
          <w:tcPr>
            <w:tcW w:type="dxa" w:w="1234"/>
          </w:tcPr>
          <w:p>
            <w:r>
              <w:rPr>
                <w:rFonts w:ascii="Calibri" w:hAnsi="Calibri"/>
                <w:b/>
                <w:color w:val="E5484D"/>
                <w:sz w:val="22"/>
              </w:rPr>
              <w:t>-10.3% YoY</w:t>
            </w:r>
          </w:p>
        </w:tc>
        <w:tc>
          <w:tcPr>
            <w:tcW w:type="dxa" w:w="1234"/>
          </w:tcPr>
          <w:p>
            <w:r>
              <w:rPr>
                <w:rFonts w:ascii="Calibri" w:hAnsi="Calibri"/>
                <w:sz w:val="22"/>
              </w:rPr>
              <w:t>$3.70–$4.00 (FY adj.)</w:t>
            </w:r>
          </w:p>
        </w:tc>
        <w:tc>
          <w:tcPr>
            <w:tcW w:type="dxa" w:w="1234"/>
          </w:tcPr>
          <w:p>
            <w:r>
              <w:rPr>
                <w:rFonts w:ascii="Calibri" w:hAnsi="Calibri"/>
                <w:sz w:val="22"/>
              </w:rPr>
              <w:t>~25% of FY midpoint ($0.93); consensus slightly above</w:t>
            </w:r>
          </w:p>
        </w:tc>
      </w:tr>
      <w:tr>
        <w:tc>
          <w:tcPr>
            <w:tcW w:type="dxa" w:w="1234"/>
          </w:tcPr>
          <w:p>
            <w:r>
              <w:rPr>
                <w:rFonts w:ascii="Calibri" w:hAnsi="Calibri"/>
                <w:sz w:val="22"/>
              </w:rPr>
              <w:t>Revenue — North America ($M)</w:t>
            </w:r>
          </w:p>
        </w:tc>
        <w:tc>
          <w:tcPr>
            <w:tcW w:type="dxa" w:w="1234"/>
          </w:tcPr>
          <w:p>
            <w:r>
              <w:rPr>
                <w:rFonts w:ascii="Calibri" w:hAnsi="Calibri"/>
                <w:sz w:val="22"/>
              </w:rPr>
              <w:t>$753.4M</w:t>
            </w:r>
          </w:p>
        </w:tc>
        <w:tc>
          <w:tcPr>
            <w:tcW w:type="dxa" w:w="1234"/>
          </w:tcPr>
          <w:p>
            <w:r>
              <w:rPr>
                <w:rFonts w:ascii="Calibri" w:hAnsi="Calibri"/>
                <w:sz w:val="22"/>
              </w:rPr>
              <w:t>$779.0M</w:t>
            </w:r>
          </w:p>
        </w:tc>
        <w:tc>
          <w:tcPr>
            <w:tcW w:type="dxa" w:w="1234"/>
          </w:tcPr>
          <w:p>
            <w:r>
              <w:rPr>
                <w:rFonts w:ascii="Calibri" w:hAnsi="Calibri"/>
                <w:sz w:val="22"/>
              </w:rPr>
              <w:t>$814.7M</w:t>
            </w:r>
          </w:p>
        </w:tc>
        <w:tc>
          <w:tcPr>
            <w:tcW w:type="dxa" w:w="1234"/>
          </w:tcPr>
          <w:p>
            <w:r>
              <w:rPr>
                <w:rFonts w:ascii="Calibri" w:hAnsi="Calibri"/>
                <w:b/>
                <w:color w:val="30A46C"/>
                <w:sz w:val="22"/>
              </w:rPr>
              <w:t>+4.6% YoY</w:t>
            </w:r>
          </w:p>
        </w:tc>
        <w:tc>
          <w:tcPr>
            <w:tcW w:type="dxa" w:w="1234"/>
          </w:tcPr>
          <w:p>
            <w:r>
              <w:rPr>
                <w:rFonts w:ascii="Calibri" w:hAnsi="Calibri"/>
                <w:sz w:val="22"/>
              </w:rPr>
              <w:t>NA boilers +6–8%; water treatment +5–6%</w:t>
            </w:r>
          </w:p>
        </w:tc>
        <w:tc>
          <w:tcPr>
            <w:tcW w:type="dxa" w:w="1234"/>
          </w:tcPr>
          <w:p>
            <w:r>
              <w:rPr>
                <w:rFonts w:ascii="Calibri" w:hAnsi="Calibri"/>
                <w:sz w:val="22"/>
              </w:rPr>
              <w:t>Consensus above Q2 2025 actual; pricing pull-forward benefit</w:t>
            </w:r>
          </w:p>
        </w:tc>
      </w:tr>
      <w:tr>
        <w:tc>
          <w:tcPr>
            <w:tcW w:type="dxa" w:w="1234"/>
          </w:tcPr>
          <w:p>
            <w:r>
              <w:rPr>
                <w:rFonts w:ascii="Calibri" w:hAnsi="Calibri"/>
                <w:sz w:val="22"/>
              </w:rPr>
              <w:t>Revenue — China ($M)</w:t>
            </w:r>
          </w:p>
        </w:tc>
        <w:tc>
          <w:tcPr>
            <w:tcW w:type="dxa" w:w="1234"/>
          </w:tcPr>
          <w:p>
            <w:r>
              <w:rPr>
                <w:rFonts w:ascii="Calibri" w:hAnsi="Calibri"/>
                <w:sz w:val="22"/>
              </w:rPr>
              <w:t>$162.4M</w:t>
            </w:r>
          </w:p>
        </w:tc>
        <w:tc>
          <w:tcPr>
            <w:tcW w:type="dxa" w:w="1234"/>
          </w:tcPr>
          <w:p>
            <w:r>
              <w:rPr>
                <w:rFonts w:ascii="Calibri" w:hAnsi="Calibri"/>
                <w:sz w:val="22"/>
              </w:rPr>
              <w:t>$192.3M</w:t>
            </w:r>
          </w:p>
        </w:tc>
        <w:tc>
          <w:tcPr>
            <w:tcW w:type="dxa" w:w="1234"/>
          </w:tcPr>
          <w:p>
            <w:r>
              <w:rPr>
                <w:rFonts w:ascii="Calibri" w:hAnsi="Calibri"/>
                <w:sz w:val="22"/>
              </w:rPr>
              <w:t>$138.0M</w:t>
            </w:r>
          </w:p>
        </w:tc>
        <w:tc>
          <w:tcPr>
            <w:tcW w:type="dxa" w:w="1234"/>
          </w:tcPr>
          <w:p>
            <w:r>
              <w:rPr>
                <w:rFonts w:ascii="Calibri" w:hAnsi="Calibri"/>
                <w:b/>
                <w:color w:val="E5484D"/>
                <w:sz w:val="22"/>
              </w:rPr>
              <w:t>-28.2% YoY</w:t>
            </w:r>
          </w:p>
        </w:tc>
        <w:tc>
          <w:tcPr>
            <w:tcW w:type="dxa" w:w="1234"/>
          </w:tcPr>
          <w:p>
            <w:r>
              <w:rPr>
                <w:rFonts w:ascii="Calibri" w:hAnsi="Calibri"/>
                <w:sz w:val="22"/>
              </w:rPr>
              <w:t>Down low-double digits in local currency FY</w:t>
            </w:r>
          </w:p>
        </w:tc>
        <w:tc>
          <w:tcPr>
            <w:tcW w:type="dxa" w:w="1234"/>
          </w:tcPr>
          <w:p>
            <w:r>
              <w:rPr>
                <w:rFonts w:ascii="Calibri" w:hAnsi="Calibri"/>
                <w:sz w:val="22"/>
              </w:rPr>
              <w:t>Guided ~15% sequential decline from Q1; consensus ~$138M implies ~-15% QoQ</w:t>
            </w:r>
          </w:p>
        </w:tc>
      </w:tr>
      <w:tr>
        <w:tc>
          <w:tcPr>
            <w:tcW w:type="dxa" w:w="1234"/>
          </w:tcPr>
          <w:p>
            <w:r>
              <w:rPr>
                <w:rFonts w:ascii="Calibri" w:hAnsi="Calibri"/>
                <w:sz w:val="22"/>
              </w:rPr>
              <w:t>NA Segment EBIT Margin — Operating (%)</w:t>
            </w:r>
          </w:p>
        </w:tc>
        <w:tc>
          <w:tcPr>
            <w:tcW w:type="dxa" w:w="1234"/>
          </w:tcPr>
          <w:p>
            <w:r>
              <w:rPr>
                <w:rFonts w:ascii="Calibri" w:hAnsi="Calibri"/>
                <w:sz w:val="22"/>
              </w:rPr>
              <w:t>23.3%</w:t>
            </w:r>
          </w:p>
        </w:tc>
        <w:tc>
          <w:tcPr>
            <w:tcW w:type="dxa" w:w="1234"/>
          </w:tcPr>
          <w:p>
            <w:r>
              <w:rPr>
                <w:rFonts w:ascii="Calibri" w:hAnsi="Calibri"/>
                <w:sz w:val="22"/>
              </w:rPr>
              <w:t>25.4%</w:t>
            </w:r>
          </w:p>
        </w:tc>
        <w:tc>
          <w:tcPr>
            <w:tcW w:type="dxa" w:w="1234"/>
          </w:tcPr>
          <w:p>
            <w:r>
              <w:rPr>
                <w:rFonts w:ascii="Calibri" w:hAnsi="Calibri"/>
                <w:sz w:val="22"/>
              </w:rPr>
              <w:t>24.0%</w:t>
            </w:r>
          </w:p>
        </w:tc>
        <w:tc>
          <w:tcPr>
            <w:tcW w:type="dxa" w:w="1234"/>
          </w:tcPr>
          <w:p>
            <w:r>
              <w:rPr>
                <w:rFonts w:ascii="Calibri" w:hAnsi="Calibri"/>
                <w:b/>
                <w:color w:val="E5484D"/>
                <w:sz w:val="22"/>
              </w:rPr>
              <w:t>-140 bps YoY</w:t>
            </w:r>
          </w:p>
        </w:tc>
        <w:tc>
          <w:tcPr>
            <w:tcW w:type="dxa" w:w="1234"/>
          </w:tcPr>
          <w:p>
            <w:r>
              <w:rPr>
                <w:rFonts w:ascii="Calibri" w:hAnsi="Calibri"/>
                <w:sz w:val="22"/>
              </w:rPr>
              <w:t>~24% for FY 2026</w:t>
            </w:r>
          </w:p>
        </w:tc>
        <w:tc>
          <w:tcPr>
            <w:tcW w:type="dxa" w:w="1234"/>
          </w:tcPr>
          <w:p>
            <w:r>
              <w:rPr>
                <w:rFonts w:ascii="Calibri" w:hAnsi="Calibri"/>
                <w:sz w:val="22"/>
              </w:rPr>
              <w:t>Consensus at guidance midpoint; pricing pull-forward a modest tailwind</w:t>
            </w:r>
          </w:p>
        </w:tc>
      </w:tr>
      <w:tr>
        <w:tc>
          <w:tcPr>
            <w:tcW w:type="dxa" w:w="1234"/>
          </w:tcPr>
          <w:p>
            <w:r>
              <w:rPr>
                <w:rFonts w:ascii="Calibri" w:hAnsi="Calibri"/>
                <w:sz w:val="22"/>
              </w:rPr>
              <w:t>Total EBIT Margin — Operating (%)</w:t>
            </w:r>
          </w:p>
        </w:tc>
        <w:tc>
          <w:tcPr>
            <w:tcW w:type="dxa" w:w="1234"/>
          </w:tcPr>
          <w:p>
            <w:r>
              <w:rPr>
                <w:rFonts w:ascii="Calibri" w:hAnsi="Calibri"/>
                <w:sz w:val="22"/>
              </w:rPr>
              <w:t>17.1%</w:t>
            </w:r>
          </w:p>
        </w:tc>
        <w:tc>
          <w:tcPr>
            <w:tcW w:type="dxa" w:w="1234"/>
          </w:tcPr>
          <w:p>
            <w:r>
              <w:rPr>
                <w:rFonts w:ascii="Calibri" w:hAnsi="Calibri"/>
                <w:sz w:val="22"/>
              </w:rPr>
              <w:t>20.4%</w:t>
            </w:r>
          </w:p>
        </w:tc>
        <w:tc>
          <w:tcPr>
            <w:tcW w:type="dxa" w:w="1234"/>
          </w:tcPr>
          <w:p>
            <w:r>
              <w:rPr>
                <w:rFonts w:ascii="Calibri" w:hAnsi="Calibri"/>
                <w:sz w:val="22"/>
              </w:rPr>
              <w:t>18.4%</w:t>
            </w:r>
          </w:p>
        </w:tc>
        <w:tc>
          <w:tcPr>
            <w:tcW w:type="dxa" w:w="1234"/>
          </w:tcPr>
          <w:p>
            <w:r>
              <w:rPr>
                <w:rFonts w:ascii="Calibri" w:hAnsi="Calibri"/>
                <w:b/>
                <w:color w:val="E5484D"/>
                <w:sz w:val="22"/>
              </w:rPr>
              <w:t>-200 bps YoY</w:t>
            </w:r>
          </w:p>
        </w:tc>
        <w:tc>
          <w:tcPr>
            <w:tcW w:type="dxa" w:w="1234"/>
          </w:tcPr>
          <w:p>
            <w:r>
              <w:rPr>
                <w:rFonts w:ascii="Calibri" w:hAnsi="Calibri"/>
                <w:sz w:val="22"/>
              </w:rPr>
              <w:t>N/A (segment-level guided)</w:t>
            </w:r>
          </w:p>
        </w:tc>
        <w:tc>
          <w:tcPr>
            <w:tcW w:type="dxa" w:w="1234"/>
          </w:tcPr>
          <w:p>
            <w:r>
              <w:rPr>
                <w:rFonts w:ascii="Calibri" w:hAnsi="Calibri"/>
                <w:sz w:val="22"/>
              </w:rPr>
              <w:t>Recovery from Q1 trough driven by NA pricing; China drag persists</w:t>
            </w:r>
          </w:p>
        </w:tc>
      </w:tr>
      <w:tr>
        <w:tc>
          <w:tcPr>
            <w:tcW w:type="dxa" w:w="1234"/>
          </w:tcPr>
          <w:p>
            <w:r>
              <w:rPr>
                <w:rFonts w:ascii="Calibri" w:hAnsi="Calibri"/>
                <w:sz w:val="22"/>
              </w:rPr>
              <w:t>Free Cash Flow ($M)</w:t>
            </w:r>
          </w:p>
        </w:tc>
        <w:tc>
          <w:tcPr>
            <w:tcW w:type="dxa" w:w="1234"/>
          </w:tcPr>
          <w:p>
            <w:r>
              <w:rPr>
                <w:rFonts w:ascii="Calibri" w:hAnsi="Calibri"/>
                <w:sz w:val="22"/>
              </w:rPr>
              <w:t>$118.9M</w:t>
            </w:r>
          </w:p>
        </w:tc>
        <w:tc>
          <w:tcPr>
            <w:tcW w:type="dxa" w:w="1234"/>
          </w:tcPr>
          <w:p>
            <w:r>
              <w:rPr>
                <w:rFonts w:ascii="Calibri" w:hAnsi="Calibri"/>
                <w:sz w:val="22"/>
              </w:rPr>
              <w:t>$122.5M</w:t>
            </w:r>
          </w:p>
        </w:tc>
        <w:tc>
          <w:tcPr>
            <w:tcW w:type="dxa" w:w="1234"/>
          </w:tcPr>
          <w:p>
            <w:r>
              <w:rPr>
                <w:rFonts w:ascii="Calibri" w:hAnsi="Calibri"/>
                <w:sz w:val="22"/>
              </w:rPr>
              <w:t>$106.6M</w:t>
            </w:r>
          </w:p>
        </w:tc>
        <w:tc>
          <w:tcPr>
            <w:tcW w:type="dxa" w:w="1234"/>
          </w:tcPr>
          <w:p>
            <w:r>
              <w:rPr>
                <w:rFonts w:ascii="Calibri" w:hAnsi="Calibri"/>
                <w:sz w:val="22"/>
              </w:rPr>
              <w:t>-13.0% YoY</w:t>
            </w:r>
          </w:p>
        </w:tc>
        <w:tc>
          <w:tcPr>
            <w:tcW w:type="dxa" w:w="1234"/>
          </w:tcPr>
          <w:p>
            <w:r>
              <w:rPr>
                <w:rFonts w:ascii="Calibri" w:hAnsi="Calibri"/>
                <w:sz w:val="22"/>
              </w:rPr>
              <w:t>$525–$575M (FY)</w:t>
            </w:r>
          </w:p>
        </w:tc>
        <w:tc>
          <w:tcPr>
            <w:tcW w:type="dxa" w:w="1234"/>
          </w:tcPr>
          <w:p>
            <w:r>
              <w:rPr>
                <w:rFonts w:ascii="Calibri" w:hAnsi="Calibri"/>
                <w:sz w:val="22"/>
              </w:rPr>
              <w:t>Tracking to FY midpoint; strong working capital management</w:t>
            </w:r>
          </w:p>
        </w:tc>
      </w:tr>
    </w:tbl>
    <w:p>
      <w:r>
        <w:rPr>
          <w:rFonts w:ascii="Calibri" w:hAnsi="Calibri"/>
          <w:i/>
          <w:color w:val="525866"/>
          <w:sz w:val="22"/>
        </w:rPr>
        <w:t>Sources: Visible Alpha consensus and actuals data. All consensus figures as of July 29, 2026. Q2 2026 guidance per Q1 2026 earnings call (April 30, 2026). FY 2026 guidance per Q1 2026 earnings release.</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$902.6M</w:t>
            </w:r>
          </w:p>
        </w:tc>
        <w:tc>
          <w:tcPr>
            <w:tcW w:type="dxa" w:w="1728"/>
          </w:tcPr>
          <w:p>
            <w:r>
              <w:rPr>
                <w:rFonts w:ascii="Calibri" w:hAnsi="Calibri"/>
                <w:sz w:val="22"/>
              </w:rPr>
              <w:t>$913.6M</w:t>
            </w:r>
          </w:p>
        </w:tc>
        <w:tc>
          <w:tcPr>
            <w:tcW w:type="dxa" w:w="1728"/>
          </w:tcPr>
          <w:p>
            <w:r>
              <w:rPr>
                <w:rFonts w:ascii="Calibri" w:hAnsi="Calibri"/>
                <w:b/>
                <w:color w:val="E5484D"/>
                <w:sz w:val="22"/>
              </w:rPr>
              <w:t>-1.2%</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$912.4M</w:t>
            </w:r>
          </w:p>
        </w:tc>
        <w:tc>
          <w:tcPr>
            <w:tcW w:type="dxa" w:w="1728"/>
          </w:tcPr>
          <w:p>
            <w:r>
              <w:rPr>
                <w:rFonts w:ascii="Calibri" w:hAnsi="Calibri"/>
                <w:sz w:val="22"/>
              </w:rPr>
              <w:t>$957.1M</w:t>
            </w:r>
          </w:p>
        </w:tc>
        <w:tc>
          <w:tcPr>
            <w:tcW w:type="dxa" w:w="1728"/>
          </w:tcPr>
          <w:p>
            <w:r>
              <w:rPr>
                <w:rFonts w:ascii="Calibri" w:hAnsi="Calibri"/>
                <w:b/>
                <w:color w:val="E5484D"/>
                <w:sz w:val="22"/>
              </w:rPr>
              <w:t>-4.7%</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$963.9M</w:t>
            </w:r>
          </w:p>
        </w:tc>
        <w:tc>
          <w:tcPr>
            <w:tcW w:type="dxa" w:w="1728"/>
          </w:tcPr>
          <w:p>
            <w:r>
              <w:rPr>
                <w:rFonts w:ascii="Calibri" w:hAnsi="Calibri"/>
                <w:sz w:val="22"/>
              </w:rPr>
              <w:t>$953.7M</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$1,011.3M</w:t>
            </w:r>
          </w:p>
        </w:tc>
        <w:tc>
          <w:tcPr>
            <w:tcW w:type="dxa" w:w="1728"/>
          </w:tcPr>
          <w:p>
            <w:r>
              <w:rPr>
                <w:rFonts w:ascii="Calibri" w:hAnsi="Calibri"/>
                <w:sz w:val="22"/>
              </w:rPr>
              <w:t>$999.3M</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$942.5M</w:t>
            </w:r>
          </w:p>
        </w:tc>
        <w:tc>
          <w:tcPr>
            <w:tcW w:type="dxa" w:w="1728"/>
          </w:tcPr>
          <w:p>
            <w:r>
              <w:rPr>
                <w:rFonts w:ascii="Calibri" w:hAnsi="Calibri"/>
                <w:sz w:val="22"/>
              </w:rPr>
              <w:t>$947.1M</w:t>
            </w:r>
          </w:p>
        </w:tc>
        <w:tc>
          <w:tcPr>
            <w:tcW w:type="dxa" w:w="1728"/>
          </w:tcPr>
          <w:p>
            <w:r>
              <w:rPr>
                <w:rFonts w:ascii="Calibri" w:hAnsi="Calibri"/>
                <w:b/>
                <w:color w:val="E5484D"/>
                <w:sz w:val="22"/>
              </w:rPr>
              <w:t>-0.5%</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$912.5M</w:t>
            </w:r>
          </w:p>
        </w:tc>
        <w:tc>
          <w:tcPr>
            <w:tcW w:type="dxa" w:w="1728"/>
          </w:tcPr>
          <w:p>
            <w:r>
              <w:rPr>
                <w:rFonts w:ascii="Calibri" w:hAnsi="Calibri"/>
                <w:sz w:val="22"/>
              </w:rPr>
              <w:t>$926.8M</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$945.6M</w:t>
            </w:r>
          </w:p>
        </w:tc>
        <w:tc>
          <w:tcPr>
            <w:tcW w:type="dxa" w:w="1728"/>
          </w:tcPr>
          <w:p>
            <w:r>
              <w:rPr>
                <w:rFonts w:ascii="Calibri" w:hAnsi="Calibri"/>
                <w:sz w:val="22"/>
              </w:rPr>
              <w:t>$979.5M</w:t>
            </w:r>
          </w:p>
        </w:tc>
        <w:tc>
          <w:tcPr>
            <w:tcW w:type="dxa" w:w="1728"/>
          </w:tcPr>
          <w:p>
            <w:r>
              <w:rPr>
                <w:rFonts w:ascii="Calibri" w:hAnsi="Calibri"/>
                <w:b/>
                <w:color w:val="E5484D"/>
                <w:sz w:val="22"/>
              </w:rPr>
              <w:t>-3.5%</w:t>
            </w:r>
          </w:p>
        </w:tc>
        <w:tc>
          <w:tcPr>
            <w:tcW w:type="dxa" w:w="1728"/>
          </w:tcPr>
          <w:p>
            <w:r>
              <w:rPr>
                <w:rFonts w:ascii="Calibri" w:hAnsi="Calibri"/>
                <w:sz w:val="22"/>
              </w:rPr>
              <w:t>Miss</w:t>
            </w:r>
          </w:p>
        </w:tc>
      </w:tr>
    </w:tbl>
    <w:p>
      <w:pPr>
        <w:pStyle w:val="Heading3"/>
      </w:pPr>
      <w:r>
        <w:rPr>
          <w:rFonts w:ascii="Calibri" w:hAnsi="Calibri"/>
          <w:b/>
          <w:color w:val="3B4259"/>
          <w:sz w:val="24"/>
        </w:rPr>
        <w:t>Top KPI #2: Adjusted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$0.82</w:t>
            </w:r>
          </w:p>
        </w:tc>
        <w:tc>
          <w:tcPr>
            <w:tcW w:type="dxa" w:w="1728"/>
          </w:tcPr>
          <w:p>
            <w:r>
              <w:rPr>
                <w:rFonts w:ascii="Calibri" w:hAnsi="Calibri"/>
                <w:sz w:val="22"/>
              </w:rPr>
              <w:t>$0.83</w:t>
            </w:r>
          </w:p>
        </w:tc>
        <w:tc>
          <w:tcPr>
            <w:tcW w:type="dxa" w:w="1728"/>
          </w:tcPr>
          <w:p>
            <w:r>
              <w:rPr>
                <w:rFonts w:ascii="Calibri" w:hAnsi="Calibri"/>
                <w:b/>
                <w:color w:val="E5484D"/>
                <w:sz w:val="22"/>
              </w:rPr>
              <w:t>-1.2%</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$0.85</w:t>
            </w:r>
          </w:p>
        </w:tc>
        <w:tc>
          <w:tcPr>
            <w:tcW w:type="dxa" w:w="1728"/>
          </w:tcPr>
          <w:p>
            <w:r>
              <w:rPr>
                <w:rFonts w:ascii="Calibri" w:hAnsi="Calibri"/>
                <w:sz w:val="22"/>
              </w:rPr>
              <w:t>$0.90</w:t>
            </w:r>
          </w:p>
        </w:tc>
        <w:tc>
          <w:tcPr>
            <w:tcW w:type="dxa" w:w="1728"/>
          </w:tcPr>
          <w:p>
            <w:r>
              <w:rPr>
                <w:rFonts w:ascii="Calibri" w:hAnsi="Calibri"/>
                <w:b/>
                <w:color w:val="E5484D"/>
                <w:sz w:val="22"/>
              </w:rPr>
              <w:t>-5.6%</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$0.95</w:t>
            </w:r>
          </w:p>
        </w:tc>
        <w:tc>
          <w:tcPr>
            <w:tcW w:type="dxa" w:w="1728"/>
          </w:tcPr>
          <w:p>
            <w:r>
              <w:rPr>
                <w:rFonts w:ascii="Calibri" w:hAnsi="Calibri"/>
                <w:sz w:val="22"/>
              </w:rPr>
              <w:t>$0.90</w:t>
            </w:r>
          </w:p>
        </w:tc>
        <w:tc>
          <w:tcPr>
            <w:tcW w:type="dxa" w:w="1728"/>
          </w:tcPr>
          <w:p>
            <w:r>
              <w:rPr>
                <w:rFonts w:ascii="Calibri" w:hAnsi="Calibri"/>
                <w:b/>
                <w:color w:val="30A46C"/>
                <w:sz w:val="22"/>
              </w:rPr>
              <w:t>+5.0%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$1.07</w:t>
            </w:r>
          </w:p>
        </w:tc>
        <w:tc>
          <w:tcPr>
            <w:tcW w:type="dxa" w:w="1728"/>
          </w:tcPr>
          <w:p>
            <w:r>
              <w:rPr>
                <w:rFonts w:ascii="Calibri" w:hAnsi="Calibri"/>
                <w:sz w:val="22"/>
              </w:rPr>
              <w:t>$0.98</w:t>
            </w:r>
          </w:p>
        </w:tc>
        <w:tc>
          <w:tcPr>
            <w:tcW w:type="dxa" w:w="1728"/>
          </w:tcPr>
          <w:p>
            <w:r>
              <w:rPr>
                <w:rFonts w:ascii="Calibri" w:hAnsi="Calibri"/>
                <w:b/>
                <w:color w:val="30A46C"/>
                <w:sz w:val="22"/>
              </w:rPr>
              <w:t>+9.2%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$0.94</w:t>
            </w:r>
          </w:p>
        </w:tc>
        <w:tc>
          <w:tcPr>
            <w:tcW w:type="dxa" w:w="1728"/>
          </w:tcPr>
          <w:p>
            <w:r>
              <w:rPr>
                <w:rFonts w:ascii="Calibri" w:hAnsi="Calibri"/>
                <w:sz w:val="22"/>
              </w:rPr>
              <w:t>$0.90</w:t>
            </w:r>
          </w:p>
        </w:tc>
        <w:tc>
          <w:tcPr>
            <w:tcW w:type="dxa" w:w="1728"/>
          </w:tcPr>
          <w:p>
            <w:r>
              <w:rPr>
                <w:rFonts w:ascii="Calibri" w:hAnsi="Calibri"/>
                <w:b/>
                <w:color w:val="30A46C"/>
                <w:sz w:val="22"/>
              </w:rPr>
              <w:t>+4.0%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$0.90</w:t>
            </w:r>
          </w:p>
        </w:tc>
        <w:tc>
          <w:tcPr>
            <w:tcW w:type="dxa" w:w="1728"/>
          </w:tcPr>
          <w:p>
            <w:r>
              <w:rPr>
                <w:rFonts w:ascii="Calibri" w:hAnsi="Calibri"/>
                <w:sz w:val="22"/>
              </w:rPr>
              <w:t>$0.84</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$0.85</w:t>
            </w:r>
          </w:p>
        </w:tc>
        <w:tc>
          <w:tcPr>
            <w:tcW w:type="dxa" w:w="1728"/>
          </w:tcPr>
          <w:p>
            <w:r>
              <w:rPr>
                <w:rFonts w:ascii="Calibri" w:hAnsi="Calibri"/>
                <w:sz w:val="22"/>
              </w:rPr>
              <w:t>$0.94</w:t>
            </w:r>
          </w:p>
        </w:tc>
        <w:tc>
          <w:tcPr>
            <w:tcW w:type="dxa" w:w="1728"/>
          </w:tcPr>
          <w:p>
            <w:r>
              <w:rPr>
                <w:rFonts w:ascii="Calibri" w:hAnsi="Calibri"/>
                <w:b/>
                <w:color w:val="E5484D"/>
                <w:sz w:val="22"/>
              </w:rPr>
              <w:t>-9.6%</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AOS beat on adjusted EPS in five of the last six quarters before Q1 2026, but the Q1 2026 miss was the largest in recent history (-9.6%), driven by China deterioration and the DOE enforcement delay removing commercial pre-buy expectations; revenue has been a more consistent miss, reflecting persistent volume headwinds in both China and North American residential.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was cut at Q1 2026 (April 30) and has not been formally revised since; the only post-earnings development was the June 22 announcement of Kevin Wheeler's retirement as Executive Chairman, which carries no financial guidance change. Tone remains cautious on China and measured on North America.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$3.70 – $4.00</w:t>
            </w:r>
          </w:p>
        </w:tc>
        <w:tc>
          <w:tcPr>
            <w:tcW w:type="dxa" w:w="1728"/>
          </w:tcPr>
          <w:p>
            <w:r>
              <w:rPr>
                <w:rFonts w:ascii="Calibri" w:hAnsi="Calibri"/>
                <w:sz w:val="22"/>
              </w:rPr>
              <w:t>—</w:t>
            </w:r>
          </w:p>
        </w:tc>
        <w:tc>
          <w:tcPr>
            <w:tcW w:type="dxa" w:w="1728"/>
          </w:tcPr>
          <w:p>
            <w:r>
              <w:rPr>
                <w:rFonts w:ascii="Calibri" w:hAnsi="Calibri"/>
                <w:sz w:val="22"/>
              </w:rPr>
              <w:t>$3.77</w:t>
            </w:r>
          </w:p>
        </w:tc>
        <w:tc>
          <w:tcPr>
            <w:tcW w:type="dxa" w:w="1728"/>
          </w:tcPr>
          <w:p>
            <w:r>
              <w:rPr>
                <w:rFonts w:ascii="Calibri" w:hAnsi="Calibri"/>
                <w:sz w:val="22"/>
              </w:rPr>
              <w:t>No post-earnings revision; consensus near low end of range, reflecting China uncertainty</w:t>
            </w:r>
          </w:p>
        </w:tc>
      </w:tr>
      <w:tr>
        <w:tc>
          <w:tcPr>
            <w:tcW w:type="dxa" w:w="1728"/>
          </w:tcPr>
          <w:p>
            <w:r>
              <w:rPr>
                <w:rFonts w:ascii="Calibri" w:hAnsi="Calibri"/>
                <w:sz w:val="22"/>
              </w:rPr>
              <w:t>FY 2026 Total Revenue</w:t>
            </w:r>
          </w:p>
        </w:tc>
        <w:tc>
          <w:tcPr>
            <w:tcW w:type="dxa" w:w="1728"/>
          </w:tcPr>
          <w:p>
            <w:r>
              <w:rPr>
                <w:rFonts w:ascii="Calibri" w:hAnsi="Calibri"/>
                <w:sz w:val="22"/>
              </w:rPr>
              <w:t>$3,900 – $4,000M (+2% to +4% growth)</w:t>
            </w:r>
          </w:p>
        </w:tc>
        <w:tc>
          <w:tcPr>
            <w:tcW w:type="dxa" w:w="1728"/>
          </w:tcPr>
          <w:p>
            <w:r>
              <w:rPr>
                <w:rFonts w:ascii="Calibri" w:hAnsi="Calibri"/>
                <w:sz w:val="22"/>
              </w:rPr>
              <w:t>—</w:t>
            </w:r>
          </w:p>
        </w:tc>
        <w:tc>
          <w:tcPr>
            <w:tcW w:type="dxa" w:w="1728"/>
          </w:tcPr>
          <w:p>
            <w:r>
              <w:rPr>
                <w:rFonts w:ascii="Calibri" w:hAnsi="Calibri"/>
                <w:sz w:val="22"/>
              </w:rPr>
              <w:t>$3,907M</w:t>
            </w:r>
          </w:p>
        </w:tc>
        <w:tc>
          <w:tcPr>
            <w:tcW w:type="dxa" w:w="1728"/>
          </w:tcPr>
          <w:p>
            <w:r>
              <w:rPr>
                <w:rFonts w:ascii="Calibri" w:hAnsi="Calibri"/>
                <w:sz w:val="22"/>
              </w:rPr>
              <w:t>No post-earnings revision; consensus at low end of range</w:t>
            </w:r>
          </w:p>
        </w:tc>
      </w:tr>
      <w:tr>
        <w:tc>
          <w:tcPr>
            <w:tcW w:type="dxa" w:w="1728"/>
          </w:tcPr>
          <w:p>
            <w:r>
              <w:rPr>
                <w:rFonts w:ascii="Calibri" w:hAnsi="Calibri"/>
                <w:sz w:val="22"/>
              </w:rPr>
              <w:t>Q2 2026 EPS (implied)</w:t>
            </w:r>
          </w:p>
        </w:tc>
        <w:tc>
          <w:tcPr>
            <w:tcW w:type="dxa" w:w="1728"/>
          </w:tcPr>
          <w:p>
            <w:r>
              <w:rPr>
                <w:rFonts w:ascii="Calibri" w:hAnsi="Calibri"/>
                <w:sz w:val="22"/>
              </w:rPr>
              <w:t>~25% of FY midpoint (~$0.93)</w:t>
            </w:r>
          </w:p>
        </w:tc>
        <w:tc>
          <w:tcPr>
            <w:tcW w:type="dxa" w:w="1728"/>
          </w:tcPr>
          <w:p>
            <w:r>
              <w:rPr>
                <w:rFonts w:ascii="Calibri" w:hAnsi="Calibri"/>
                <w:sz w:val="22"/>
              </w:rPr>
              <w:t>—</w:t>
            </w:r>
          </w:p>
        </w:tc>
        <w:tc>
          <w:tcPr>
            <w:tcW w:type="dxa" w:w="1728"/>
          </w:tcPr>
          <w:p>
            <w:r>
              <w:rPr>
                <w:rFonts w:ascii="Calibri" w:hAnsi="Calibri"/>
                <w:sz w:val="22"/>
              </w:rPr>
              <w:t>$0.96</w:t>
            </w:r>
          </w:p>
        </w:tc>
        <w:tc>
          <w:tcPr>
            <w:tcW w:type="dxa" w:w="1728"/>
          </w:tcPr>
          <w:p>
            <w:r>
              <w:rPr>
                <w:rFonts w:ascii="Calibri" w:hAnsi="Calibri"/>
                <w:sz w:val="22"/>
              </w:rPr>
              <w:t>Consensus slightly above implied guidance midpoint; pricing pull-forward cited as modest tailwind</w:t>
            </w:r>
          </w:p>
        </w:tc>
      </w:tr>
      <w:tr>
        <w:tc>
          <w:tcPr>
            <w:tcW w:type="dxa" w:w="1728"/>
          </w:tcPr>
          <w:p>
            <w:r>
              <w:rPr>
                <w:rFonts w:ascii="Calibri" w:hAnsi="Calibri"/>
                <w:sz w:val="22"/>
              </w:rPr>
              <w:t>China Revenue (FY 2026)</w:t>
            </w:r>
          </w:p>
        </w:tc>
        <w:tc>
          <w:tcPr>
            <w:tcW w:type="dxa" w:w="1728"/>
          </w:tcPr>
          <w:p>
            <w:r>
              <w:rPr>
                <w:rFonts w:ascii="Calibri" w:hAnsi="Calibri"/>
                <w:sz w:val="22"/>
              </w:rPr>
              <w:t>Down low-double digits in local currency vs. 2025</w:t>
            </w:r>
          </w:p>
        </w:tc>
        <w:tc>
          <w:tcPr>
            <w:tcW w:type="dxa" w:w="1728"/>
          </w:tcPr>
          <w:p>
            <w:r>
              <w:rPr>
                <w:rFonts w:ascii="Calibri" w:hAnsi="Calibri"/>
                <w:sz w:val="22"/>
              </w:rPr>
              <w:t>—</w:t>
            </w:r>
          </w:p>
        </w:tc>
        <w:tc>
          <w:tcPr>
            <w:tcW w:type="dxa" w:w="1728"/>
          </w:tcPr>
          <w:p>
            <w:r>
              <w:rPr>
                <w:rFonts w:ascii="Calibri" w:hAnsi="Calibri"/>
                <w:sz w:val="22"/>
              </w:rPr>
              <w:t>$619.6M (consensus)</w:t>
            </w:r>
          </w:p>
        </w:tc>
        <w:tc>
          <w:tcPr>
            <w:tcW w:type="dxa" w:w="1728"/>
          </w:tcPr>
          <w:p>
            <w:r>
              <w:rPr>
                <w:rFonts w:ascii="Calibri" w:hAnsi="Calibri"/>
                <w:sz w:val="22"/>
              </w:rPr>
              <w:t>No revision; Q2 guided down ~15% sequentially; strategic assessment outcome excluded from guidance</w:t>
            </w:r>
          </w:p>
        </w:tc>
      </w:tr>
      <w:tr>
        <w:tc>
          <w:tcPr>
            <w:tcW w:type="dxa" w:w="1728"/>
          </w:tcPr>
          <w:p>
            <w:r>
              <w:rPr>
                <w:rFonts w:ascii="Calibri" w:hAnsi="Calibri"/>
                <w:sz w:val="22"/>
              </w:rPr>
              <w:t>NA Segment Margin (FY 2026)</w:t>
            </w:r>
          </w:p>
        </w:tc>
        <w:tc>
          <w:tcPr>
            <w:tcW w:type="dxa" w:w="1728"/>
          </w:tcPr>
          <w:p>
            <w:r>
              <w:rPr>
                <w:rFonts w:ascii="Calibri" w:hAnsi="Calibri"/>
                <w:sz w:val="22"/>
              </w:rPr>
              <w:t>~24%</w:t>
            </w:r>
          </w:p>
        </w:tc>
        <w:tc>
          <w:tcPr>
            <w:tcW w:type="dxa" w:w="1728"/>
          </w:tcPr>
          <w:p>
            <w:r>
              <w:rPr>
                <w:rFonts w:ascii="Calibri" w:hAnsi="Calibri"/>
                <w:sz w:val="22"/>
              </w:rPr>
              <w:t>—</w:t>
            </w:r>
          </w:p>
        </w:tc>
        <w:tc>
          <w:tcPr>
            <w:tcW w:type="dxa" w:w="1728"/>
          </w:tcPr>
          <w:p>
            <w:r>
              <w:rPr>
                <w:rFonts w:ascii="Calibri" w:hAnsi="Calibri"/>
                <w:sz w:val="22"/>
              </w:rPr>
              <w:t>24.0% (consensus)</w:t>
            </w:r>
          </w:p>
        </w:tc>
        <w:tc>
          <w:tcPr>
            <w:tcW w:type="dxa" w:w="1728"/>
          </w:tcPr>
          <w:p>
            <w:r>
              <w:rPr>
                <w:rFonts w:ascii="Calibri" w:hAnsi="Calibri"/>
                <w:sz w:val="22"/>
              </w:rPr>
              <w:t>Consensus at guidance; pricing benefit in Q2 and Q3 expected to support</w:t>
            </w:r>
          </w:p>
        </w:tc>
      </w:tr>
      <w:tr>
        <w:tc>
          <w:tcPr>
            <w:tcW w:type="dxa" w:w="1728"/>
          </w:tcPr>
          <w:p>
            <w:r>
              <w:rPr>
                <w:rFonts w:ascii="Calibri" w:hAnsi="Calibri"/>
                <w:sz w:val="22"/>
              </w:rPr>
              <w:t>Rest of World Segment Margin (FY 2026)</w:t>
            </w:r>
          </w:p>
        </w:tc>
        <w:tc>
          <w:tcPr>
            <w:tcW w:type="dxa" w:w="1728"/>
          </w:tcPr>
          <w:p>
            <w:r>
              <w:rPr>
                <w:rFonts w:ascii="Calibri" w:hAnsi="Calibri"/>
                <w:sz w:val="22"/>
              </w:rPr>
              <w:t>6% – 7%</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China drag is primary driver of RoW margin compression</w:t>
            </w:r>
          </w:p>
        </w:tc>
      </w:tr>
      <w:tr>
        <w:tc>
          <w:tcPr>
            <w:tcW w:type="dxa" w:w="1728"/>
          </w:tcPr>
          <w:p>
            <w:r>
              <w:rPr>
                <w:rFonts w:ascii="Calibri" w:hAnsi="Calibri"/>
                <w:sz w:val="22"/>
              </w:rPr>
              <w:t>FY 2026 Free Cash Flow</w:t>
            </w:r>
          </w:p>
        </w:tc>
        <w:tc>
          <w:tcPr>
            <w:tcW w:type="dxa" w:w="1728"/>
          </w:tcPr>
          <w:p>
            <w:r>
              <w:rPr>
                <w:rFonts w:ascii="Calibri" w:hAnsi="Calibri"/>
                <w:sz w:val="22"/>
              </w:rPr>
              <w:t>$525 – $575M</w:t>
            </w:r>
          </w:p>
        </w:tc>
        <w:tc>
          <w:tcPr>
            <w:tcW w:type="dxa" w:w="1728"/>
          </w:tcPr>
          <w:p>
            <w:r>
              <w:rPr>
                <w:rFonts w:ascii="Calibri" w:hAnsi="Calibri"/>
                <w:sz w:val="22"/>
              </w:rPr>
              <w:t>—</w:t>
            </w:r>
          </w:p>
        </w:tc>
        <w:tc>
          <w:tcPr>
            <w:tcW w:type="dxa" w:w="1728"/>
          </w:tcPr>
          <w:p>
            <w:r>
              <w:rPr>
                <w:rFonts w:ascii="Calibri" w:hAnsi="Calibri"/>
                <w:sz w:val="22"/>
              </w:rPr>
              <w:t>$556.9M</w:t>
            </w:r>
          </w:p>
        </w:tc>
        <w:tc>
          <w:tcPr>
            <w:tcW w:type="dxa" w:w="1728"/>
          </w:tcPr>
          <w:p>
            <w:r>
              <w:rPr>
                <w:rFonts w:ascii="Calibri" w:hAnsi="Calibri"/>
                <w:sz w:val="22"/>
              </w:rPr>
              <w:t>Consensus at midpoint; strong Q1 FCF of $119M provides confidence</w:t>
            </w:r>
          </w:p>
        </w:tc>
      </w:tr>
      <w:tr>
        <w:tc>
          <w:tcPr>
            <w:tcW w:type="dxa" w:w="1728"/>
          </w:tcPr>
          <w:p>
            <w:r>
              <w:rPr>
                <w:rFonts w:ascii="Calibri" w:hAnsi="Calibri"/>
                <w:sz w:val="22"/>
              </w:rPr>
              <w:t>NA Boiler Sales Growth (FY 2026)</w:t>
            </w:r>
          </w:p>
        </w:tc>
        <w:tc>
          <w:tcPr>
            <w:tcW w:type="dxa" w:w="1728"/>
          </w:tcPr>
          <w:p>
            <w:r>
              <w:rPr>
                <w:rFonts w:ascii="Calibri" w:hAnsi="Calibri"/>
                <w:sz w:val="22"/>
              </w:rPr>
              <w:t>+6% to +8%</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Pricing and backlog strength cited; unchanged from prior guidance</w:t>
            </w:r>
          </w:p>
        </w:tc>
      </w:tr>
      <w:tr>
        <w:tc>
          <w:tcPr>
            <w:tcW w:type="dxa" w:w="1728"/>
          </w:tcPr>
          <w:p>
            <w:r>
              <w:rPr>
                <w:rFonts w:ascii="Calibri" w:hAnsi="Calibri"/>
                <w:sz w:val="22"/>
              </w:rPr>
              <w:t>Water Treatment Sales Growth (FY 2026)</w:t>
            </w:r>
          </w:p>
        </w:tc>
        <w:tc>
          <w:tcPr>
            <w:tcW w:type="dxa" w:w="1728"/>
          </w:tcPr>
          <w:p>
            <w:r>
              <w:rPr>
                <w:rFonts w:ascii="Calibri" w:hAnsi="Calibri"/>
                <w:sz w:val="22"/>
              </w:rPr>
              <w:t>+5% to +6% (cut from prior +8–10%)</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Reduced at Q1 due to consumer trade-down in retail channel; Q2 restructuring charge (~$20M) excluded from adj. EPS</w:t>
            </w:r>
          </w:p>
        </w:tc>
      </w:tr>
    </w:tbl>
    <w:p>
      <w:r>
        <w:rPr>
          <w:rFonts w:ascii="Calibri" w:hAnsi="Calibri"/>
          <w:i/>
          <w:color w:val="525866"/>
          <w:sz w:val="22"/>
        </w:rPr>
        <w:t>Sources: Q1 2026 earnings release and earnings call transcript (April 30, 2026); Visible Alpha consensus data as of July 29, 2026. No post-earnings 8-K or press release has changed operational guidance; the June 22, 2026 8-K addressed only executive leadership changes.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The bulk of the estimate revision happened at the Q1 print (April 30) — Q2 2026 EPS estimates fell from ~$1.15 in mid-2025 to ~$0.84–0.86 post-Q1, and have been broadly stable since; FY 2026 estimates are tracking near the low end of guidance, suggesting the street is not giving management the benefit of the doubt on China recovery or commercial pre-buy.</w:t>
      </w:r>
    </w:p>
    <w:p>
      <w:r>
        <w:rPr>
          <w:rFonts w:ascii="Calibri" w:hAnsi="Calibri"/>
          <w:b/>
          <w:color w:val="525866"/>
          <w:sz w:val="22"/>
        </w:rPr>
        <w:t xml:space="preserve">Note: </w:t>
      </w:r>
      <w:r>
        <w:rPr>
          <w:rFonts w:ascii="Calibri" w:hAnsi="Calibri"/>
          <w:color w:val="525866"/>
          <w:sz w:val="22"/>
        </w:rPr>
        <w:t>Estimates have been remarkably stable since the Q1 print — the street has essentially accepted management's reset and is not making incremental cuts, which means the risk is asymmetric: a China update worse than guided could re-open the downward revision cycle, while any positive surprise (China assessment clarity, stronger NA pricing realization) could drive upward revisions. FY 2026 consensus sitting near the low end of guidance implies the market is pricing in limited execution upside.</w:t>
      </w:r>
    </w:p>
    <w:p>
      <w:r>
        <w:rPr>
          <w:rFonts w:ascii="Calibri" w:hAnsi="Calibri"/>
          <w:i/>
          <w:color w:val="525866"/>
          <w:sz w:val="22"/>
        </w:rPr>
        <w:t>Source: Visible Alpha consensus and actuals data. Post-Q1 baseline as of May 7, 2026 (5 trading days after April 30 earnings). Current consensus as of July 29,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AOS significantly underperformed XLI and the S&amp;P 500 in the weeks following the Q1 2026 earnings miss — the stock sold off to a trough of ~$56 (-9.4%) by mid-May while XLI was roughly flat and SPY was up ~3%; AOS has since recovered to near its April 30 level (~$62) but continues to lag XLI on a cumulative basis; the underperformance is driven by earnings-driven multiple compression (NTM P/E contracted from ~17x to ~16x over 12 months) rather than sentiment alone.</w:t>
      </w:r>
    </w:p>
    <w:p>
      <w:r>
        <w:rPr>
          <w:rFonts w:ascii="Calibri" w:hAnsi="Calibri"/>
          <w:b/>
          <w:color w:val="525866"/>
          <w:sz w:val="22"/>
        </w:rPr>
        <w:t xml:space="preserve">Sector ETF: </w:t>
      </w:r>
      <w:r>
        <w:rPr>
          <w:rFonts w:ascii="Calibri" w:hAnsi="Calibri"/>
          <w:color w:val="525866"/>
          <w:sz w:val="22"/>
        </w:rPr>
        <w:t>XLI (Industrial Select Sector SPDR Fund) — appropriate for AOS given its classification as a specialty industrial machinery company manufacturing water heating and treatment equipment.</w:t>
      </w:r>
    </w:p>
    <w:p>
      <w:pPr>
        <w:pStyle w:val="Heading2"/>
      </w:pPr>
      <w:r>
        <w:rPr>
          <w:rFonts w:ascii="Calibri" w:hAnsi="Calibri"/>
          <w:b/>
          <w:color w:val="3B4259"/>
          <w:sz w:val="28"/>
        </w:rPr>
        <w:t>AOS vs. XLI vs. SPY — Indexed Performance Since April 30, 2026 (Base = 100)</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AOS Close</w:t>
            </w:r>
          </w:p>
        </w:tc>
        <w:tc>
          <w:tcPr>
            <w:tcW w:type="dxa" w:w="1234"/>
            <w:shd w:val="clear" w:color="auto" w:fill="3B4259"/>
          </w:tcPr>
          <w:p>
            <w:r>
              <w:rPr>
                <w:rFonts w:ascii="Calibri" w:hAnsi="Calibri"/>
                <w:b/>
                <w:color w:val="FFFFFF"/>
                <w:sz w:val="22"/>
              </w:rPr>
              <w:t>AOS Indexed</w:t>
            </w:r>
          </w:p>
        </w:tc>
        <w:tc>
          <w:tcPr>
            <w:tcW w:type="dxa" w:w="1234"/>
            <w:shd w:val="clear" w:color="auto" w:fill="3B4259"/>
          </w:tcPr>
          <w:p>
            <w:r>
              <w:rPr>
                <w:rFonts w:ascii="Calibri" w:hAnsi="Calibri"/>
                <w:b/>
                <w:color w:val="FFFFFF"/>
                <w:sz w:val="22"/>
              </w:rPr>
              <w:t>XLI Close</w:t>
            </w:r>
          </w:p>
        </w:tc>
        <w:tc>
          <w:tcPr>
            <w:tcW w:type="dxa" w:w="1234"/>
            <w:shd w:val="clear" w:color="auto" w:fill="3B4259"/>
          </w:tcPr>
          <w:p>
            <w:r>
              <w:rPr>
                <w:rFonts w:ascii="Calibri" w:hAnsi="Calibri"/>
                <w:b/>
                <w:color w:val="FFFFFF"/>
                <w:sz w:val="22"/>
              </w:rPr>
              <w:t>XLI Indexed</w:t>
            </w:r>
          </w:p>
        </w:tc>
        <w:tc>
          <w:tcPr>
            <w:tcW w:type="dxa" w:w="1234"/>
            <w:shd w:val="clear" w:color="auto" w:fill="3B4259"/>
          </w:tcPr>
          <w:p>
            <w:r>
              <w:rPr>
                <w:rFonts w:ascii="Calibri" w:hAnsi="Calibri"/>
                <w:b/>
                <w:color w:val="FFFFFF"/>
                <w:sz w:val="22"/>
              </w:rPr>
              <w:t>SPY Close</w:t>
            </w:r>
          </w:p>
        </w:tc>
        <w:tc>
          <w:tcPr>
            <w:tcW w:type="dxa" w:w="1234"/>
            <w:shd w:val="clear" w:color="auto" w:fill="3B4259"/>
          </w:tcPr>
          <w:p>
            <w:r>
              <w:rPr>
                <w:rFonts w:ascii="Calibri" w:hAnsi="Calibri"/>
                <w:b/>
                <w:color w:val="FFFFFF"/>
                <w:sz w:val="22"/>
              </w:rPr>
              <w:t>SPY Indexed</w:t>
            </w:r>
          </w:p>
        </w:tc>
      </w:tr>
      <w:tr>
        <w:tc>
          <w:tcPr>
            <w:tcW w:type="dxa" w:w="1234"/>
          </w:tcPr>
          <w:p>
            <w:r>
              <w:rPr>
                <w:rFonts w:ascii="Calibri" w:hAnsi="Calibri"/>
                <w:sz w:val="22"/>
              </w:rPr>
              <w:t>Apr 30 (Base)</w:t>
            </w:r>
          </w:p>
        </w:tc>
        <w:tc>
          <w:tcPr>
            <w:tcW w:type="dxa" w:w="1234"/>
          </w:tcPr>
          <w:p>
            <w:r>
              <w:rPr>
                <w:rFonts w:ascii="Calibri" w:hAnsi="Calibri"/>
                <w:sz w:val="22"/>
              </w:rPr>
              <w:t>$61.84</w:t>
            </w:r>
          </w:p>
        </w:tc>
        <w:tc>
          <w:tcPr>
            <w:tcW w:type="dxa" w:w="1234"/>
          </w:tcPr>
          <w:p>
            <w:r>
              <w:rPr>
                <w:rFonts w:ascii="Calibri" w:hAnsi="Calibri"/>
                <w:sz w:val="22"/>
              </w:rPr>
              <w:t>100.0</w:t>
            </w:r>
          </w:p>
        </w:tc>
        <w:tc>
          <w:tcPr>
            <w:tcW w:type="dxa" w:w="1234"/>
          </w:tcPr>
          <w:p>
            <w:r>
              <w:rPr>
                <w:rFonts w:ascii="Calibri" w:hAnsi="Calibri"/>
                <w:sz w:val="22"/>
              </w:rPr>
              <w:t>$174.58</w:t>
            </w:r>
          </w:p>
        </w:tc>
        <w:tc>
          <w:tcPr>
            <w:tcW w:type="dxa" w:w="1234"/>
          </w:tcPr>
          <w:p>
            <w:r>
              <w:rPr>
                <w:rFonts w:ascii="Calibri" w:hAnsi="Calibri"/>
                <w:sz w:val="22"/>
              </w:rPr>
              <w:t>100.0</w:t>
            </w:r>
          </w:p>
        </w:tc>
        <w:tc>
          <w:tcPr>
            <w:tcW w:type="dxa" w:w="1234"/>
          </w:tcPr>
          <w:p>
            <w:r>
              <w:rPr>
                <w:rFonts w:ascii="Calibri" w:hAnsi="Calibri"/>
                <w:sz w:val="22"/>
              </w:rPr>
              <w:t>$718.66</w:t>
            </w:r>
          </w:p>
        </w:tc>
        <w:tc>
          <w:tcPr>
            <w:tcW w:type="dxa" w:w="1234"/>
          </w:tcPr>
          <w:p>
            <w:r>
              <w:rPr>
                <w:rFonts w:ascii="Calibri" w:hAnsi="Calibri"/>
                <w:sz w:val="22"/>
              </w:rPr>
              <w:t>100.0</w:t>
            </w:r>
          </w:p>
        </w:tc>
      </w:tr>
      <w:tr>
        <w:tc>
          <w:tcPr>
            <w:tcW w:type="dxa" w:w="1234"/>
          </w:tcPr>
          <w:p>
            <w:r>
              <w:rPr>
                <w:rFonts w:ascii="Calibri" w:hAnsi="Calibri"/>
                <w:sz w:val="22"/>
              </w:rPr>
              <w:t>May 8</w:t>
            </w:r>
          </w:p>
        </w:tc>
        <w:tc>
          <w:tcPr>
            <w:tcW w:type="dxa" w:w="1234"/>
          </w:tcPr>
          <w:p>
            <w:r>
              <w:rPr>
                <w:rFonts w:ascii="Calibri" w:hAnsi="Calibri"/>
                <w:sz w:val="22"/>
              </w:rPr>
              <w:t>$58.60</w:t>
            </w:r>
          </w:p>
        </w:tc>
        <w:tc>
          <w:tcPr>
            <w:tcW w:type="dxa" w:w="1234"/>
          </w:tcPr>
          <w:p>
            <w:r>
              <w:rPr>
                <w:rFonts w:ascii="Calibri" w:hAnsi="Calibri"/>
                <w:sz w:val="22"/>
              </w:rPr>
              <w:t>94.8</w:t>
            </w:r>
          </w:p>
        </w:tc>
        <w:tc>
          <w:tcPr>
            <w:tcW w:type="dxa" w:w="1234"/>
          </w:tcPr>
          <w:p>
            <w:r>
              <w:rPr>
                <w:rFonts w:ascii="Calibri" w:hAnsi="Calibri"/>
                <w:sz w:val="22"/>
              </w:rPr>
              <w:t>$173.20</w:t>
            </w:r>
          </w:p>
        </w:tc>
        <w:tc>
          <w:tcPr>
            <w:tcW w:type="dxa" w:w="1234"/>
          </w:tcPr>
          <w:p>
            <w:r>
              <w:rPr>
                <w:rFonts w:ascii="Calibri" w:hAnsi="Calibri"/>
                <w:sz w:val="22"/>
              </w:rPr>
              <w:t>99.2</w:t>
            </w:r>
          </w:p>
        </w:tc>
        <w:tc>
          <w:tcPr>
            <w:tcW w:type="dxa" w:w="1234"/>
          </w:tcPr>
          <w:p>
            <w:r>
              <w:rPr>
                <w:rFonts w:ascii="Calibri" w:hAnsi="Calibri"/>
                <w:sz w:val="22"/>
              </w:rPr>
              <w:t>$737.62</w:t>
            </w:r>
          </w:p>
        </w:tc>
        <w:tc>
          <w:tcPr>
            <w:tcW w:type="dxa" w:w="1234"/>
          </w:tcPr>
          <w:p>
            <w:r>
              <w:rPr>
                <w:rFonts w:ascii="Calibri" w:hAnsi="Calibri"/>
                <w:sz w:val="22"/>
              </w:rPr>
              <w:t>102.6</w:t>
            </w:r>
          </w:p>
        </w:tc>
      </w:tr>
      <w:tr>
        <w:tc>
          <w:tcPr>
            <w:tcW w:type="dxa" w:w="1234"/>
          </w:tcPr>
          <w:p>
            <w:r>
              <w:rPr>
                <w:rFonts w:ascii="Calibri" w:hAnsi="Calibri"/>
                <w:sz w:val="22"/>
              </w:rPr>
              <w:t>May 15 (AOS trough)</w:t>
            </w:r>
          </w:p>
        </w:tc>
        <w:tc>
          <w:tcPr>
            <w:tcW w:type="dxa" w:w="1234"/>
          </w:tcPr>
          <w:p>
            <w:r>
              <w:rPr>
                <w:rFonts w:ascii="Calibri" w:hAnsi="Calibri"/>
                <w:sz w:val="22"/>
              </w:rPr>
              <w:t>$56.01</w:t>
            </w:r>
          </w:p>
        </w:tc>
        <w:tc>
          <w:tcPr>
            <w:tcW w:type="dxa" w:w="1234"/>
          </w:tcPr>
          <w:p>
            <w:r>
              <w:rPr>
                <w:rFonts w:ascii="Calibri" w:hAnsi="Calibri"/>
                <w:b/>
                <w:color w:val="E5484D"/>
                <w:sz w:val="22"/>
              </w:rPr>
              <w:t>90.6</w:t>
            </w:r>
          </w:p>
        </w:tc>
        <w:tc>
          <w:tcPr>
            <w:tcW w:type="dxa" w:w="1234"/>
          </w:tcPr>
          <w:p>
            <w:r>
              <w:rPr>
                <w:rFonts w:ascii="Calibri" w:hAnsi="Calibri"/>
                <w:sz w:val="22"/>
              </w:rPr>
              <w:t>$171.40</w:t>
            </w:r>
          </w:p>
        </w:tc>
        <w:tc>
          <w:tcPr>
            <w:tcW w:type="dxa" w:w="1234"/>
          </w:tcPr>
          <w:p>
            <w:r>
              <w:rPr>
                <w:rFonts w:ascii="Calibri" w:hAnsi="Calibri"/>
                <w:sz w:val="22"/>
              </w:rPr>
              <w:t>98.2</w:t>
            </w:r>
          </w:p>
        </w:tc>
        <w:tc>
          <w:tcPr>
            <w:tcW w:type="dxa" w:w="1234"/>
          </w:tcPr>
          <w:p>
            <w:r>
              <w:rPr>
                <w:rFonts w:ascii="Calibri" w:hAnsi="Calibri"/>
                <w:sz w:val="22"/>
              </w:rPr>
              <w:t>$739.17</w:t>
            </w:r>
          </w:p>
        </w:tc>
        <w:tc>
          <w:tcPr>
            <w:tcW w:type="dxa" w:w="1234"/>
          </w:tcPr>
          <w:p>
            <w:r>
              <w:rPr>
                <w:rFonts w:ascii="Calibri" w:hAnsi="Calibri"/>
                <w:sz w:val="22"/>
              </w:rPr>
              <w:t>102.9</w:t>
            </w:r>
          </w:p>
        </w:tc>
      </w:tr>
      <w:tr>
        <w:tc>
          <w:tcPr>
            <w:tcW w:type="dxa" w:w="1234"/>
          </w:tcPr>
          <w:p>
            <w:r>
              <w:rPr>
                <w:rFonts w:ascii="Calibri" w:hAnsi="Calibri"/>
                <w:sz w:val="22"/>
              </w:rPr>
              <w:t>Jun 1</w:t>
            </w:r>
          </w:p>
        </w:tc>
        <w:tc>
          <w:tcPr>
            <w:tcW w:type="dxa" w:w="1234"/>
          </w:tcPr>
          <w:p>
            <w:r>
              <w:rPr>
                <w:rFonts w:ascii="Calibri" w:hAnsi="Calibri"/>
                <w:sz w:val="22"/>
              </w:rPr>
              <w:t>$55.78</w:t>
            </w:r>
          </w:p>
        </w:tc>
        <w:tc>
          <w:tcPr>
            <w:tcW w:type="dxa" w:w="1234"/>
          </w:tcPr>
          <w:p>
            <w:r>
              <w:rPr>
                <w:rFonts w:ascii="Calibri" w:hAnsi="Calibri"/>
                <w:sz w:val="22"/>
              </w:rPr>
              <w:t>90.2</w:t>
            </w:r>
          </w:p>
        </w:tc>
        <w:tc>
          <w:tcPr>
            <w:tcW w:type="dxa" w:w="1234"/>
          </w:tcPr>
          <w:p>
            <w:r>
              <w:rPr>
                <w:rFonts w:ascii="Calibri" w:hAnsi="Calibri"/>
                <w:sz w:val="22"/>
              </w:rPr>
              <w:t>$172.40</w:t>
            </w:r>
          </w:p>
        </w:tc>
        <w:tc>
          <w:tcPr>
            <w:tcW w:type="dxa" w:w="1234"/>
          </w:tcPr>
          <w:p>
            <w:r>
              <w:rPr>
                <w:rFonts w:ascii="Calibri" w:hAnsi="Calibri"/>
                <w:sz w:val="22"/>
              </w:rPr>
              <w:t>98.8</w:t>
            </w:r>
          </w:p>
        </w:tc>
        <w:tc>
          <w:tcPr>
            <w:tcW w:type="dxa" w:w="1234"/>
          </w:tcPr>
          <w:p>
            <w:r>
              <w:rPr>
                <w:rFonts w:ascii="Calibri" w:hAnsi="Calibri"/>
                <w:sz w:val="22"/>
              </w:rPr>
              <w:t>$758.54</w:t>
            </w:r>
          </w:p>
        </w:tc>
        <w:tc>
          <w:tcPr>
            <w:tcW w:type="dxa" w:w="1234"/>
          </w:tcPr>
          <w:p>
            <w:r>
              <w:rPr>
                <w:rFonts w:ascii="Calibri" w:hAnsi="Calibri"/>
                <w:sz w:val="22"/>
              </w:rPr>
              <w:t>105.6</w:t>
            </w:r>
          </w:p>
        </w:tc>
      </w:tr>
      <w:tr>
        <w:tc>
          <w:tcPr>
            <w:tcW w:type="dxa" w:w="1234"/>
          </w:tcPr>
          <w:p>
            <w:r>
              <w:rPr>
                <w:rFonts w:ascii="Calibri" w:hAnsi="Calibri"/>
                <w:sz w:val="22"/>
              </w:rPr>
              <w:t>Jun 22 (Wheeler retirement 8-K)</w:t>
            </w:r>
          </w:p>
        </w:tc>
        <w:tc>
          <w:tcPr>
            <w:tcW w:type="dxa" w:w="1234"/>
          </w:tcPr>
          <w:p>
            <w:r>
              <w:rPr>
                <w:rFonts w:ascii="Calibri" w:hAnsi="Calibri"/>
                <w:sz w:val="22"/>
              </w:rPr>
              <w:t>$58.69</w:t>
            </w:r>
          </w:p>
        </w:tc>
        <w:tc>
          <w:tcPr>
            <w:tcW w:type="dxa" w:w="1234"/>
          </w:tcPr>
          <w:p>
            <w:r>
              <w:rPr>
                <w:rFonts w:ascii="Calibri" w:hAnsi="Calibri"/>
                <w:sz w:val="22"/>
              </w:rPr>
              <w:t>94.9</w:t>
            </w:r>
          </w:p>
        </w:tc>
        <w:tc>
          <w:tcPr>
            <w:tcW w:type="dxa" w:w="1234"/>
          </w:tcPr>
          <w:p>
            <w:r>
              <w:rPr>
                <w:rFonts w:ascii="Calibri" w:hAnsi="Calibri"/>
                <w:sz w:val="22"/>
              </w:rPr>
              <w:t>$181.80</w:t>
            </w:r>
          </w:p>
        </w:tc>
        <w:tc>
          <w:tcPr>
            <w:tcW w:type="dxa" w:w="1234"/>
          </w:tcPr>
          <w:p>
            <w:r>
              <w:rPr>
                <w:rFonts w:ascii="Calibri" w:hAnsi="Calibri"/>
                <w:sz w:val="22"/>
              </w:rPr>
              <w:t>104.1</w:t>
            </w:r>
          </w:p>
        </w:tc>
        <w:tc>
          <w:tcPr>
            <w:tcW w:type="dxa" w:w="1234"/>
          </w:tcPr>
          <w:p>
            <w:r>
              <w:rPr>
                <w:rFonts w:ascii="Calibri" w:hAnsi="Calibri"/>
                <w:sz w:val="22"/>
              </w:rPr>
              <w:t>$744.39</w:t>
            </w:r>
          </w:p>
        </w:tc>
        <w:tc>
          <w:tcPr>
            <w:tcW w:type="dxa" w:w="1234"/>
          </w:tcPr>
          <w:p>
            <w:r>
              <w:rPr>
                <w:rFonts w:ascii="Calibri" w:hAnsi="Calibri"/>
                <w:sz w:val="22"/>
              </w:rPr>
              <w:t>103.6</w:t>
            </w:r>
          </w:p>
        </w:tc>
      </w:tr>
      <w:tr>
        <w:tc>
          <w:tcPr>
            <w:tcW w:type="dxa" w:w="1234"/>
          </w:tcPr>
          <w:p>
            <w:r>
              <w:rPr>
                <w:rFonts w:ascii="Calibri" w:hAnsi="Calibri"/>
                <w:sz w:val="22"/>
              </w:rPr>
              <w:t>Jun 30</w:t>
            </w:r>
          </w:p>
        </w:tc>
        <w:tc>
          <w:tcPr>
            <w:tcW w:type="dxa" w:w="1234"/>
          </w:tcPr>
          <w:p>
            <w:r>
              <w:rPr>
                <w:rFonts w:ascii="Calibri" w:hAnsi="Calibri"/>
                <w:sz w:val="22"/>
              </w:rPr>
              <w:t>$62.72</w:t>
            </w:r>
          </w:p>
        </w:tc>
        <w:tc>
          <w:tcPr>
            <w:tcW w:type="dxa" w:w="1234"/>
          </w:tcPr>
          <w:p>
            <w:r>
              <w:rPr>
                <w:rFonts w:ascii="Calibri" w:hAnsi="Calibri"/>
                <w:sz w:val="22"/>
              </w:rPr>
              <w:t>101.4</w:t>
            </w:r>
          </w:p>
        </w:tc>
        <w:tc>
          <w:tcPr>
            <w:tcW w:type="dxa" w:w="1234"/>
          </w:tcPr>
          <w:p>
            <w:r>
              <w:rPr>
                <w:rFonts w:ascii="Calibri" w:hAnsi="Calibri"/>
                <w:sz w:val="22"/>
              </w:rPr>
              <w:t>$185.23</w:t>
            </w:r>
          </w:p>
        </w:tc>
        <w:tc>
          <w:tcPr>
            <w:tcW w:type="dxa" w:w="1234"/>
          </w:tcPr>
          <w:p>
            <w:r>
              <w:rPr>
                <w:rFonts w:ascii="Calibri" w:hAnsi="Calibri"/>
                <w:sz w:val="22"/>
              </w:rPr>
              <w:t>106.1</w:t>
            </w:r>
          </w:p>
        </w:tc>
        <w:tc>
          <w:tcPr>
            <w:tcW w:type="dxa" w:w="1234"/>
          </w:tcPr>
          <w:p>
            <w:r>
              <w:rPr>
                <w:rFonts w:ascii="Calibri" w:hAnsi="Calibri"/>
                <w:sz w:val="22"/>
              </w:rPr>
              <w:t>$746.77</w:t>
            </w:r>
          </w:p>
        </w:tc>
        <w:tc>
          <w:tcPr>
            <w:tcW w:type="dxa" w:w="1234"/>
          </w:tcPr>
          <w:p>
            <w:r>
              <w:rPr>
                <w:rFonts w:ascii="Calibri" w:hAnsi="Calibri"/>
                <w:sz w:val="22"/>
              </w:rPr>
              <w:t>103.9</w:t>
            </w:r>
          </w:p>
        </w:tc>
      </w:tr>
      <w:tr>
        <w:tc>
          <w:tcPr>
            <w:tcW w:type="dxa" w:w="1234"/>
          </w:tcPr>
          <w:p>
            <w:r>
              <w:rPr>
                <w:rFonts w:ascii="Calibri" w:hAnsi="Calibri"/>
                <w:sz w:val="22"/>
              </w:rPr>
              <w:t>Jul 15</w:t>
            </w:r>
          </w:p>
        </w:tc>
        <w:tc>
          <w:tcPr>
            <w:tcW w:type="dxa" w:w="1234"/>
          </w:tcPr>
          <w:p>
            <w:r>
              <w:rPr>
                <w:rFonts w:ascii="Calibri" w:hAnsi="Calibri"/>
                <w:sz w:val="22"/>
              </w:rPr>
              <w:t>$60.31</w:t>
            </w:r>
          </w:p>
        </w:tc>
        <w:tc>
          <w:tcPr>
            <w:tcW w:type="dxa" w:w="1234"/>
          </w:tcPr>
          <w:p>
            <w:r>
              <w:rPr>
                <w:rFonts w:ascii="Calibri" w:hAnsi="Calibri"/>
                <w:sz w:val="22"/>
              </w:rPr>
              <w:t>97.5</w:t>
            </w:r>
          </w:p>
        </w:tc>
        <w:tc>
          <w:tcPr>
            <w:tcW w:type="dxa" w:w="1234"/>
          </w:tcPr>
          <w:p>
            <w:r>
              <w:rPr>
                <w:rFonts w:ascii="Calibri" w:hAnsi="Calibri"/>
                <w:sz w:val="22"/>
              </w:rPr>
              <w:t>$180.06</w:t>
            </w:r>
          </w:p>
        </w:tc>
        <w:tc>
          <w:tcPr>
            <w:tcW w:type="dxa" w:w="1234"/>
          </w:tcPr>
          <w:p>
            <w:r>
              <w:rPr>
                <w:rFonts w:ascii="Calibri" w:hAnsi="Calibri"/>
                <w:sz w:val="22"/>
              </w:rPr>
              <w:t>103.1</w:t>
            </w:r>
          </w:p>
        </w:tc>
        <w:tc>
          <w:tcPr>
            <w:tcW w:type="dxa" w:w="1234"/>
          </w:tcPr>
          <w:p>
            <w:r>
              <w:rPr>
                <w:rFonts w:ascii="Calibri" w:hAnsi="Calibri"/>
                <w:sz w:val="22"/>
              </w:rPr>
              <w:t>$754.81</w:t>
            </w:r>
          </w:p>
        </w:tc>
        <w:tc>
          <w:tcPr>
            <w:tcW w:type="dxa" w:w="1234"/>
          </w:tcPr>
          <w:p>
            <w:r>
              <w:rPr>
                <w:rFonts w:ascii="Calibri" w:hAnsi="Calibri"/>
                <w:sz w:val="22"/>
              </w:rPr>
              <w:t>105.0</w:t>
            </w:r>
          </w:p>
        </w:tc>
      </w:tr>
      <w:tr>
        <w:tc>
          <w:tcPr>
            <w:tcW w:type="dxa" w:w="1234"/>
          </w:tcPr>
          <w:p>
            <w:r>
              <w:rPr>
                <w:rFonts w:ascii="Calibri" w:hAnsi="Calibri"/>
                <w:sz w:val="22"/>
              </w:rPr>
              <w:t>Jul 28</w:t>
            </w:r>
          </w:p>
        </w:tc>
        <w:tc>
          <w:tcPr>
            <w:tcW w:type="dxa" w:w="1234"/>
          </w:tcPr>
          <w:p>
            <w:r>
              <w:rPr>
                <w:rFonts w:ascii="Calibri" w:hAnsi="Calibri"/>
                <w:sz w:val="22"/>
              </w:rPr>
              <w:t>$64.01</w:t>
            </w:r>
          </w:p>
        </w:tc>
        <w:tc>
          <w:tcPr>
            <w:tcW w:type="dxa" w:w="1234"/>
          </w:tcPr>
          <w:p>
            <w:r>
              <w:rPr>
                <w:rFonts w:ascii="Calibri" w:hAnsi="Calibri"/>
                <w:b/>
                <w:color w:val="30A46C"/>
                <w:sz w:val="22"/>
              </w:rPr>
              <w:t>103.5</w:t>
            </w:r>
          </w:p>
        </w:tc>
        <w:tc>
          <w:tcPr>
            <w:tcW w:type="dxa" w:w="1234"/>
          </w:tcPr>
          <w:p>
            <w:r>
              <w:rPr>
                <w:rFonts w:ascii="Calibri" w:hAnsi="Calibri"/>
                <w:sz w:val="22"/>
              </w:rPr>
              <w:t>$182.49</w:t>
            </w:r>
          </w:p>
        </w:tc>
        <w:tc>
          <w:tcPr>
            <w:tcW w:type="dxa" w:w="1234"/>
          </w:tcPr>
          <w:p>
            <w:r>
              <w:rPr>
                <w:rFonts w:ascii="Calibri" w:hAnsi="Calibri"/>
                <w:sz w:val="22"/>
              </w:rPr>
              <w:t>104.5</w:t>
            </w:r>
          </w:p>
        </w:tc>
        <w:tc>
          <w:tcPr>
            <w:tcW w:type="dxa" w:w="1234"/>
          </w:tcPr>
          <w:p>
            <w:r>
              <w:rPr>
                <w:rFonts w:ascii="Calibri" w:hAnsi="Calibri"/>
                <w:sz w:val="22"/>
              </w:rPr>
              <w:t>$740.86</w:t>
            </w:r>
          </w:p>
        </w:tc>
        <w:tc>
          <w:tcPr>
            <w:tcW w:type="dxa" w:w="1234"/>
          </w:tcPr>
          <w:p>
            <w:r>
              <w:rPr>
                <w:rFonts w:ascii="Calibri" w:hAnsi="Calibri"/>
                <w:sz w:val="22"/>
              </w:rPr>
              <w:t>103.1</w:t>
            </w:r>
          </w:p>
        </w:tc>
      </w:tr>
      <w:tr>
        <w:tc>
          <w:tcPr>
            <w:tcW w:type="dxa" w:w="1234"/>
          </w:tcPr>
          <w:p>
            <w:r>
              <w:rPr>
                <w:rFonts w:ascii="Calibri" w:hAnsi="Calibri"/>
                <w:sz w:val="22"/>
              </w:rPr>
              <w:t>Jul 29 (pre-earnings)</w:t>
            </w:r>
          </w:p>
        </w:tc>
        <w:tc>
          <w:tcPr>
            <w:tcW w:type="dxa" w:w="1234"/>
          </w:tcPr>
          <w:p>
            <w:r>
              <w:rPr>
                <w:rFonts w:ascii="Calibri" w:hAnsi="Calibri"/>
                <w:sz w:val="22"/>
              </w:rPr>
              <w:t>~$62.04</w:t>
            </w:r>
          </w:p>
        </w:tc>
        <w:tc>
          <w:tcPr>
            <w:tcW w:type="dxa" w:w="1234"/>
          </w:tcPr>
          <w:p>
            <w:r>
              <w:rPr>
                <w:rFonts w:ascii="Calibri" w:hAnsi="Calibri"/>
                <w:sz w:val="22"/>
              </w:rPr>
              <w:t>~100.3</w:t>
            </w:r>
          </w:p>
        </w:tc>
        <w:tc>
          <w:tcPr>
            <w:tcW w:type="dxa" w:w="1234"/>
          </w:tcPr>
          <w:p>
            <w:r>
              <w:rPr>
                <w:rFonts w:ascii="Calibri" w:hAnsi="Calibri"/>
                <w:sz w:val="22"/>
              </w:rPr>
              <w:t>~$176.66</w:t>
            </w:r>
          </w:p>
        </w:tc>
        <w:tc>
          <w:tcPr>
            <w:tcW w:type="dxa" w:w="1234"/>
          </w:tcPr>
          <w:p>
            <w:r>
              <w:rPr>
                <w:rFonts w:ascii="Calibri" w:hAnsi="Calibri"/>
                <w:sz w:val="22"/>
              </w:rPr>
              <w:t>~101.2</w:t>
            </w:r>
          </w:p>
        </w:tc>
        <w:tc>
          <w:tcPr>
            <w:tcW w:type="dxa" w:w="1234"/>
          </w:tcPr>
          <w:p>
            <w:r>
              <w:rPr>
                <w:rFonts w:ascii="Calibri" w:hAnsi="Calibri"/>
                <w:sz w:val="22"/>
              </w:rPr>
              <w:t>~$729.46</w:t>
            </w:r>
          </w:p>
        </w:tc>
        <w:tc>
          <w:tcPr>
            <w:tcW w:type="dxa" w:w="1234"/>
          </w:tcPr>
          <w:p>
            <w:r>
              <w:rPr>
                <w:rFonts w:ascii="Calibri" w:hAnsi="Calibri"/>
                <w:sz w:val="22"/>
              </w:rPr>
              <w:t>~101.5</w:t>
            </w:r>
          </w:p>
        </w:tc>
      </w:tr>
    </w:tbl>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$0.97</w:t>
            </w:r>
          </w:p>
        </w:tc>
        <w:tc>
          <w:tcPr>
            <w:tcW w:type="dxa" w:w="1080"/>
          </w:tcPr>
          <w:p>
            <w:r>
              <w:rPr>
                <w:rFonts w:ascii="Calibri" w:hAnsi="Calibri"/>
                <w:sz w:val="22"/>
              </w:rPr>
              <w:t>$0.96</w:t>
            </w:r>
          </w:p>
        </w:tc>
        <w:tc>
          <w:tcPr>
            <w:tcW w:type="dxa" w:w="1080"/>
          </w:tcPr>
          <w:p>
            <w:r>
              <w:rPr>
                <w:rFonts w:ascii="Calibri" w:hAnsi="Calibri"/>
                <w:sz w:val="22"/>
              </w:rPr>
              <w:t>-1.0%</w:t>
            </w:r>
          </w:p>
        </w:tc>
        <w:tc>
          <w:tcPr>
            <w:tcW w:type="dxa" w:w="1080"/>
          </w:tcPr>
          <w:p>
            <w:r>
              <w:rPr>
                <w:rFonts w:ascii="Calibri" w:hAnsi="Calibri"/>
                <w:sz w:val="22"/>
              </w:rPr>
              <w:t>~$0.93 (25% of FY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+3.2% above guidance midpoint</w:t>
            </w:r>
          </w:p>
        </w:tc>
      </w:tr>
      <w:tr>
        <w:tc>
          <w:tcPr>
            <w:tcW w:type="dxa" w:w="1080"/>
          </w:tcPr>
          <w:p>
            <w:r>
              <w:rPr>
                <w:rFonts w:ascii="Calibri" w:hAnsi="Calibri"/>
                <w:sz w:val="22"/>
              </w:rPr>
              <w:t>Adj. EPS — FY 2026</w:t>
            </w:r>
          </w:p>
        </w:tc>
        <w:tc>
          <w:tcPr>
            <w:tcW w:type="dxa" w:w="1080"/>
          </w:tcPr>
          <w:p>
            <w:r>
              <w:rPr>
                <w:rFonts w:ascii="Calibri" w:hAnsi="Calibri"/>
                <w:sz w:val="22"/>
              </w:rPr>
              <w:t>$3.78</w:t>
            </w:r>
          </w:p>
        </w:tc>
        <w:tc>
          <w:tcPr>
            <w:tcW w:type="dxa" w:w="1080"/>
          </w:tcPr>
          <w:p>
            <w:r>
              <w:rPr>
                <w:rFonts w:ascii="Calibri" w:hAnsi="Calibri"/>
                <w:sz w:val="22"/>
              </w:rPr>
              <w:t>$3.77</w:t>
            </w:r>
          </w:p>
        </w:tc>
        <w:tc>
          <w:tcPr>
            <w:tcW w:type="dxa" w:w="1080"/>
          </w:tcPr>
          <w:p>
            <w:r>
              <w:rPr>
                <w:rFonts w:ascii="Calibri" w:hAnsi="Calibri"/>
                <w:sz w:val="22"/>
              </w:rPr>
              <w:t>-0.3%</w:t>
            </w:r>
          </w:p>
        </w:tc>
        <w:tc>
          <w:tcPr>
            <w:tcW w:type="dxa" w:w="1080"/>
          </w:tcPr>
          <w:p>
            <w:r>
              <w:rPr>
                <w:rFonts w:ascii="Calibri" w:hAnsi="Calibri"/>
                <w:sz w:val="22"/>
              </w:rPr>
              <w:t>$3.70 – $4.00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-3.3% below midpoint ($3.85); near low end</w:t>
            </w:r>
          </w:p>
        </w:tc>
      </w:tr>
      <w:tr>
        <w:tc>
          <w:tcPr>
            <w:tcW w:type="dxa" w:w="1080"/>
          </w:tcPr>
          <w:p>
            <w:r>
              <w:rPr>
                <w:rFonts w:ascii="Calibri" w:hAnsi="Calibri"/>
                <w:sz w:val="22"/>
              </w:rPr>
              <w:t>Total Revenue — Q2 2026</w:t>
            </w:r>
          </w:p>
        </w:tc>
        <w:tc>
          <w:tcPr>
            <w:tcW w:type="dxa" w:w="1080"/>
          </w:tcPr>
          <w:p>
            <w:r>
              <w:rPr>
                <w:rFonts w:ascii="Calibri" w:hAnsi="Calibri"/>
                <w:sz w:val="22"/>
              </w:rPr>
              <w:t>$995.6M</w:t>
            </w:r>
          </w:p>
        </w:tc>
        <w:tc>
          <w:tcPr>
            <w:tcW w:type="dxa" w:w="1080"/>
          </w:tcPr>
          <w:p>
            <w:r>
              <w:rPr>
                <w:rFonts w:ascii="Calibri" w:hAnsi="Calibri"/>
                <w:sz w:val="22"/>
              </w:rPr>
              <w:t>$990.2M</w:t>
            </w:r>
          </w:p>
        </w:tc>
        <w:tc>
          <w:tcPr>
            <w:tcW w:type="dxa" w:w="1080"/>
          </w:tcPr>
          <w:p>
            <w:r>
              <w:rPr>
                <w:rFonts w:ascii="Calibri" w:hAnsi="Calibri"/>
                <w:sz w:val="22"/>
              </w:rPr>
              <w:t>-0.5%</w:t>
            </w:r>
          </w:p>
        </w:tc>
        <w:tc>
          <w:tcPr>
            <w:tcW w:type="dxa" w:w="1080"/>
          </w:tcPr>
          <w:p>
            <w:r>
              <w:rPr>
                <w:rFonts w:ascii="Calibri" w:hAnsi="Calibri"/>
                <w:sz w:val="22"/>
              </w:rPr>
              <w:t>N/A (quarterly not explicitly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$3,912.9M</w:t>
            </w:r>
          </w:p>
        </w:tc>
        <w:tc>
          <w:tcPr>
            <w:tcW w:type="dxa" w:w="1080"/>
          </w:tcPr>
          <w:p>
            <w:r>
              <w:rPr>
                <w:rFonts w:ascii="Calibri" w:hAnsi="Calibri"/>
                <w:sz w:val="22"/>
              </w:rPr>
              <w:t>$3,906.6M</w:t>
            </w:r>
          </w:p>
        </w:tc>
        <w:tc>
          <w:tcPr>
            <w:tcW w:type="dxa" w:w="1080"/>
          </w:tcPr>
          <w:p>
            <w:r>
              <w:rPr>
                <w:rFonts w:ascii="Calibri" w:hAnsi="Calibri"/>
                <w:sz w:val="22"/>
              </w:rPr>
              <w:t>-0.2%</w:t>
            </w:r>
          </w:p>
        </w:tc>
        <w:tc>
          <w:tcPr>
            <w:tcW w:type="dxa" w:w="1080"/>
          </w:tcPr>
          <w:p>
            <w:r>
              <w:rPr>
                <w:rFonts w:ascii="Calibri" w:hAnsi="Calibri"/>
                <w:sz w:val="22"/>
              </w:rPr>
              <w:t>$3,900 – $4,000M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below midpoint; at low end of range</w:t>
            </w:r>
          </w:p>
        </w:tc>
      </w:tr>
      <w:tr>
        <w:tc>
          <w:tcPr>
            <w:tcW w:type="dxa" w:w="1080"/>
          </w:tcPr>
          <w:p>
            <w:r>
              <w:rPr>
                <w:rFonts w:ascii="Calibri" w:hAnsi="Calibri"/>
                <w:sz w:val="22"/>
              </w:rPr>
              <w:t>NA Revenue — Q2 2026</w:t>
            </w:r>
          </w:p>
        </w:tc>
        <w:tc>
          <w:tcPr>
            <w:tcW w:type="dxa" w:w="1080"/>
          </w:tcPr>
          <w:p>
            <w:r>
              <w:rPr>
                <w:rFonts w:ascii="Calibri" w:hAnsi="Calibri"/>
                <w:sz w:val="22"/>
              </w:rPr>
              <w:t>$817.5M</w:t>
            </w:r>
          </w:p>
        </w:tc>
        <w:tc>
          <w:tcPr>
            <w:tcW w:type="dxa" w:w="1080"/>
          </w:tcPr>
          <w:p>
            <w:r>
              <w:rPr>
                <w:rFonts w:ascii="Calibri" w:hAnsi="Calibri"/>
                <w:sz w:val="22"/>
              </w:rPr>
              <w:t>$814.7M</w:t>
            </w:r>
          </w:p>
        </w:tc>
        <w:tc>
          <w:tcPr>
            <w:tcW w:type="dxa" w:w="1080"/>
          </w:tcPr>
          <w:p>
            <w:r>
              <w:rPr>
                <w:rFonts w:ascii="Calibri" w:hAnsi="Calibri"/>
                <w:sz w:val="22"/>
              </w:rPr>
              <w:t>-0.3%</w:t>
            </w:r>
          </w:p>
        </w:tc>
        <w:tc>
          <w:tcPr>
            <w:tcW w:type="dxa" w:w="1080"/>
          </w:tcPr>
          <w:p>
            <w:r>
              <w:rPr>
                <w:rFonts w:ascii="Calibri" w:hAnsi="Calibri"/>
                <w:sz w:val="22"/>
              </w:rPr>
              <w:t>N/A (quarterly not explicitly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China Revenue — Q2 2026</w:t>
            </w:r>
          </w:p>
        </w:tc>
        <w:tc>
          <w:tcPr>
            <w:tcW w:type="dxa" w:w="1080"/>
          </w:tcPr>
          <w:p>
            <w:r>
              <w:rPr>
                <w:rFonts w:ascii="Calibri" w:hAnsi="Calibri"/>
                <w:sz w:val="22"/>
              </w:rPr>
              <w:t>$138.0M</w:t>
            </w:r>
          </w:p>
        </w:tc>
        <w:tc>
          <w:tcPr>
            <w:tcW w:type="dxa" w:w="1080"/>
          </w:tcPr>
          <w:p>
            <w:r>
              <w:rPr>
                <w:rFonts w:ascii="Calibri" w:hAnsi="Calibri"/>
                <w:sz w:val="22"/>
              </w:rPr>
              <w:t>$138.0M</w:t>
            </w:r>
          </w:p>
        </w:tc>
        <w:tc>
          <w:tcPr>
            <w:tcW w:type="dxa" w:w="1080"/>
          </w:tcPr>
          <w:p>
            <w:r>
              <w:rPr>
                <w:rFonts w:ascii="Calibri" w:hAnsi="Calibri"/>
                <w:sz w:val="22"/>
              </w:rPr>
              <w:t>0.0%</w:t>
            </w:r>
          </w:p>
        </w:tc>
        <w:tc>
          <w:tcPr>
            <w:tcW w:type="dxa" w:w="1080"/>
          </w:tcPr>
          <w:p>
            <w:r>
              <w:rPr>
                <w:rFonts w:ascii="Calibri" w:hAnsi="Calibri"/>
                <w:sz w:val="22"/>
              </w:rPr>
              <w:t>Down ~15% QoQ in local currency from Q1 ($162.4M)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aligned with guidance; downside risk if channel inventory clearing extends</w:t>
            </w:r>
          </w:p>
        </w:tc>
      </w:tr>
      <w:tr>
        <w:tc>
          <w:tcPr>
            <w:tcW w:type="dxa" w:w="1080"/>
          </w:tcPr>
          <w:p>
            <w:r>
              <w:rPr>
                <w:rFonts w:ascii="Calibri" w:hAnsi="Calibri"/>
                <w:sz w:val="22"/>
              </w:rPr>
              <w:t>NA EBIT Margin — Q2 2026</w:t>
            </w:r>
          </w:p>
        </w:tc>
        <w:tc>
          <w:tcPr>
            <w:tcW w:type="dxa" w:w="1080"/>
          </w:tcPr>
          <w:p>
            <w:r>
              <w:rPr>
                <w:rFonts w:ascii="Calibri" w:hAnsi="Calibri"/>
                <w:sz w:val="22"/>
              </w:rPr>
              <w:t>24.1%</w:t>
            </w:r>
          </w:p>
        </w:tc>
        <w:tc>
          <w:tcPr>
            <w:tcW w:type="dxa" w:w="1080"/>
          </w:tcPr>
          <w:p>
            <w:r>
              <w:rPr>
                <w:rFonts w:ascii="Calibri" w:hAnsi="Calibri"/>
                <w:sz w:val="22"/>
              </w:rPr>
              <w:t>24.0%</w:t>
            </w:r>
          </w:p>
        </w:tc>
        <w:tc>
          <w:tcPr>
            <w:tcW w:type="dxa" w:w="1080"/>
          </w:tcPr>
          <w:p>
            <w:r>
              <w:rPr>
                <w:rFonts w:ascii="Calibri" w:hAnsi="Calibri"/>
                <w:sz w:val="22"/>
              </w:rPr>
              <w:t>-0.1 pp</w:t>
            </w:r>
          </w:p>
        </w:tc>
        <w:tc>
          <w:tcPr>
            <w:tcW w:type="dxa" w:w="1080"/>
          </w:tcPr>
          <w:p>
            <w:r>
              <w:rPr>
                <w:rFonts w:ascii="Calibri" w:hAnsi="Calibri"/>
                <w:sz w:val="22"/>
              </w:rPr>
              <w:t>~24%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 pricing pull-forward a modest Q2 tailwind</w:t>
            </w:r>
          </w:p>
        </w:tc>
      </w:tr>
    </w:tbl>
    <w:p>
      <w:r>
        <w:br w:type="page"/>
      </w:r>
    </w:p>
    <w:p>
      <w:pPr>
        <w:pStyle w:val="Heading1"/>
        <w:pBdr>
          <w:bottom w:val="single" w:sz="4" w:space="1" w:color="FB9120"/>
        </w:pBdr>
      </w:pPr>
      <w:r>
        <w:rPr>
          <w:rFonts w:ascii="Calibri" w:hAnsi="Calibri"/>
          <w:b/>
          <w:color w:val="3B4259"/>
          <w:sz w:val="40"/>
        </w:rPr>
        <w:t>6. Peer Commentary Read-Through</w:t>
      </w:r>
    </w:p>
    <w:p>
      <w:r>
        <w:rPr>
          <w:rFonts w:ascii="Calibri" w:hAnsi="Calibri"/>
          <w:b/>
          <w:color w:val="525866"/>
          <w:sz w:val="22"/>
        </w:rPr>
        <w:t xml:space="preserve">Key Takeaway: </w:t>
      </w:r>
      <w:r>
        <w:rPr>
          <w:rFonts w:ascii="Calibri" w:hAnsi="Calibri"/>
          <w:color w:val="525866"/>
          <w:sz w:val="22"/>
        </w:rPr>
        <w:t>Peer Q2 2026 earnings calls (reported July 22–29) provide a mixed-to-cautiously-positive read-through for AOS — residential demand remains soft and competitive, but commercial end markets are showing resilience, channel inventories are normalized, and pricing actions are taking hold; China remains a universal headwind across the peer group.</w:t>
      </w:r>
    </w:p>
    <w:p>
      <w:r>
        <w:rPr>
          <w:rFonts w:ascii="Calibri" w:hAnsi="Calibri"/>
          <w:b/>
          <w:color w:val="525866"/>
          <w:sz w:val="22"/>
        </w:rPr>
        <w:t xml:space="preserve">Scope: </w:t>
      </w:r>
      <w:r>
        <w:rPr>
          <w:rFonts w:ascii="Calibri" w:hAnsi="Calibri"/>
          <w:color w:val="525866"/>
          <w:sz w:val="22"/>
        </w:rPr>
        <w:t>Only commentary from Q2 2026 earnings calls (reported July 22–29, 2026) addressing the forward outlook (Q3 2026 and beyond) is included below. Retrospective Q2 results commentary is excluded. Peers covered: LII (Lennox International), DOV (Dover), XYL (Xylem), SWK (Stanley Black &amp; Decker).</w:t>
      </w:r>
    </w:p>
    <w:p>
      <w:pPr>
        <w:pStyle w:val="Heading2"/>
      </w:pPr>
      <w:r>
        <w:rPr>
          <w:rFonts w:ascii="Calibri" w:hAnsi="Calibri"/>
          <w:b/>
          <w:color w:val="3B4259"/>
          <w:sz w:val="28"/>
        </w:rPr>
        <w:t>LII — Lennox International (Q2 2026 Earnings, July 29, 2026)</w:t>
      </w:r>
    </w:p>
    <w:p>
      <w:r>
        <w:rPr>
          <w:rFonts w:ascii="Calibri" w:hAnsi="Calibri"/>
          <w:b/>
          <w:color w:val="525866"/>
          <w:sz w:val="22"/>
        </w:rPr>
        <w:t xml:space="preserve">Relevance to AOS: </w:t>
      </w:r>
      <w:r>
        <w:rPr>
          <w:rFonts w:ascii="Calibri" w:hAnsi="Calibri"/>
          <w:color w:val="525866"/>
          <w:sz w:val="22"/>
        </w:rPr>
        <w:t>Direct — LII is the most directly comparable peer, sharing exposure to residential and commercial HVAC/water heating end markets, replacement demand dynamics, new construction, and the same tariff/cost environment.</w:t>
      </w:r>
    </w:p>
    <w:p>
      <w:pPr>
        <w:pStyle w:val="ListBullet"/>
        <w:ind w:left="360" w:hanging="360"/>
      </w:pPr>
      <w:r>
        <w:rPr>
          <w:rFonts w:ascii="Calibri" w:hAnsi="Calibri"/>
          <w:b/>
          <w:color w:val="525866"/>
          <w:sz w:val="22"/>
        </w:rPr>
        <w:t>Residential demand recovery pushed to 2027:</w:t>
      </w:r>
      <w:r>
        <w:rPr>
          <w:rFonts w:ascii="Calibri" w:hAnsi="Calibri"/>
          <w:b/>
          <w:color w:val="E5484D"/>
          <w:sz w:val="22"/>
        </w:rPr>
        <w:t xml:space="preserve"> LII now expects "the most meaningful recovery benefits to extend into 2027 rather than occur in the back half of this year," citing elevated mortgage rates, inflationary pressures, and historically low consumer confidence. This is a </w:t>
      </w:r>
      <w:r>
        <w:rPr>
          <w:rFonts w:ascii="Calibri" w:hAnsi="Calibri"/>
          <w:color w:val="525866"/>
          <w:sz w:val="22"/>
        </w:rPr>
        <w:t xml:space="preserve"> read-through for AOS's residential water heater volumes in H2 2026 and supports the view that the DOE enforcement delay impact on commercial pre-buy is not the only headwind.</w:t>
      </w:r>
    </w:p>
    <w:p>
      <w:pPr>
        <w:pStyle w:val="ListBullet"/>
        <w:ind w:left="360" w:hanging="360"/>
      </w:pPr>
      <w:r>
        <w:rPr>
          <w:rFonts w:ascii="Calibri" w:hAnsi="Calibri"/>
          <w:b/>
          <w:color w:val="525866"/>
          <w:sz w:val="22"/>
        </w:rPr>
        <w:t>Residential new construction (RNC) intensely competitive:</w:t>
      </w:r>
      <w:r>
        <w:rPr>
          <w:rFonts w:ascii="Calibri" w:hAnsi="Calibri"/>
          <w:b/>
          <w:color w:val="E5484D"/>
          <w:sz w:val="22"/>
        </w:rPr>
        <w:t xml:space="preserve"> LII CEO noted being "surprised by the price competition in the residential new construction" and walked away from low-margin RNC business. AOS faces similar dynamics in the wholesale residential water heater channel — </w:t>
      </w:r>
      <w:r>
        <w:rPr>
          <w:rFonts w:ascii="Calibri" w:hAnsi="Calibri"/>
          <w:color w:val="525866"/>
          <w:sz w:val="22"/>
        </w:rPr>
        <w:t xml:space="preserve"> read-through for AOS's ability to hold share without margin sacrifice in new construction.</w:t>
      </w:r>
    </w:p>
    <w:p>
      <w:pPr>
        <w:pStyle w:val="ListBullet"/>
        <w:ind w:left="360" w:hanging="360"/>
      </w:pPr>
      <w:r>
        <w:rPr>
          <w:rFonts w:ascii="Calibri" w:hAnsi="Calibri"/>
          <w:b/>
          <w:color w:val="525866"/>
          <w:sz w:val="22"/>
        </w:rPr>
        <w:t>Commercial end markets showing signs of life:</w:t>
      </w:r>
      <w:r>
        <w:rPr>
          <w:rFonts w:ascii="Calibri" w:hAnsi="Calibri"/>
          <w:b/>
          <w:color w:val="30A46C"/>
          <w:sz w:val="22"/>
        </w:rPr>
        <w:t xml:space="preserve"> LII cited "signs of progress across commercial end markets" and "momentum in emergency replacement," with light commercial strength driven by share gains. </w:t>
      </w:r>
      <w:r>
        <w:rPr>
          <w:rFonts w:ascii="Calibri" w:hAnsi="Calibri"/>
          <w:color w:val="525866"/>
          <w:sz w:val="22"/>
        </w:rPr>
        <w:t xml:space="preserve"> read-through for AOS's commercial water heater and boiler business, though the DOE enforcement delay has already reset AOS's commercial pre-buy expectations.</w:t>
      </w:r>
    </w:p>
    <w:p>
      <w:pPr>
        <w:pStyle w:val="ListBullet"/>
        <w:ind w:left="360" w:hanging="360"/>
      </w:pPr>
      <w:r>
        <w:rPr>
          <w:rFonts w:ascii="Calibri" w:hAnsi="Calibri"/>
          <w:b/>
          <w:color w:val="525866"/>
          <w:sz w:val="22"/>
        </w:rPr>
        <w:t>Channel inventory normalized:</w:t>
      </w:r>
      <w:r>
        <w:rPr>
          <w:rFonts w:ascii="Calibri" w:hAnsi="Calibri"/>
          <w:b/>
          <w:color w:val="30A46C"/>
          <w:sz w:val="22"/>
        </w:rPr>
        <w:t xml:space="preserve"> LII confirmed "channel inventory is pretty normalized and there's no more destocking." </w:t>
      </w:r>
      <w:r>
        <w:rPr>
          <w:rFonts w:ascii="Calibri" w:hAnsi="Calibri"/>
          <w:color w:val="525866"/>
          <w:sz w:val="22"/>
        </w:rPr>
        <w:t xml:space="preserve"> read-through for AOS — AOS management noted channel inventories were in line with expectations at Q1; LII's confirmation of normalization reduces the risk of a channel inventory surprise.</w:t>
      </w:r>
    </w:p>
    <w:p>
      <w:pPr>
        <w:pStyle w:val="ListBullet"/>
        <w:ind w:left="360" w:hanging="360"/>
      </w:pPr>
      <w:r>
        <w:rPr>
          <w:rFonts w:ascii="Calibri" w:hAnsi="Calibri"/>
          <w:b/>
          <w:color w:val="525866"/>
          <w:sz w:val="22"/>
        </w:rPr>
        <w:t>Pricing actions effective July 1:</w:t>
      </w:r>
      <w:r>
        <w:rPr>
          <w:rFonts w:ascii="Calibri" w:hAnsi="Calibri"/>
          <w:b/>
          <w:color w:val="30A46C"/>
          <w:sz w:val="22"/>
        </w:rPr>
        <w:t xml:space="preserve"> LII noted "a large portion of the 232 tariff pricing is going to get into effect on 1st July." AOS's own price increases (4–7% on water heaters and boilers) were effective mid-May with benefit expected in Q3. </w:t>
      </w:r>
      <w:r>
        <w:rPr>
          <w:rFonts w:ascii="Calibri" w:hAnsi="Calibri"/>
          <w:color w:val="525866"/>
          <w:sz w:val="22"/>
        </w:rPr>
        <w:t xml:space="preserve"> read-through — industry-wide pricing discipline is holding.</w:t>
      </w:r>
    </w:p>
    <w:p>
      <w:pPr>
        <w:pStyle w:val="ListBullet"/>
        <w:ind w:left="360" w:hanging="360"/>
      </w:pPr>
      <w:r>
        <w:rPr>
          <w:rFonts w:ascii="Calibri" w:hAnsi="Calibri"/>
          <w:b/>
          <w:color w:val="525866"/>
          <w:sz w:val="22"/>
        </w:rPr>
        <w:t>Full-year EPS guidance cut:</w:t>
      </w:r>
      <w:r>
        <w:rPr>
          <w:rFonts w:ascii="Calibri" w:hAnsi="Calibri"/>
          <w:color w:val="525866"/>
          <w:sz w:val="22"/>
        </w:rPr>
        <w:t xml:space="preserve"> LII reduced FY 2026 adj. EPS guidance to $23–24 (from $25–26), primarily driven by lower residential volumes. This is a cautionary signal — if LII, with a more purely domestic residential/commercial HVAC focus, is cutting guidance, AOS's own guidance reset at Q1 may prove prescient rather than conservative.</w:t>
      </w:r>
    </w:p>
    <w:p>
      <w:pPr>
        <w:pStyle w:val="Heading2"/>
      </w:pPr>
      <w:r>
        <w:rPr>
          <w:rFonts w:ascii="Calibri" w:hAnsi="Calibri"/>
          <w:b/>
          <w:color w:val="3B4259"/>
          <w:sz w:val="28"/>
        </w:rPr>
        <w:t>DOV — Dover Corporation (Q2 2026 Earnings, July 23, 2026)</w:t>
      </w:r>
    </w:p>
    <w:p>
      <w:r>
        <w:rPr>
          <w:rFonts w:ascii="Calibri" w:hAnsi="Calibri"/>
          <w:b/>
          <w:color w:val="525866"/>
          <w:sz w:val="22"/>
        </w:rPr>
        <w:t xml:space="preserve">Relevance to AOS: </w:t>
      </w:r>
      <w:r>
        <w:rPr>
          <w:rFonts w:ascii="Calibri" w:hAnsi="Calibri"/>
          <w:color w:val="525866"/>
          <w:sz w:val="22"/>
        </w:rPr>
        <w:t>Indirect — DOV is a diversified industrial with limited direct water heating overlap, but its commentary on HVAC-adjacent end markets (heat exchangers, refrigeration, commercial buildings) and tariff/cost management is relevant to AOS's industrial cost structure and commercial end market outlook.</w:t>
      </w:r>
    </w:p>
    <w:p>
      <w:pPr>
        <w:pStyle w:val="ListBullet"/>
        <w:ind w:left="360" w:hanging="360"/>
      </w:pPr>
      <w:r>
        <w:rPr>
          <w:rFonts w:ascii="Calibri" w:hAnsi="Calibri"/>
          <w:b/>
          <w:color w:val="525866"/>
          <w:sz w:val="22"/>
        </w:rPr>
        <w:t>Raising full-year EPS guidance:</w:t>
      </w:r>
      <w:r>
        <w:rPr>
          <w:rFonts w:ascii="Calibri" w:hAnsi="Calibri"/>
          <w:b/>
          <w:color w:val="30A46C"/>
          <w:sz w:val="22"/>
        </w:rPr>
        <w:t xml:space="preserve"> DOV raised FY 2026 adj. EPS guidance, citing "demand signals remain constructive across the portfolio" and "strength and duration of our order book." </w:t>
      </w:r>
      <w:r>
        <w:rPr>
          <w:rFonts w:ascii="Calibri" w:hAnsi="Calibri"/>
          <w:color w:val="525866"/>
          <w:sz w:val="22"/>
        </w:rPr>
        <w:t xml:space="preserve"> read-through for broader industrial demand environment, though DOV's mix (data center heat exchangers, CO2 refrigeration) is more secular-growth-driven than AOS's replacement-heavy model.</w:t>
      </w:r>
    </w:p>
    <w:p>
      <w:pPr>
        <w:pStyle w:val="ListBullet"/>
        <w:ind w:left="360" w:hanging="360"/>
      </w:pPr>
      <w:r>
        <w:rPr>
          <w:rFonts w:ascii="Calibri" w:hAnsi="Calibri"/>
          <w:b/>
          <w:color w:val="525866"/>
          <w:sz w:val="22"/>
        </w:rPr>
        <w:t>Commercial building demand resilient:</w:t>
      </w:r>
      <w:r>
        <w:rPr>
          <w:rFonts w:ascii="Calibri" w:hAnsi="Calibri"/>
          <w:b/>
          <w:color w:val="30A46C"/>
          <w:sz w:val="22"/>
        </w:rPr>
        <w:t xml:space="preserve"> DOV cited recovery in refrigerated door cases and engineering services "from 20-year lows as national retailers reengage in maintenance and replacement activity." </w:t>
      </w:r>
      <w:r>
        <w:rPr>
          <w:rFonts w:ascii="Calibri" w:hAnsi="Calibri"/>
          <w:color w:val="525866"/>
          <w:sz w:val="22"/>
        </w:rPr>
        <w:t xml:space="preserve"> read-through for AOS's commercial water heater replacement demand.</w:t>
      </w:r>
    </w:p>
    <w:p>
      <w:pPr>
        <w:pStyle w:val="ListBullet"/>
        <w:ind w:left="360" w:hanging="360"/>
      </w:pPr>
      <w:r>
        <w:rPr>
          <w:rFonts w:ascii="Calibri" w:hAnsi="Calibri"/>
          <w:b/>
          <w:color w:val="525866"/>
          <w:sz w:val="22"/>
        </w:rPr>
        <w:t>Input cost inflation being managed:</w:t>
      </w:r>
      <w:r>
        <w:rPr>
          <w:rFonts w:ascii="Calibri" w:hAnsi="Calibri"/>
          <w:color w:val="525866"/>
          <w:sz w:val="22"/>
        </w:rPr>
        <w:t xml:space="preserve"> DOV noted "operational execution on incremental volume more than offset input cost inflation and facility consolidation costs." Neutral read-through for AOS — AOS faces similar steel/freight inflation but has announced price increases to offset.</w:t>
      </w:r>
    </w:p>
    <w:p>
      <w:pPr>
        <w:pStyle w:val="ListBullet"/>
        <w:ind w:left="360" w:hanging="360"/>
      </w:pPr>
      <w:r>
        <w:rPr>
          <w:rFonts w:ascii="Calibri" w:hAnsi="Calibri"/>
          <w:b/>
          <w:color w:val="525866"/>
          <w:sz w:val="22"/>
        </w:rPr>
        <w:t>China remains a universal headwind:</w:t>
      </w:r>
      <w:r>
        <w:rPr>
          <w:rFonts w:ascii="Calibri" w:hAnsi="Calibri"/>
          <w:color w:val="525866"/>
          <w:sz w:val="22"/>
        </w:rPr>
        <w:t xml:space="preserve"> DOV did not provide specific China commentary relevant to AOS's water heating business, but the broader industrial China weakness is consistent with AOS's own experience.</w:t>
      </w:r>
    </w:p>
    <w:p>
      <w:pPr>
        <w:pStyle w:val="Heading2"/>
      </w:pPr>
      <w:r>
        <w:rPr>
          <w:rFonts w:ascii="Calibri" w:hAnsi="Calibri"/>
          <w:b/>
          <w:color w:val="3B4259"/>
          <w:sz w:val="28"/>
        </w:rPr>
        <w:t>XYL — Xylem (Q2 2026 Earnings, July 28, 2026)</w:t>
      </w:r>
    </w:p>
    <w:p>
      <w:r>
        <w:rPr>
          <w:rFonts w:ascii="Calibri" w:hAnsi="Calibri"/>
          <w:b/>
          <w:color w:val="525866"/>
          <w:sz w:val="22"/>
        </w:rPr>
        <w:t xml:space="preserve">Relevance to AOS: </w:t>
      </w:r>
      <w:r>
        <w:rPr>
          <w:rFonts w:ascii="Calibri" w:hAnsi="Calibri"/>
          <w:color w:val="525866"/>
          <w:sz w:val="22"/>
        </w:rPr>
        <w:t>Indirect — XYL is a water technology company with some end-market overlap (commercial buildings, water treatment, China), but its primary exposure is to municipal water infrastructure rather than residential/commercial water heating.</w:t>
      </w:r>
    </w:p>
    <w:p>
      <w:pPr>
        <w:pStyle w:val="ListBullet"/>
        <w:ind w:left="360" w:hanging="360"/>
      </w:pPr>
      <w:r>
        <w:rPr>
          <w:rFonts w:ascii="Calibri" w:hAnsi="Calibri"/>
          <w:b/>
          <w:color w:val="525866"/>
          <w:sz w:val="22"/>
        </w:rPr>
        <w:t>U.S. commercial buildings resilient:</w:t>
      </w:r>
      <w:r>
        <w:rPr>
          <w:rFonts w:ascii="Calibri" w:hAnsi="Calibri"/>
          <w:b/>
          <w:color w:val="30A46C"/>
          <w:sz w:val="22"/>
        </w:rPr>
        <w:t xml:space="preserve"> XYL cited "resiliency in the US commercial building space" and expects to "continue to build backlog here in the second half leading into a strong 27." </w:t>
      </w:r>
      <w:r>
        <w:rPr>
          <w:rFonts w:ascii="Calibri" w:hAnsi="Calibri"/>
          <w:color w:val="525866"/>
          <w:sz w:val="22"/>
        </w:rPr>
        <w:t xml:space="preserve"> read-through for AOS's commercial water heater and boiler demand in H2 2026.</w:t>
      </w:r>
    </w:p>
    <w:p>
      <w:pPr>
        <w:pStyle w:val="ListBullet"/>
        <w:ind w:left="360" w:hanging="360"/>
      </w:pPr>
      <w:r>
        <w:rPr>
          <w:rFonts w:ascii="Calibri" w:hAnsi="Calibri"/>
          <w:b/>
          <w:color w:val="525866"/>
          <w:sz w:val="22"/>
        </w:rPr>
        <w:t>Residential end market remains weak:</w:t>
      </w:r>
      <w:r>
        <w:rPr>
          <w:rFonts w:ascii="Calibri" w:hAnsi="Calibri"/>
          <w:b/>
          <w:color w:val="E5484D"/>
          <w:sz w:val="22"/>
        </w:rPr>
        <w:t xml:space="preserve"> XYL identified its "small resi exposure" as "the one area of weakness" within Applied Water. Consistent with AOS's own residential water heater volume headwinds — </w:t>
      </w:r>
      <w:r>
        <w:rPr>
          <w:rFonts w:ascii="Calibri" w:hAnsi="Calibri"/>
          <w:color w:val="525866"/>
          <w:sz w:val="22"/>
        </w:rPr>
        <w:t xml:space="preserve"> read-through.</w:t>
      </w:r>
    </w:p>
    <w:p>
      <w:pPr>
        <w:pStyle w:val="ListBullet"/>
        <w:ind w:left="360" w:hanging="360"/>
      </w:pPr>
      <w:r>
        <w:rPr>
          <w:rFonts w:ascii="Calibri" w:hAnsi="Calibri"/>
          <w:b/>
          <w:color w:val="525866"/>
          <w:sz w:val="22"/>
        </w:rPr>
        <w:t>China down 30%+ with stabilization:</w:t>
      </w:r>
      <w:r>
        <w:rPr>
          <w:rFonts w:ascii="Calibri" w:hAnsi="Calibri"/>
          <w:b/>
          <w:color w:val="E5484D"/>
          <w:sz w:val="22"/>
        </w:rPr>
        <w:t xml:space="preserve"> XYL reported Q2 China orders and sales both down "over 30%" but noted the market has "stabilized a bit" with some data center wins. XYL expects China to be "sequentially similar from a total volume perspective" in H2. </w:t>
      </w:r>
      <w:r>
        <w:rPr>
          <w:rFonts w:ascii="Calibri" w:hAnsi="Calibri"/>
          <w:color w:val="525866"/>
          <w:sz w:val="22"/>
        </w:rPr>
        <w:t xml:space="preserve"> read-through for AOS China — XYL's stabilization commentary is marginally positive but the magnitude of declines is consistent with AOS's own guided trajectory.</w:t>
      </w:r>
    </w:p>
    <w:p>
      <w:pPr>
        <w:pStyle w:val="ListBullet"/>
        <w:ind w:left="360" w:hanging="360"/>
      </w:pPr>
      <w:r>
        <w:rPr>
          <w:rFonts w:ascii="Calibri" w:hAnsi="Calibri"/>
          <w:b/>
          <w:color w:val="525866"/>
          <w:sz w:val="22"/>
        </w:rPr>
        <w:t>Tariffs: no material impact:</w:t>
      </w:r>
      <w:r>
        <w:rPr>
          <w:rFonts w:ascii="Calibri" w:hAnsi="Calibri"/>
          <w:color w:val="525866"/>
          <w:sz w:val="22"/>
        </w:rPr>
        <w:t xml:space="preserve"> XYL noted "no material impact to our projected results from recently announced changes in tariffs or tariff refunds." Neutral read-through for AOS, which has guided tariffs as net neutral to slightly favorable.</w:t>
      </w:r>
    </w:p>
    <w:p>
      <w:pPr>
        <w:pStyle w:val="ListBullet"/>
        <w:ind w:left="360" w:hanging="360"/>
      </w:pPr>
      <w:r>
        <w:rPr>
          <w:rFonts w:ascii="Calibri" w:hAnsi="Calibri"/>
          <w:b/>
          <w:color w:val="525866"/>
          <w:sz w:val="22"/>
        </w:rPr>
        <w:t>Raised EPS guidance:</w:t>
      </w:r>
      <w:r>
        <w:rPr>
          <w:rFonts w:ascii="Calibri" w:hAnsi="Calibri"/>
          <w:color w:val="525866"/>
          <w:sz w:val="22"/>
        </w:rPr>
        <w:t xml:space="preserve"> XYL raised FY 2026 EPS range to $5.50–$5.70 (from $5.35–$5.60), citing strong first-half performance and share repurchases. Positive for broader industrial sentiment but less directly relevant to AOS's specific end markets.</w:t>
      </w:r>
    </w:p>
    <w:p>
      <w:pPr>
        <w:pStyle w:val="Heading2"/>
      </w:pPr>
      <w:r>
        <w:rPr>
          <w:rFonts w:ascii="Calibri" w:hAnsi="Calibri"/>
          <w:b/>
          <w:color w:val="3B4259"/>
          <w:sz w:val="28"/>
        </w:rPr>
        <w:t>SWK — Stanley Black &amp; Decker (Q2 2026 Earnings, July 29, 2026)</w:t>
      </w:r>
    </w:p>
    <w:p>
      <w:r>
        <w:rPr>
          <w:rFonts w:ascii="Calibri" w:hAnsi="Calibri"/>
          <w:b/>
          <w:color w:val="525866"/>
          <w:sz w:val="22"/>
        </w:rPr>
        <w:t xml:space="preserve">Relevance to AOS: </w:t>
      </w:r>
      <w:r>
        <w:rPr>
          <w:rFonts w:ascii="Calibri" w:hAnsi="Calibri"/>
          <w:color w:val="525866"/>
          <w:sz w:val="22"/>
        </w:rPr>
        <w:t>Indirect — SWK's primary exposure is tools and outdoor equipment, with limited direct water heating overlap. However, its commentary on consumer behavior, tariff dynamics, and non-residential construction is tangentially relevant.</w:t>
      </w:r>
    </w:p>
    <w:p>
      <w:pPr>
        <w:pStyle w:val="ListBullet"/>
        <w:ind w:left="360" w:hanging="360"/>
      </w:pPr>
      <w:r>
        <w:rPr>
          <w:rFonts w:ascii="Calibri" w:hAnsi="Calibri"/>
          <w:b/>
          <w:color w:val="525866"/>
          <w:sz w:val="22"/>
        </w:rPr>
        <w:t>Consumer more promotion-driven:</w:t>
      </w:r>
      <w:r>
        <w:rPr>
          <w:rFonts w:ascii="Calibri" w:hAnsi="Calibri"/>
          <w:b/>
          <w:color w:val="E5484D"/>
          <w:sz w:val="22"/>
        </w:rPr>
        <w:t xml:space="preserve"> SWK noted "the consumer is generally more motivated by promotion right now." This is consistent with AOS's own observation of consumer trade-down in water treatment retail channels — </w:t>
      </w:r>
      <w:r>
        <w:rPr>
          <w:rFonts w:ascii="Calibri" w:hAnsi="Calibri"/>
          <w:color w:val="525866"/>
          <w:sz w:val="22"/>
        </w:rPr>
        <w:t xml:space="preserve"> read-through for AOS's water treatment consumer-facing business (~half of the segment).</w:t>
      </w:r>
    </w:p>
    <w:p>
      <w:pPr>
        <w:pStyle w:val="ListBullet"/>
        <w:ind w:left="360" w:hanging="360"/>
      </w:pPr>
      <w:r>
        <w:rPr>
          <w:rFonts w:ascii="Calibri" w:hAnsi="Calibri"/>
          <w:b/>
          <w:color w:val="525866"/>
          <w:sz w:val="22"/>
        </w:rPr>
        <w:t>Non-residential construction strong:</w:t>
      </w:r>
      <w:r>
        <w:rPr>
          <w:rFonts w:ascii="Calibri" w:hAnsi="Calibri"/>
          <w:b/>
          <w:color w:val="30A46C"/>
          <w:sz w:val="22"/>
        </w:rPr>
        <w:t xml:space="preserve"> SWK cited strong demand in "data centers, power generation, and prefabrication manufacturing" within non-residential construction. </w:t>
      </w:r>
      <w:r>
        <w:rPr>
          <w:rFonts w:ascii="Calibri" w:hAnsi="Calibri"/>
          <w:color w:val="525866"/>
          <w:sz w:val="22"/>
        </w:rPr>
        <w:t xml:space="preserve"> read-through for AOS's commercial boiler and water heater business serving non-residential construction.</w:t>
      </w:r>
    </w:p>
    <w:p>
      <w:pPr>
        <w:pStyle w:val="ListBullet"/>
        <w:ind w:left="360" w:hanging="360"/>
      </w:pPr>
      <w:r>
        <w:rPr>
          <w:rFonts w:ascii="Calibri" w:hAnsi="Calibri"/>
          <w:b/>
          <w:color w:val="525866"/>
          <w:sz w:val="22"/>
        </w:rPr>
        <w:t>Tariff costs returning to prior levels:</w:t>
      </w:r>
      <w:r>
        <w:rPr>
          <w:rFonts w:ascii="Calibri" w:hAnsi="Calibri"/>
          <w:color w:val="525866"/>
          <w:sz w:val="22"/>
        </w:rPr>
        <w:t xml:space="preserve"> SWK noted new Section 301 tariffs "are likely to be introduced during the next few months at the same level as the old IP tariffs," meaning tariff costs will return to prior run-rate levels. Neutral-to-slightly-negative read-through for AOS, which has already factored tariffs into its cost guidance.</w:t>
      </w:r>
    </w:p>
    <w:p>
      <w:pPr>
        <w:pStyle w:val="ListBullet"/>
        <w:ind w:left="360" w:hanging="360"/>
      </w:pPr>
      <w:r>
        <w:rPr>
          <w:rFonts w:ascii="Calibri" w:hAnsi="Calibri"/>
          <w:b/>
          <w:color w:val="525866"/>
          <w:sz w:val="22"/>
        </w:rPr>
        <w:t>Raising and tightening EPS guidance:</w:t>
      </w:r>
      <w:r>
        <w:rPr>
          <w:rFonts w:ascii="Calibri" w:hAnsi="Calibri"/>
          <w:color w:val="525866"/>
          <w:sz w:val="22"/>
        </w:rPr>
        <w:t xml:space="preserve"> SWK raised FY 2026 adj. EPS to $5.20–$5.80 (+18% YoY at midpoint). Positive for broader industrial sentiment but driven by SWK-specific restructuring and tariff refunds rather than end-market read-through.</w:t>
      </w:r>
    </w:p>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AOS Implication</w:t>
            </w:r>
          </w:p>
        </w:tc>
        <w:tc>
          <w:tcPr>
            <w:tcW w:type="dxa" w:w="2160"/>
            <w:shd w:val="clear" w:color="auto" w:fill="3B4259"/>
          </w:tcPr>
          <w:p>
            <w:r>
              <w:rPr>
                <w:rFonts w:ascii="Calibri" w:hAnsi="Calibri"/>
                <w:b/>
                <w:color w:val="FFFFFF"/>
                <w:sz w:val="22"/>
              </w:rPr>
              <w:t>Primary Source</w:t>
            </w:r>
          </w:p>
        </w:tc>
      </w:tr>
      <w:tr>
        <w:tc>
          <w:tcPr>
            <w:tcW w:type="dxa" w:w="2160"/>
          </w:tcPr>
          <w:p>
            <w:r>
              <w:rPr>
                <w:rFonts w:ascii="Calibri" w:hAnsi="Calibri"/>
                <w:sz w:val="22"/>
              </w:rPr>
              <w:t>Residential demand recovery</w:t>
            </w:r>
          </w:p>
        </w:tc>
        <w:tc>
          <w:tcPr>
            <w:tcW w:type="dxa" w:w="2160"/>
          </w:tcPr>
          <w:p>
            <w:r>
              <w:rPr>
                <w:rFonts w:ascii="Calibri" w:hAnsi="Calibri"/>
                <w:b/>
                <w:color w:val="E5484D"/>
                <w:sz w:val="22"/>
              </w:rPr>
              <w:t>Pushed to 2027</w:t>
            </w:r>
          </w:p>
        </w:tc>
        <w:tc>
          <w:tcPr>
            <w:tcW w:type="dxa" w:w="2160"/>
          </w:tcPr>
          <w:p>
            <w:r>
              <w:rPr>
                <w:rFonts w:ascii="Calibri" w:hAnsi="Calibri"/>
                <w:sz w:val="22"/>
              </w:rPr>
              <w:t>Residential water heater volumes remain pressured in H2 2026; replacement demand steady but new construction weak</w:t>
            </w:r>
          </w:p>
        </w:tc>
        <w:tc>
          <w:tcPr>
            <w:tcW w:type="dxa" w:w="2160"/>
          </w:tcPr>
          <w:p>
            <w:r>
              <w:rPr>
                <w:rFonts w:ascii="Calibri" w:hAnsi="Calibri"/>
                <w:sz w:val="22"/>
              </w:rPr>
              <w:t>LII</w:t>
            </w:r>
          </w:p>
        </w:tc>
      </w:tr>
      <w:tr>
        <w:tc>
          <w:tcPr>
            <w:tcW w:type="dxa" w:w="2160"/>
          </w:tcPr>
          <w:p>
            <w:r>
              <w:rPr>
                <w:rFonts w:ascii="Calibri" w:hAnsi="Calibri"/>
                <w:sz w:val="22"/>
              </w:rPr>
              <w:t>RNC competition</w:t>
            </w:r>
          </w:p>
        </w:tc>
        <w:tc>
          <w:tcPr>
            <w:tcW w:type="dxa" w:w="2160"/>
          </w:tcPr>
          <w:p>
            <w:r>
              <w:rPr>
                <w:rFonts w:ascii="Calibri" w:hAnsi="Calibri"/>
                <w:b/>
                <w:color w:val="E5484D"/>
                <w:sz w:val="22"/>
              </w:rPr>
              <w:t>Intensely competitive</w:t>
            </w:r>
          </w:p>
        </w:tc>
        <w:tc>
          <w:tcPr>
            <w:tcW w:type="dxa" w:w="2160"/>
          </w:tcPr>
          <w:p>
            <w:r>
              <w:rPr>
                <w:rFonts w:ascii="Calibri" w:hAnsi="Calibri"/>
                <w:sz w:val="22"/>
              </w:rPr>
              <w:t>AOS wholesale channel share pressure may persist; margin protection requires discipline</w:t>
            </w:r>
          </w:p>
        </w:tc>
        <w:tc>
          <w:tcPr>
            <w:tcW w:type="dxa" w:w="2160"/>
          </w:tcPr>
          <w:p>
            <w:r>
              <w:rPr>
                <w:rFonts w:ascii="Calibri" w:hAnsi="Calibri"/>
                <w:sz w:val="22"/>
              </w:rPr>
              <w:t>LII</w:t>
            </w:r>
          </w:p>
        </w:tc>
      </w:tr>
      <w:tr>
        <w:tc>
          <w:tcPr>
            <w:tcW w:type="dxa" w:w="2160"/>
          </w:tcPr>
          <w:p>
            <w:r>
              <w:rPr>
                <w:rFonts w:ascii="Calibri" w:hAnsi="Calibri"/>
                <w:sz w:val="22"/>
              </w:rPr>
              <w:t>Commercial end markets</w:t>
            </w:r>
          </w:p>
        </w:tc>
        <w:tc>
          <w:tcPr>
            <w:tcW w:type="dxa" w:w="2160"/>
          </w:tcPr>
          <w:p>
            <w:r>
              <w:rPr>
                <w:rFonts w:ascii="Calibri" w:hAnsi="Calibri"/>
                <w:b/>
                <w:color w:val="30A46C"/>
                <w:sz w:val="22"/>
              </w:rPr>
              <w:t>Showing signs of life</w:t>
            </w:r>
          </w:p>
        </w:tc>
        <w:tc>
          <w:tcPr>
            <w:tcW w:type="dxa" w:w="2160"/>
          </w:tcPr>
          <w:p>
            <w:r>
              <w:rPr>
                <w:rFonts w:ascii="Calibri" w:hAnsi="Calibri"/>
                <w:sz w:val="22"/>
              </w:rPr>
              <w:t>Positive for AOS commercial water heater and boiler demand; partially offset by DOE enforcement delay removing pre-buy</w:t>
            </w:r>
          </w:p>
        </w:tc>
        <w:tc>
          <w:tcPr>
            <w:tcW w:type="dxa" w:w="2160"/>
          </w:tcPr>
          <w:p>
            <w:r>
              <w:rPr>
                <w:rFonts w:ascii="Calibri" w:hAnsi="Calibri"/>
                <w:sz w:val="22"/>
              </w:rPr>
              <w:t>LII, DOV, XYL</w:t>
            </w:r>
          </w:p>
        </w:tc>
      </w:tr>
      <w:tr>
        <w:tc>
          <w:tcPr>
            <w:tcW w:type="dxa" w:w="2160"/>
          </w:tcPr>
          <w:p>
            <w:r>
              <w:rPr>
                <w:rFonts w:ascii="Calibri" w:hAnsi="Calibri"/>
                <w:sz w:val="22"/>
              </w:rPr>
              <w:t>Channel inventory</w:t>
            </w:r>
          </w:p>
        </w:tc>
        <w:tc>
          <w:tcPr>
            <w:tcW w:type="dxa" w:w="2160"/>
          </w:tcPr>
          <w:p>
            <w:r>
              <w:rPr>
                <w:rFonts w:ascii="Calibri" w:hAnsi="Calibri"/>
                <w:b/>
                <w:color w:val="30A46C"/>
                <w:sz w:val="22"/>
              </w:rPr>
              <w:t>Normalized</w:t>
            </w:r>
          </w:p>
        </w:tc>
        <w:tc>
          <w:tcPr>
            <w:tcW w:type="dxa" w:w="2160"/>
          </w:tcPr>
          <w:p>
            <w:r>
              <w:rPr>
                <w:rFonts w:ascii="Calibri" w:hAnsi="Calibri"/>
                <w:sz w:val="22"/>
              </w:rPr>
              <w:t>Reduces risk of inventory-driven volume surprise; AOS Q1 commentary consistent</w:t>
            </w:r>
          </w:p>
        </w:tc>
        <w:tc>
          <w:tcPr>
            <w:tcW w:type="dxa" w:w="2160"/>
          </w:tcPr>
          <w:p>
            <w:r>
              <w:rPr>
                <w:rFonts w:ascii="Calibri" w:hAnsi="Calibri"/>
                <w:sz w:val="22"/>
              </w:rPr>
              <w:t>LII</w:t>
            </w:r>
          </w:p>
        </w:tc>
      </w:tr>
      <w:tr>
        <w:tc>
          <w:tcPr>
            <w:tcW w:type="dxa" w:w="2160"/>
          </w:tcPr>
          <w:p>
            <w:r>
              <w:rPr>
                <w:rFonts w:ascii="Calibri" w:hAnsi="Calibri"/>
                <w:sz w:val="22"/>
              </w:rPr>
              <w:t>Pricing discipline</w:t>
            </w:r>
          </w:p>
        </w:tc>
        <w:tc>
          <w:tcPr>
            <w:tcW w:type="dxa" w:w="2160"/>
          </w:tcPr>
          <w:p>
            <w:r>
              <w:rPr>
                <w:rFonts w:ascii="Calibri" w:hAnsi="Calibri"/>
                <w:b/>
                <w:color w:val="30A46C"/>
                <w:sz w:val="22"/>
              </w:rPr>
              <w:t>Holding industry-wide</w:t>
            </w:r>
          </w:p>
        </w:tc>
        <w:tc>
          <w:tcPr>
            <w:tcW w:type="dxa" w:w="2160"/>
          </w:tcPr>
          <w:p>
            <w:r>
              <w:rPr>
                <w:rFonts w:ascii="Calibri" w:hAnsi="Calibri"/>
                <w:sz w:val="22"/>
              </w:rPr>
              <w:t>AOS mid-May price increases (4–7%) should realize in Q3; industry not undercutting</w:t>
            </w:r>
          </w:p>
        </w:tc>
        <w:tc>
          <w:tcPr>
            <w:tcW w:type="dxa" w:w="2160"/>
          </w:tcPr>
          <w:p>
            <w:r>
              <w:rPr>
                <w:rFonts w:ascii="Calibri" w:hAnsi="Calibri"/>
                <w:sz w:val="22"/>
              </w:rPr>
              <w:t>LII, SWK</w:t>
            </w:r>
          </w:p>
        </w:tc>
      </w:tr>
      <w:tr>
        <w:tc>
          <w:tcPr>
            <w:tcW w:type="dxa" w:w="2160"/>
          </w:tcPr>
          <w:p>
            <w:r>
              <w:rPr>
                <w:rFonts w:ascii="Calibri" w:hAnsi="Calibri"/>
                <w:sz w:val="22"/>
              </w:rPr>
              <w:t>China</w:t>
            </w:r>
          </w:p>
        </w:tc>
        <w:tc>
          <w:tcPr>
            <w:tcW w:type="dxa" w:w="2160"/>
          </w:tcPr>
          <w:p>
            <w:r>
              <w:rPr>
                <w:rFonts w:ascii="Calibri" w:hAnsi="Calibri"/>
                <w:b/>
                <w:color w:val="E5484D"/>
                <w:sz w:val="22"/>
              </w:rPr>
              <w:t>Universal headwind; stabilizing</w:t>
            </w:r>
          </w:p>
        </w:tc>
        <w:tc>
          <w:tcPr>
            <w:tcW w:type="dxa" w:w="2160"/>
          </w:tcPr>
          <w:p>
            <w:r>
              <w:rPr>
                <w:rFonts w:ascii="Calibri" w:hAnsi="Calibri"/>
                <w:sz w:val="22"/>
              </w:rPr>
              <w:t>AOS China guided down ~15% QoQ in Q2; XYL's 'stabilization' commentary is marginally positive but declines remain severe</w:t>
            </w:r>
          </w:p>
        </w:tc>
        <w:tc>
          <w:tcPr>
            <w:tcW w:type="dxa" w:w="2160"/>
          </w:tcPr>
          <w:p>
            <w:r>
              <w:rPr>
                <w:rFonts w:ascii="Calibri" w:hAnsi="Calibri"/>
                <w:sz w:val="22"/>
              </w:rPr>
              <w:t>XYL, DOV</w:t>
            </w:r>
          </w:p>
        </w:tc>
      </w:tr>
      <w:tr>
        <w:tc>
          <w:tcPr>
            <w:tcW w:type="dxa" w:w="2160"/>
          </w:tcPr>
          <w:p>
            <w:r>
              <w:rPr>
                <w:rFonts w:ascii="Calibri" w:hAnsi="Calibri"/>
                <w:sz w:val="22"/>
              </w:rPr>
              <w:t>Consumer behavior</w:t>
            </w:r>
          </w:p>
        </w:tc>
        <w:tc>
          <w:tcPr>
            <w:tcW w:type="dxa" w:w="2160"/>
          </w:tcPr>
          <w:p>
            <w:r>
              <w:rPr>
                <w:rFonts w:ascii="Calibri" w:hAnsi="Calibri"/>
                <w:b/>
                <w:color w:val="E5484D"/>
                <w:sz w:val="22"/>
              </w:rPr>
              <w:t>Promotion-driven, trade-down</w:t>
            </w:r>
          </w:p>
        </w:tc>
        <w:tc>
          <w:tcPr>
            <w:tcW w:type="dxa" w:w="2160"/>
          </w:tcPr>
          <w:p>
            <w:r>
              <w:rPr>
                <w:rFonts w:ascii="Calibri" w:hAnsi="Calibri"/>
                <w:sz w:val="22"/>
              </w:rPr>
              <w:t>Consistent with AOS water treatment retail channel weakness; supports reduced water treatment growth guidance</w:t>
            </w:r>
          </w:p>
        </w:tc>
        <w:tc>
          <w:tcPr>
            <w:tcW w:type="dxa" w:w="2160"/>
          </w:tcPr>
          <w:p>
            <w:r>
              <w:rPr>
                <w:rFonts w:ascii="Calibri" w:hAnsi="Calibri"/>
                <w:sz w:val="22"/>
              </w:rPr>
              <w:t>SWK, LII</w:t>
            </w:r>
          </w:p>
        </w:tc>
      </w:tr>
    </w:tbl>
    <w:p>
      <w:r>
        <w:rPr>
          <w:rFonts w:ascii="Calibri" w:hAnsi="Calibri"/>
          <w:i/>
          <w:color w:val="525866"/>
          <w:sz w:val="22"/>
        </w:rPr>
        <w:t>Sources: LII Q2 2026 earnings call transcript (July 29, 2026); DOV Q2 2026 earnings call transcript (July 23, 2026); XYL Q2 2026 earnings call transcript (July 28, 2026); SWK Q2 2026 earnings call transcript (July 29, 2026). All commentary pertains to forward-looking statements about Q3 2026 and beyond.</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22 executive leadership transition (Wheeler retirement, Shafer assumes Chairman role), which consolidates authority under the new CEO but raises questions about strategic continuity on the China assessment; no financial guidance has changed since the April 30 earnings call.</w:t>
      </w:r>
    </w:p>
    <w:p>
      <w:pPr>
        <w:pStyle w:val="ListBullet"/>
        <w:ind w:left="360" w:hanging="360"/>
      </w:pPr>
      <w:r>
        <w:rPr>
          <w:rFonts w:ascii="Calibri" w:hAnsi="Calibri"/>
          <w:b/>
          <w:color w:val="525866"/>
          <w:sz w:val="22"/>
        </w:rPr>
        <w:t>June 22, 2026 — Executive Chairman Kevin Wheeler retires; CEO Steve Shafer assumes Chairman role (8-K).</w:t>
      </w:r>
      <w:r>
        <w:rPr>
          <w:rFonts w:ascii="Calibri" w:hAnsi="Calibri"/>
          <w:i/>
          <w:color w:val="525866"/>
          <w:sz w:val="22"/>
        </w:rPr>
        <w:t xml:space="preserve"> Wheeler had been Executive Chairman since July 2025 when Shafer was named CEO. Shafer now holds both Chairman and CEO titles. </w:t>
      </w:r>
      <w:r>
        <w:rPr>
          <w:rFonts w:ascii="Calibri" w:hAnsi="Calibri"/>
          <w:b/>
          <w:color w:val="525866"/>
          <w:sz w:val="22"/>
        </w:rPr>
        <w:t>Implication:</w:t>
      </w:r>
      <w:r>
        <w:rPr>
          <w:rFonts w:ascii="Calibri" w:hAnsi="Calibri"/>
          <w:color w:val="525866"/>
          <w:sz w:val="22"/>
        </w:rPr>
        <w:t xml:space="preserve"> Consolidation of leadership under Shafer is broadly neutral — he has been running the company operationally since March 2024 (joined as President/COO) and has been CEO since July 2025. However, Wheeler's departure removes a long-tenured institutional voice at a critical juncture for the China strategic assessment. Market reaction was minimal.</w:t>
      </w:r>
    </w:p>
    <w:p>
      <w:pPr>
        <w:pStyle w:val="ListBullet"/>
        <w:ind w:left="360" w:hanging="360"/>
      </w:pPr>
      <w:r>
        <w:rPr>
          <w:rFonts w:ascii="Calibri" w:hAnsi="Calibri"/>
          <w:b/>
          <w:color w:val="525866"/>
          <w:sz w:val="22"/>
        </w:rPr>
        <w:t>April 30, 2026 — Q1 2026 earnings miss and guidance cut (most significant event since last earnings).</w:t>
      </w:r>
      <w:r>
        <w:rPr>
          <w:rFonts w:ascii="Calibri" w:hAnsi="Calibri"/>
          <w:i/>
          <w:color w:val="525866"/>
          <w:sz w:val="22"/>
        </w:rPr>
        <w:t xml:space="preserve"> Adjusted EPS of $0.85 vs. $0.94 consensus; FY 2026 adj. EPS guidance cut to $3.70–$4.00 (from $3.85–$4.15); revenue guidance cut to $3.9–$4.0B (from $3.9–$4.05B). Primary drivers: China deterioration (sales down sharply in local currency), DOE non-enforcement letter removing commercial pre-buy tailwind, weather-related production disruptions at Ashland City, TN. </w:t>
      </w:r>
      <w:r>
        <w:rPr>
          <w:rFonts w:ascii="Calibri" w:hAnsi="Calibri"/>
          <w:b/>
          <w:color w:val="525866"/>
          <w:sz w:val="22"/>
        </w:rPr>
        <w:t>Implication:</w:t>
      </w:r>
      <w:r>
        <w:rPr>
          <w:rFonts w:ascii="Calibri" w:hAnsi="Calibri"/>
          <w:color w:val="525866"/>
          <w:sz w:val="22"/>
        </w:rPr>
        <w:t xml:space="preserve"> This was the defining event of the inter-earnings period; all subsequent consensus estimates reflect this reset.</w:t>
      </w:r>
    </w:p>
    <w:p>
      <w:pPr>
        <w:pStyle w:val="ListBullet"/>
        <w:ind w:left="360" w:hanging="360"/>
      </w:pPr>
      <w:r>
        <w:rPr>
          <w:rFonts w:ascii="Calibri" w:hAnsi="Calibri"/>
          <w:b/>
          <w:color w:val="525866"/>
          <w:sz w:val="22"/>
        </w:rPr>
        <w:t>April 30, 2026 — Water treatment restructuring announced (~$20M pre-tax charge in Q2 2026).</w:t>
      </w:r>
      <w:r>
        <w:rPr>
          <w:rFonts w:ascii="Calibri" w:hAnsi="Calibri"/>
          <w:i/>
          <w:color w:val="525866"/>
          <w:sz w:val="22"/>
        </w:rPr>
        <w:t xml:space="preserve"> Footprint optimization and brand rationalization (focusing on A.O. Smith brand over acquired brands); expected to generate $6–$8M in annual savings beginning 2027. </w:t>
      </w:r>
      <w:r>
        <w:rPr>
          <w:rFonts w:ascii="Calibri" w:hAnsi="Calibri"/>
          <w:b/>
          <w:color w:val="525866"/>
          <w:sz w:val="22"/>
        </w:rPr>
        <w:t>Implication:</w:t>
      </w:r>
      <w:r>
        <w:rPr>
          <w:rFonts w:ascii="Calibri" w:hAnsi="Calibri"/>
          <w:color w:val="525866"/>
          <w:sz w:val="22"/>
        </w:rPr>
        <w:t xml:space="preserve"> Q2 2026 GAAP EPS will be impacted by the charge; adjusted EPS excludes it. Watch for any update on restructuring execution and whether savings targets are tracking.</w:t>
      </w:r>
    </w:p>
    <w:p>
      <w:pPr>
        <w:pStyle w:val="ListBullet"/>
        <w:ind w:left="360" w:hanging="360"/>
      </w:pPr>
      <w:r>
        <w:rPr>
          <w:rFonts w:ascii="Calibri" w:hAnsi="Calibri"/>
          <w:b/>
          <w:color w:val="525866"/>
          <w:sz w:val="22"/>
        </w:rPr>
        <w:t>April 30, 2026 — DOE non-enforcement letter for commercial water heater regulatory change (October 2026 rule delayed to October 2027).</w:t>
      </w:r>
      <w:r>
        <w:rPr>
          <w:rFonts w:ascii="Calibri" w:hAnsi="Calibri"/>
          <w:i/>
          <w:color w:val="525866"/>
          <w:sz w:val="22"/>
        </w:rPr>
        <w:t xml:space="preserve"> DOE issued a non-enforcement letter due to ongoing legal challenges including a pending Supreme Court review, removing anticipated commercial pre-buy tailwind. AOS revised commercial industry volume outlook to flat year-over-year (from meaningful pre-buy expected in Q2–Q3). </w:t>
      </w:r>
      <w:r>
        <w:rPr>
          <w:rFonts w:ascii="Calibri" w:hAnsi="Calibri"/>
          <w:b/>
          <w:color w:val="525866"/>
          <w:sz w:val="22"/>
        </w:rPr>
        <w:t>Implication:</w:t>
      </w:r>
      <w:r>
        <w:rPr>
          <w:rFonts w:ascii="Calibri" w:hAnsi="Calibri"/>
          <w:color w:val="525866"/>
          <w:sz w:val="22"/>
        </w:rPr>
        <w:t xml:space="preserve"> This is a structural headwind for H2 2026 commercial volumes; any update on the legal/regulatory timeline could be a catalyst.</w:t>
      </w:r>
    </w:p>
    <w:p>
      <w:pPr>
        <w:pStyle w:val="ListBullet"/>
        <w:ind w:left="360" w:hanging="360"/>
      </w:pPr>
      <w:r>
        <w:rPr>
          <w:rFonts w:ascii="Calibri" w:hAnsi="Calibri"/>
          <w:b/>
          <w:color w:val="525866"/>
          <w:sz w:val="22"/>
        </w:rPr>
        <w:t>Mid-May 2026 — Price increases effective for most North America water heater and boiler products (4–7% range).</w:t>
      </w:r>
      <w:r>
        <w:rPr>
          <w:rFonts w:ascii="Calibri" w:hAnsi="Calibri"/>
          <w:i/>
          <w:color w:val="525866"/>
          <w:sz w:val="22"/>
        </w:rPr>
        <w:t xml:space="preserve"> Announced in response to rising steel, freight, and other input cost inflation. Benefit expected to begin realizing in Q3 2026. </w:t>
      </w:r>
      <w:r>
        <w:rPr>
          <w:rFonts w:ascii="Calibri" w:hAnsi="Calibri"/>
          <w:b/>
          <w:color w:val="525866"/>
          <w:sz w:val="22"/>
        </w:rPr>
        <w:t>Implication:</w:t>
      </w:r>
      <w:r>
        <w:rPr>
          <w:rFonts w:ascii="Calibri" w:hAnsi="Calibri"/>
          <w:color w:val="525866"/>
          <w:sz w:val="22"/>
        </w:rPr>
        <w:t xml:space="preserve"> Q2 2026 should see some pricing pull-forward benefit (customers buying ahead of the increase) but the full benefit is a Q3 story; watch for any commentary on pull-forward magnitude and whether it was larger or smaller than expected.</w:t>
      </w:r>
    </w:p>
    <w:p>
      <w:pPr>
        <w:pStyle w:val="ListBullet"/>
        <w:ind w:left="360" w:hanging="360"/>
      </w:pPr>
      <w:r>
        <w:rPr>
          <w:rFonts w:ascii="Calibri" w:hAnsi="Calibri"/>
          <w:b/>
          <w:color w:val="525866"/>
          <w:sz w:val="22"/>
        </w:rPr>
        <w:t>Q1 2026 — China strategic assessment ongoing; management committed to clarity 'within months'.</w:t>
      </w:r>
      <w:r>
        <w:rPr>
          <w:rFonts w:ascii="Calibri" w:hAnsi="Calibri"/>
          <w:i/>
          <w:color w:val="525866"/>
          <w:sz w:val="22"/>
        </w:rPr>
        <w:t xml:space="preserve"> Management acknowledged the prolonged assessment is creating market uncertainty and delaying investments in China. Significant interest from potential partners cited. </w:t>
      </w:r>
      <w:r>
        <w:rPr>
          <w:rFonts w:ascii="Calibri" w:hAnsi="Calibri"/>
          <w:b/>
          <w:color w:val="525866"/>
          <w:sz w:val="22"/>
        </w:rPr>
        <w:t>Implication:</w:t>
      </w:r>
      <w:r>
        <w:rPr>
          <w:rFonts w:ascii="Calibri" w:hAnsi="Calibri"/>
          <w:color w:val="525866"/>
          <w:sz w:val="22"/>
        </w:rPr>
        <w:t xml:space="preserve"> The Q2 call is the most likely venue for an update; any announcement (sale, JV, restructuring, or continuation) would be the single most market-moving element of the print.</w:t>
      </w:r>
    </w:p>
    <w:p>
      <w:pPr>
        <w:pStyle w:val="ListBullet"/>
        <w:ind w:left="360" w:hanging="360"/>
      </w:pPr>
      <w:r>
        <w:rPr>
          <w:rFonts w:ascii="Calibri" w:hAnsi="Calibri"/>
          <w:b/>
          <w:color w:val="525866"/>
          <w:sz w:val="22"/>
        </w:rPr>
        <w:t>Q1 2026 — Leonard Valve acquisition integration on track; ~$70M revenue contribution expected in 2026.</w:t>
      </w:r>
      <w:r>
        <w:rPr>
          <w:rFonts w:ascii="Calibri" w:hAnsi="Calibri"/>
          <w:i/>
          <w:color w:val="525866"/>
          <w:sz w:val="22"/>
        </w:rPr>
        <w:t xml:space="preserve"> Double-digit growth expected; go-to-market strategy being refined. $470M of additional debt incurred for the acquisition. </w:t>
      </w:r>
      <w:r>
        <w:rPr>
          <w:rFonts w:ascii="Calibri" w:hAnsi="Calibri"/>
          <w:b/>
          <w:color w:val="525866"/>
          <w:sz w:val="22"/>
        </w:rPr>
        <w:t>Implication:</w:t>
      </w:r>
      <w:r>
        <w:rPr>
          <w:rFonts w:ascii="Calibri" w:hAnsi="Calibri"/>
          <w:color w:val="525866"/>
          <w:sz w:val="22"/>
        </w:rPr>
        <w:t xml:space="preserve"> Adds ~$30–35M of interest expense headwind in 2026 vs. prior year; watch for any update on integration progress and revenue ramp.</w:t>
      </w:r>
    </w:p>
    <w:p>
      <w:pPr>
        <w:pStyle w:val="ListBullet"/>
        <w:ind w:left="360" w:hanging="360"/>
      </w:pPr>
      <w:r>
        <w:rPr>
          <w:rFonts w:ascii="Calibri" w:hAnsi="Calibri"/>
          <w:b/>
          <w:color w:val="525866"/>
          <w:sz w:val="22"/>
        </w:rPr>
        <w:t>July 2, 2026 — AOS announced Q2 2026 earnings call scheduled for July 30, 2026 at 10:00 AM ET.</w:t>
      </w:r>
      <w:r>
        <w:rPr>
          <w:rFonts w:ascii="Calibri" w:hAnsi="Calibri"/>
          <w:color w:val="525866"/>
          <w:sz w:val="22"/>
        </w:rPr>
        <w:t xml:space="preserve"> Standard pre-announcement; no financial content.</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in the SEC Form 4 database for AOS in the period from April 30 to July 29, 2026. The absence of insider buying at a 12-month low in the stock is notable but not alarming given the ongoing China strategic assessment, which may restrict trading windows for senior executives.</w:t>
      </w:r>
    </w:p>
    <w:p>
      <w:r>
        <w:rPr>
          <w:rFonts w:ascii="Calibri" w:hAnsi="Calibri"/>
          <w:i/>
          <w:color w:val="525866"/>
          <w:sz w:val="22"/>
        </w:rPr>
        <w:t>No open-market insider transactions (Form 4, transaction codes P/S) were found for AOS in the post-Q1 2026 period (April 30 – July 29, 2026). This is consistent with the company being in a potentially restricted trading window given the ongoing China strategic assessment process, which may involve material non-public information. The lack of discretionary insider buying at current price levels (~$62, near 12-month lows) is a neutral-to-slightly-cautious signal — insiders are not signaling conviction at current valuations, but the trading restriction explanation is plausible.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transactions found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open-market buys or sells (Form 4, codes P/S) identified for AOS in the Apr 30 – Jul 29, 2026 window</w:t>
            </w:r>
          </w:p>
        </w:tc>
      </w:tr>
    </w:tbl>
    <w:p>
      <w:r>
        <w:br w:type="page"/>
      </w:r>
    </w:p>
    <w:p>
      <w:pPr>
        <w:pStyle w:val="Heading1"/>
        <w:pBdr>
          <w:bottom w:val="single" w:sz="4" w:space="1" w:color="FB9120"/>
        </w:pBdr>
      </w:pPr>
      <w:r>
        <w:rPr>
          <w:rFonts w:ascii="Calibri" w:hAnsi="Calibri"/>
          <w:b/>
          <w:color w:val="3B4259"/>
          <w:sz w:val="40"/>
        </w:rPr>
        <w:t>Appendix: Key Data Sources &amp; Disclosures</w:t>
      </w:r>
    </w:p>
    <w:p>
      <w:pPr>
        <w:pStyle w:val="ListBullet"/>
        <w:ind w:left="360" w:hanging="360"/>
      </w:pPr>
      <w:r>
        <w:rPr>
          <w:rFonts w:ascii="Calibri" w:hAnsi="Calibri"/>
          <w:b/>
          <w:color w:val="525866"/>
          <w:sz w:val="22"/>
        </w:rPr>
        <w:t>Visible Alpha Consensus &amp; Actuals:</w:t>
      </w:r>
      <w:r>
        <w:rPr>
          <w:rFonts w:ascii="Calibri" w:hAnsi="Calibri"/>
          <w:color w:val="525866"/>
          <w:sz w:val="22"/>
        </w:rPr>
        <w:t xml:space="preserve"> All KPI consensus estimates and historical actuals sourced from Visible Alpha (https://insights.visiblealpha.com/mex/AOS_US/NMV/IS and /SG and /CF). Consensus as of July 29, 2026.</w:t>
      </w:r>
    </w:p>
    <w:p>
      <w:pPr>
        <w:pStyle w:val="ListBullet"/>
        <w:ind w:left="360" w:hanging="360"/>
      </w:pPr>
      <w:r>
        <w:rPr>
          <w:rFonts w:ascii="Calibri" w:hAnsi="Calibri"/>
          <w:b/>
          <w:color w:val="525866"/>
          <w:sz w:val="22"/>
        </w:rPr>
        <w:t>Stock Price Data:</w:t>
      </w:r>
      <w:r>
        <w:rPr>
          <w:rFonts w:ascii="Calibri" w:hAnsi="Calibri"/>
          <w:color w:val="525866"/>
          <w:sz w:val="22"/>
        </w:rPr>
        <w:t xml:space="preserve"> AOS, XLI, and SPY daily closing prices sourced from Yahoo Finance. Indexed to April 30, 2026 closing prices (AOS: $61.84, XLI: $174.58, SPY: $718.66).</w:t>
      </w:r>
    </w:p>
    <w:p>
      <w:pPr>
        <w:pStyle w:val="ListBullet"/>
        <w:ind w:left="360" w:hanging="360"/>
      </w:pPr>
      <w:r>
        <w:rPr>
          <w:rFonts w:ascii="Calibri" w:hAnsi="Calibri"/>
          <w:b/>
          <w:color w:val="525866"/>
          <w:sz w:val="22"/>
        </w:rPr>
        <w:t>Company Filings:</w:t>
      </w:r>
      <w:r>
        <w:rPr>
          <w:rFonts w:ascii="Calibri" w:hAnsi="Calibri"/>
          <w:color w:val="525866"/>
          <w:sz w:val="22"/>
        </w:rPr>
        <w:t xml:space="preserve"> Q1 2026 earnings release (April 30, 2026), Q1 2026 earnings call transcript (April 30, 2026), 8-K filed June 22, 2026 (executive leadership changes).</w:t>
      </w:r>
    </w:p>
    <w:p>
      <w:pPr>
        <w:pStyle w:val="ListBullet"/>
        <w:ind w:left="360" w:hanging="360"/>
      </w:pPr>
      <w:r>
        <w:rPr>
          <w:rFonts w:ascii="Calibri" w:hAnsi="Calibri"/>
          <w:b/>
          <w:color w:val="525866"/>
          <w:sz w:val="22"/>
        </w:rPr>
        <w:t>Peer Transcripts:</w:t>
      </w:r>
      <w:r>
        <w:rPr>
          <w:rFonts w:ascii="Calibri" w:hAnsi="Calibri"/>
          <w:color w:val="525866"/>
          <w:sz w:val="22"/>
        </w:rPr>
        <w:t xml:space="preserve"> LII Q2 2026 earnings call (July 29, 2026), DOV Q2 2026 earnings call (July 23, 2026), XYL Q2 2026 earnings call (July 28, 2026), SWK Q2 2026 earnings call (July 29, 2026).</w:t>
      </w:r>
    </w:p>
    <w:p>
      <w:pPr>
        <w:pStyle w:val="ListBullet"/>
        <w:ind w:left="360" w:hanging="360"/>
      </w:pPr>
      <w:r>
        <w:rPr>
          <w:rFonts w:ascii="Calibri" w:hAnsi="Calibri"/>
          <w:b/>
          <w:color w:val="525866"/>
          <w:sz w:val="22"/>
        </w:rPr>
        <w:t>Insider Transactions:</w:t>
      </w:r>
      <w:r>
        <w:rPr>
          <w:rFonts w:ascii="Calibri" w:hAnsi="Calibri"/>
          <w:color w:val="525866"/>
          <w:sz w:val="22"/>
        </w:rPr>
        <w:t xml:space="preserve"> SEC Form 4 database search for AOS, April 30 – July 29, 2026. No open-market transactions found.</w:t>
      </w:r>
    </w:p>
    <w:p>
      <w:pPr>
        <w:pStyle w:val="ListBullet"/>
        <w:ind w:left="360" w:hanging="360"/>
      </w:pPr>
      <w:r>
        <w:rPr>
          <w:rFonts w:ascii="Calibri" w:hAnsi="Calibri"/>
          <w:b/>
          <w:color w:val="525866"/>
          <w:sz w:val="22"/>
        </w:rPr>
        <w:t>Earnings Revision History:</w:t>
      </w:r>
      <w:r>
        <w:rPr>
          <w:rFonts w:ascii="Calibri" w:hAnsi="Calibri"/>
          <w:color w:val="525866"/>
          <w:sz w:val="22"/>
        </w:rPr>
        <w:t xml:space="preserve"> Month-end consensus EPS estimates for Q2 2026 sourced from internal earnings revision momentum data (August 2025 – July 2026).</w:t>
      </w:r>
    </w:p>
    <w:p>
      <w:pPr>
        <w:pStyle w:val="ListBullet"/>
        <w:ind w:left="360" w:hanging="360"/>
      </w:pPr>
      <w:r>
        <w:rPr>
          <w:rFonts w:ascii="Calibri" w:hAnsi="Calibri"/>
          <w:b/>
          <w:color w:val="525866"/>
          <w:sz w:val="22"/>
        </w:rPr>
        <w:t>Prepared:</w:t>
      </w:r>
      <w:r>
        <w:rPr>
          <w:rFonts w:ascii="Calibri" w:hAnsi="Calibri"/>
          <w:color w:val="525866"/>
          <w:sz w:val="22"/>
        </w:rPr>
        <w:t xml:space="preserve"> July 29, 2026. This document is for informational purposes only and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