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gather recent news and stock price context, plus the prior-year Q3 for comparison.The stock jumped sharply from ~</w:t>
      </w:r>
      <m:oMath>
        <m:r>
          <m:t>271</m:t>
        </m:r>
        <m:r>
          <m:rPr>
            <m:sty m:val="p"/>
          </m:rPr>
          <m:t>(</m:t>
        </m:r>
        <m:r>
          <m:t>6</m:t>
        </m:r>
        <m:r>
          <m:rPr>
            <m:sty m:val="p"/>
          </m:rPr>
          <m:t>/</m:t>
        </m:r>
        <m:r>
          <m:t>29</m:t>
        </m:r>
        <m:r>
          <m:rPr>
            <m:sty m:val="p"/>
          </m:rPr>
          <m:t>)</m:t>
        </m:r>
        <m:r>
          <m:t>t</m:t>
        </m:r>
        <m:r>
          <m:t>o</m:t>
        </m:r>
        <m:r>
          <m:t> </m:t>
        </m:r>
      </m:oMath>
      <w:r>
        <w:t xml:space="preserve">314 (7/2). Let me find out what drove that.Let me read the June 30 earnings preannouncement to capture what management already told the market about Q3.# Air Products (APD) — Fiscal Q3 2026 Earnings Preview</w:t>
      </w:r>
    </w:p>
    <w:bookmarkStart w:id="9" w:name="Xd8fcc8f95d2facfb4fa031ad0fafe0908a8f08e"/>
    <w:p>
      <w:pPr>
        <w:pStyle w:val="Heading3"/>
      </w:pPr>
      <w:r>
        <w:t xml:space="preserve">Reports Thursday, July 30, 2026 (pre-market) | 2026Q3 Earnings Call</w:t>
      </w:r>
    </w:p>
    <w:bookmarkEnd w:id="9"/>
    <w:bookmarkStart w:id="10" w:name="Xaba06c7d9be10e7061f903ec13c2ca8fe85cb3a"/>
    <w:p>
      <w:pPr>
        <w:pStyle w:val="Heading2"/>
      </w:pPr>
      <w:r>
        <w:t xml:space="preserve">The one thing that matters: this is a "clean-up" print, not a surprise print</w:t>
      </w:r>
    </w:p>
    <w:p>
      <w:pPr>
        <w:pStyle w:val="FirstParagraph"/>
      </w:pPr>
      <w:r>
        <w:t xml:space="preserve">The headline event of APD's fiscal third quarter already happened a month ago. On June 30, Air Products pre-announced that it is</w:t>
      </w:r>
      <w:r>
        <w:t xml:space="preserve"> </w:t>
      </w:r>
      <w:r>
        <w:rPr>
          <w:b/>
          <w:bCs/>
        </w:rPr>
        <w:t xml:space="preserve">walking away from the Louisiana Clean Energy Complex (LCEC)</w:t>
      </w:r>
      <w:r>
        <w:t xml:space="preserve"> </w:t>
      </w:r>
      <w:r>
        <w:t xml:space="preserve">— its ~$7-9B blue hydrogen/ammonia project in Darrow — along with the Casa Grande, Arizona green liquid hydrogen facility and several smaller clean-energy distribution projects. As a result, expect a large GAAP charge to dominate the reported P&amp;L this quarter.</w:t>
      </w:r>
    </w:p>
    <w:p>
      <w:pPr>
        <w:pStyle w:val="BodyText"/>
      </w:pPr>
      <w:r>
        <w:t xml:space="preserve">Key facts already disclosed:</w:t>
      </w:r>
    </w:p>
    <w:p>
      <w:pPr>
        <w:pStyle w:val="Compact"/>
        <w:numPr>
          <w:ilvl w:val="0"/>
          <w:numId w:val="1001"/>
        </w:numPr>
      </w:pPr>
      <w:r>
        <w:t xml:space="preserve">These decisions will result in a pre-tax charge not expected to exceed $2.9 billion, or about $2.2 billion after tax, in the company's fiscal 2026 third quarter, mainly from asset write-downs and terminating contractual commitments.</w:t>
      </w:r>
    </w:p>
    <w:p>
      <w:pPr>
        <w:pStyle w:val="Compact"/>
        <w:numPr>
          <w:ilvl w:val="0"/>
          <w:numId w:val="1001"/>
        </w:numPr>
      </w:pPr>
      <w:r>
        <w:t xml:space="preserve">Cash expenditures tied to these actions are estimated not to exceed $925 million, with the company aiming to lower that amount through negotiations.</w:t>
      </w:r>
    </w:p>
    <w:p>
      <w:pPr>
        <w:pStyle w:val="Compact"/>
        <w:numPr>
          <w:ilvl w:val="0"/>
          <w:numId w:val="1001"/>
        </w:numPr>
      </w:pPr>
      <w:r>
        <w:t xml:space="preserve">The exit reflects APD's new, stricter capital-discipline posture under CEO Eduardo Menezes: the company previously disclosed that it would not make a final investment decision on the Louisiana Clean Energy Complex unless it could execute a de-risking strategy including firm offtake agreements and construction/capital costs in line with return expectations. After a detailed review, the company determined the expected financial returns would not meet its return criteria, and as a consequence determined it would exit the project.</w:t>
      </w:r>
    </w:p>
    <w:p>
      <w:pPr>
        <w:pStyle w:val="FirstParagraph"/>
      </w:pPr>
      <w:r>
        <w:rPr>
          <w:b/>
          <w:bCs/>
        </w:rPr>
        <w:t xml:space="preserve">Investor takeaway:</w:t>
      </w:r>
      <w:r>
        <w:t xml:space="preserve"> </w:t>
      </w:r>
      <w:r>
        <w:t xml:space="preserve">the market has largely treated this positively (see stock section) because it removes a low-return, capital-hungry overhang. The GAAP number will look ugly, but focus on</w:t>
      </w:r>
      <w:r>
        <w:t xml:space="preserve"> </w:t>
      </w:r>
      <w:r>
        <w:rPr>
          <w:b/>
          <w:bCs/>
        </w:rPr>
        <w:t xml:space="preserve">adjusted EPS</w:t>
      </w:r>
      <w:r>
        <w:t xml:space="preserve"> </w:t>
      </w:r>
      <w:r>
        <w:t xml:space="preserve">and, more importantly, management's commentary on how freed-up capital gets redeployed. Note this echoes the prior-year playbook: the FY25 Q2 already carried a ~$2.9B business-and-asset-actions charge, so this is the second major clean-energy write-down of the strategic reset.</w:t>
      </w:r>
    </w:p>
    <w:bookmarkEnd w:id="10"/>
    <w:bookmarkStart w:id="11" w:name="what-to-watch-on-the-adjusted-numbers"/>
    <w:p>
      <w:pPr>
        <w:pStyle w:val="Heading2"/>
      </w:pPr>
      <w:r>
        <w:t xml:space="preserve">What to watch on the adjusted numbers</w:t>
      </w:r>
    </w:p>
    <w:p>
      <w:pPr>
        <w:pStyle w:val="FirstParagraph"/>
      </w:pPr>
      <w:r>
        <w:t xml:space="preserve">Management's guidance framework (set April 30 at Q2) still governs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Guidance</w:t>
            </w:r>
          </w:p>
        </w:tc>
        <w:tc>
          <w:tcPr/>
          <w:p>
            <w:pPr>
              <w:pStyle w:val="Compact"/>
            </w:pPr>
            <w:r>
              <w:t xml:space="preserve">Comp / Context</w:t>
            </w:r>
          </w:p>
        </w:tc>
      </w:tr>
      <w:tr>
        <w:tc>
          <w:tcPr/>
          <w:p>
            <w:pPr>
              <w:pStyle w:val="Compact"/>
            </w:pPr>
            <w:r>
              <w:rPr>
                <w:b/>
                <w:bCs/>
              </w:rPr>
              <w:t xml:space="preserve">Q3 FY26 adjusted EPS</w:t>
            </w:r>
          </w:p>
        </w:tc>
        <w:tc>
          <w:tcPr/>
          <w:p>
            <w:pPr>
              <w:pStyle w:val="Compact"/>
            </w:pPr>
            <w:r>
              <w:rPr>
                <w:b/>
                <w:bCs/>
              </w:rPr>
              <w:t xml:space="preserve">$3.25 – $3.35</w:t>
            </w:r>
          </w:p>
        </w:tc>
        <w:tc>
          <w:tcPr/>
          <w:p>
            <w:pPr>
              <w:pStyle w:val="Compact"/>
            </w:pPr>
            <w:r>
              <w:t xml:space="preserve">+5% to +8% vs. $3.09 prior-year Q3</w:t>
            </w:r>
          </w:p>
        </w:tc>
      </w:tr>
      <w:tr>
        <w:tc>
          <w:tcPr/>
          <w:p>
            <w:pPr>
              <w:pStyle w:val="Compact"/>
            </w:pPr>
            <w:r>
              <w:t xml:space="preserve">Full-year FY26 adjusted EPS</w:t>
            </w:r>
          </w:p>
        </w:tc>
        <w:tc>
          <w:tcPr/>
          <w:p>
            <w:pPr>
              <w:pStyle w:val="Compact"/>
            </w:pPr>
            <w:r>
              <w:t xml:space="preserve">$13.00 – $13.25</w:t>
            </w:r>
          </w:p>
        </w:tc>
        <w:tc>
          <w:tcPr/>
          <w:p>
            <w:pPr>
              <w:pStyle w:val="Compact"/>
            </w:pPr>
            <w:r>
              <w:t xml:space="preserve">+8% to +10% vs. FY25</w:t>
            </w:r>
          </w:p>
        </w:tc>
      </w:tr>
      <w:tr>
        <w:tc>
          <w:tcPr/>
          <w:p>
            <w:pPr>
              <w:pStyle w:val="Compact"/>
            </w:pPr>
            <w:r>
              <w:t xml:space="preserve">FY26 capex</w:t>
            </w:r>
          </w:p>
        </w:tc>
        <w:tc>
          <w:tcPr/>
          <w:p>
            <w:pPr>
              <w:pStyle w:val="Compact"/>
            </w:pPr>
            <w:r>
              <w:t xml:space="preserve">~$4.0B</w:t>
            </w:r>
          </w:p>
        </w:tc>
        <w:tc>
          <w:tcPr/>
          <w:p>
            <w:pPr>
              <w:pStyle w:val="Compact"/>
            </w:pPr>
            <w:r>
              <w:t xml:space="preserve">~$1B reduction vs. prior year</w:t>
            </w:r>
          </w:p>
        </w:tc>
      </w:tr>
    </w:tbl>
    <w:p>
      <w:pPr>
        <w:pStyle w:val="BodyText"/>
      </w:pPr>
      <w:r>
        <w:t xml:space="preserve">Q2 momentum was strong: adjusted EPS of $3.20 rose 19%, beat the top of guidance, operating margin expanded ~210 bps to 23.7%, and volumes were up 4% (best in three years). The debate into Q3 is whether that momentum sustained.</w:t>
      </w:r>
    </w:p>
    <w:p>
      <w:pPr>
        <w:pStyle w:val="BodyText"/>
      </w:pPr>
      <w:r>
        <w:rPr>
          <w:b/>
          <w:bCs/>
        </w:rPr>
        <w:t xml:space="preserve">Bridge items to listen for:</w:t>
      </w:r>
    </w:p>
    <w:p>
      <w:pPr>
        <w:pStyle w:val="Compact"/>
        <w:numPr>
          <w:ilvl w:val="0"/>
          <w:numId w:val="1002"/>
        </w:numPr>
      </w:pPr>
      <w:r>
        <w:rPr>
          <w:b/>
          <w:bCs/>
        </w:rPr>
        <w:t xml:space="preserve">Turnaround timing</w:t>
      </w:r>
      <w:r>
        <w:t xml:space="preserve"> </w:t>
      </w:r>
      <w:r>
        <w:t xml:space="preserve">— management flagged that a turnaround moved out of Q2 will be spread across Q3 and Q4, a modest sequential headwind.</w:t>
      </w:r>
    </w:p>
    <w:p>
      <w:pPr>
        <w:pStyle w:val="Compact"/>
        <w:numPr>
          <w:ilvl w:val="0"/>
          <w:numId w:val="1002"/>
        </w:numPr>
      </w:pPr>
      <w:r>
        <w:rPr>
          <w:b/>
          <w:bCs/>
        </w:rPr>
        <w:t xml:space="preserve">Tax rate</w:t>
      </w:r>
      <w:r>
        <w:t xml:space="preserve"> </w:t>
      </w:r>
      <w:r>
        <w:t xml:space="preserve">— guided to ~18% for the back half.</w:t>
      </w:r>
    </w:p>
    <w:p>
      <w:pPr>
        <w:pStyle w:val="Compact"/>
        <w:numPr>
          <w:ilvl w:val="0"/>
          <w:numId w:val="1002"/>
        </w:numPr>
      </w:pPr>
      <w:r>
        <w:rPr>
          <w:b/>
          <w:bCs/>
        </w:rPr>
        <w:t xml:space="preserve">Corporate &amp; Other</w:t>
      </w:r>
      <w:r>
        <w:t xml:space="preserve"> </w:t>
      </w:r>
      <w:r>
        <w:t xml:space="preserve">— should stay improved as prior-year sale-of-equipment cost headwinds don't repeat.</w:t>
      </w:r>
    </w:p>
    <w:p>
      <w:pPr>
        <w:pStyle w:val="Compact"/>
        <w:numPr>
          <w:ilvl w:val="0"/>
          <w:numId w:val="1002"/>
        </w:numPr>
      </w:pPr>
      <w:r>
        <w:rPr>
          <w:b/>
          <w:bCs/>
        </w:rPr>
        <w:t xml:space="preserve">Currency</w:t>
      </w:r>
      <w:r>
        <w:t xml:space="preserve"> </w:t>
      </w:r>
      <w:r>
        <w:t xml:space="preserve">— a tailwind in the first half on a weaker dollar; watch whether it persists.</w:t>
      </w:r>
    </w:p>
    <w:bookmarkEnd w:id="11"/>
    <w:bookmarkStart w:id="12" w:name="the-five-real-operating-swing-factors"/>
    <w:p>
      <w:pPr>
        <w:pStyle w:val="Heading2"/>
      </w:pPr>
      <w:r>
        <w:t xml:space="preserve">The five real operating swing factors</w:t>
      </w:r>
    </w:p>
    <w:p>
      <w:pPr>
        <w:pStyle w:val="FirstParagraph"/>
      </w:pPr>
      <w:r>
        <w:rPr>
          <w:b/>
          <w:bCs/>
        </w:rPr>
        <w:t xml:space="preserve">1. Helium — still a price headwind, but a supply story.</w:t>
      </w:r>
      <w:r>
        <w:t xml:space="preserve"> </w:t>
      </w:r>
      <w:r>
        <w:t xml:space="preserve">APD guided helium to remain an EPS drag in FY26 (roughly ~4% of EPS) on lower price, even as the Qatar supply disruption (Middle East conflict) tightened the physical market. Management expects the price headwind to bottom by the end of the fiscal year and is prioritizing long-term contracts — it expects helium volumes to large Asian electronics customers to</w:t>
      </w:r>
      <w:r>
        <w:t xml:space="preserve"> </w:t>
      </w:r>
      <w:r>
        <w:rPr>
          <w:b/>
          <w:bCs/>
        </w:rPr>
        <w:t xml:space="preserve">more than double between 2026 and 2030</w:t>
      </w:r>
      <w:r>
        <w:t xml:space="preserve">. Watch for any update on whether spot dynamics have begun to flip the price comparison.</w:t>
      </w:r>
    </w:p>
    <w:p>
      <w:pPr>
        <w:pStyle w:val="BodyText"/>
      </w:pPr>
      <w:r>
        <w:rPr>
          <w:b/>
          <w:bCs/>
        </w:rPr>
        <w:t xml:space="preserve">2. Refining/energy — the current bright spot.</w:t>
      </w:r>
      <w:r>
        <w:t xml:space="preserve"> </w:t>
      </w:r>
      <w:r>
        <w:t xml:space="preserve">U.S. Gulf Coast refineries are running hard, driving record on-site hydrogen volumes through APD's pipeline network. This has been the main volume driver and is worth confirming it held up.</w:t>
      </w:r>
    </w:p>
    <w:p>
      <w:pPr>
        <w:pStyle w:val="BodyText"/>
      </w:pPr>
      <w:r>
        <w:rPr>
          <w:b/>
          <w:bCs/>
        </w:rPr>
        <w:t xml:space="preserve">3. Electronics super-cycle.</w:t>
      </w:r>
      <w:r>
        <w:t xml:space="preserve"> </w:t>
      </w:r>
      <w:r>
        <w:t xml:space="preserve">The recently announced</w:t>
      </w:r>
      <w:r>
        <w:t xml:space="preserve"> </w:t>
      </w:r>
      <w:r>
        <w:rPr>
          <w:b/>
          <w:bCs/>
        </w:rPr>
        <w:t xml:space="preserve">Samsung</w:t>
      </w:r>
      <w:r>
        <w:t xml:space="preserve"> </w:t>
      </w:r>
      <w:r>
        <w:t xml:space="preserve">project (build/own/operate gas facilities for a new advanced fab in South Korea) is APD's largest-ever electronics investment. Management targeted adding</w:t>
      </w:r>
      <w:r>
        <w:t xml:space="preserve"> </w:t>
      </w:r>
      <m:oMath>
        <m:r>
          <m:t>1.5</m:t>
        </m:r>
        <m:r>
          <m:rPr>
            <m:sty m:val="p"/>
          </m:rPr>
          <m:t>–</m:t>
        </m:r>
      </m:oMath>
      <w:r>
        <w:rPr>
          <w:b/>
          <w:bCs/>
        </w:rPr>
        <w:t xml:space="preserve">2.0B to backlog</w:t>
      </w:r>
      <w:r>
        <w:t xml:space="preserve"> </w:t>
      </w:r>
      <w:r>
        <w:t xml:space="preserve">in electronics/aerospace over six months — look for progress and any new wins as the redeployment vehicle for the freed-up Louisiana capital.</w:t>
      </w:r>
    </w:p>
    <w:p>
      <w:pPr>
        <w:pStyle w:val="BodyText"/>
      </w:pPr>
      <w:r>
        <w:rPr>
          <w:b/>
          <w:bCs/>
        </w:rPr>
        <w:t xml:space="preserve">4. Aerospace/space.</w:t>
      </w:r>
      <w:r>
        <w:t xml:space="preserve"> </w:t>
      </w:r>
      <w:r>
        <w:t xml:space="preserve">Liquid hydrogen/helium supply to NASA (Artemis II) plus a new Florida ASU for launch customers — a small but fast-growing area.</w:t>
      </w:r>
    </w:p>
    <w:p>
      <w:pPr>
        <w:pStyle w:val="BodyText"/>
      </w:pPr>
      <w:r>
        <w:rPr>
          <w:b/>
          <w:bCs/>
        </w:rPr>
        <w:t xml:space="preserve">5. China coal gasification.</w:t>
      </w:r>
      <w:r>
        <w:t xml:space="preserve"> </w:t>
      </w:r>
      <w:r>
        <w:t xml:space="preserve">Two assets classified held-for-sale (stopping depreciation) plus collection of past-dues gave a combined ~2-3% tailwind in Q2; watch whether that recurs and any progress on the asset sales.</w:t>
      </w:r>
    </w:p>
    <w:bookmarkEnd w:id="12"/>
    <w:bookmarkStart w:id="13" w:name="neom--yara--the-other-june-30-headline"/>
    <w:p>
      <w:pPr>
        <w:pStyle w:val="Heading2"/>
      </w:pPr>
      <w:r>
        <w:t xml:space="preserve">NEOM / Yara — the other June 30 headline</w:t>
      </w:r>
    </w:p>
    <w:p>
      <w:pPr>
        <w:pStyle w:val="FirstParagraph"/>
      </w:pPr>
      <w:r>
        <w:t xml:space="preserve">Alongside the LCEC exit, Air Products announced it is finalizing a marketing and distribution agreement with Yara International for renewable ammonia from the NEOM Green Hydrogen Project in Saudi Arabia; the agreement is independent of the LCEC decision and will enable ammonia from the world's first large-scale renewable ammonia plant to be sold and delivered worldwide by Yara's global supply chain. Look for confirmation the agreement is signed (vs. still "finalizing") and any color on ramp economics into 2030 (CBAM/RFNBO), which management has flagged as the key variable for the $9B backlog's earnings contribution.</w:t>
      </w:r>
    </w:p>
    <w:bookmarkEnd w:id="13"/>
    <w:bookmarkStart w:id="14" w:name="balance-sheet--capital-allocation"/>
    <w:p>
      <w:pPr>
        <w:pStyle w:val="Heading2"/>
      </w:pPr>
      <w:r>
        <w:t xml:space="preserve">Balance sheet &amp; capital allocation</w:t>
      </w:r>
    </w:p>
    <w:p>
      <w:pPr>
        <w:pStyle w:val="Compact"/>
        <w:numPr>
          <w:ilvl w:val="0"/>
          <w:numId w:val="1003"/>
        </w:numPr>
      </w:pPr>
      <w:r>
        <w:t xml:space="preserve">Net debt/EBITDA was</w:t>
      </w:r>
      <w:r>
        <w:t xml:space="preserve"> </w:t>
      </w:r>
      <w:r>
        <w:rPr>
          <w:b/>
          <w:bCs/>
        </w:rPr>
        <w:t xml:space="preserve">2.2x</w:t>
      </w:r>
      <w:r>
        <w:t xml:space="preserve"> </w:t>
      </w:r>
      <w:r>
        <w:t xml:space="preserve">at Q2; management is committed to returning to an</w:t>
      </w:r>
      <w:r>
        <w:t xml:space="preserve"> </w:t>
      </w:r>
      <w:r>
        <w:rPr>
          <w:b/>
          <w:bCs/>
        </w:rPr>
        <w:t xml:space="preserve">A/A2</w:t>
      </w:r>
      <w:r>
        <w:t xml:space="preserve"> </w:t>
      </w:r>
      <w:r>
        <w:t xml:space="preserve">rating over the long term. The reduced capex (~</w:t>
      </w:r>
      <m:oMath>
        <m:r>
          <m:t>4</m:t>
        </m:r>
        <m:r>
          <m:t>B</m:t>
        </m:r>
        <m:r>
          <m:rPr>
            <m:sty m:val="p"/>
          </m:rPr>
          <m:t>,</m:t>
        </m:r>
        <m:r>
          <m:t>d</m:t>
        </m:r>
        <m:r>
          <m:t>o</m:t>
        </m:r>
        <m:r>
          <m:t>w</m:t>
        </m:r>
        <m:r>
          <m:t>n</m:t>
        </m:r>
        <m:r>
          <m:t> </m:t>
        </m:r>
      </m:oMath>
      <w:r>
        <w:t xml:space="preserve">1B) and the LCEC exit both help this deleveraging narrative.</w:t>
      </w:r>
    </w:p>
    <w:p>
      <w:pPr>
        <w:pStyle w:val="Compact"/>
        <w:numPr>
          <w:ilvl w:val="0"/>
          <w:numId w:val="1003"/>
        </w:numPr>
      </w:pPr>
      <w:r>
        <w:t xml:space="preserve">APD returned</w:t>
      </w:r>
      <w:r>
        <w:t xml:space="preserve"> </w:t>
      </w:r>
      <w:r>
        <w:rPr>
          <w:b/>
          <w:bCs/>
        </w:rPr>
        <w:t xml:space="preserve">$800M in dividends</w:t>
      </w:r>
      <w:r>
        <w:t xml:space="preserve"> </w:t>
      </w:r>
      <w:r>
        <w:t xml:space="preserve">in H1 FY26; capital return remains dividend-driven (no material buyback). Watch for any hint on capital allocation priorities now that the largest energy-transition commitment is gone.</w:t>
      </w:r>
    </w:p>
    <w:p>
      <w:pPr>
        <w:pStyle w:val="Compact"/>
        <w:numPr>
          <w:ilvl w:val="0"/>
          <w:numId w:val="1003"/>
        </w:numPr>
      </w:pPr>
      <w:r>
        <w:t xml:space="preserve">Cash cost of the exits (up to $925M) will flow over time — watch the cash-flow guidance.</w:t>
      </w:r>
    </w:p>
    <w:bookmarkEnd w:id="14"/>
    <w:bookmarkStart w:id="15" w:name="stock-setup"/>
    <w:p>
      <w:pPr>
        <w:pStyle w:val="Heading2"/>
      </w:pPr>
      <w:r>
        <w:t xml:space="preserve">Stock setup</w:t>
      </w:r>
    </w:p>
    <w:p>
      <w:pPr>
        <w:pStyle w:val="FirstParagraph"/>
      </w:pPr>
      <w:r>
        <w:t xml:space="preserve">APD has performed well into the print. The shares climbed from ~</w:t>
      </w:r>
      <m:oMath>
        <m:r>
          <m:t>250</m:t>
        </m:r>
        <m:r>
          <m:t>a</m:t>
        </m:r>
        <m:r>
          <m:t>t</m:t>
        </m:r>
        <m:r>
          <m:t>t</m:t>
        </m:r>
        <m:r>
          <m:t>h</m:t>
        </m:r>
        <m:r>
          <m:t>e</m:t>
        </m:r>
        <m:r>
          <m:t>s</m:t>
        </m:r>
        <m:r>
          <m:t>t</m:t>
        </m:r>
        <m:r>
          <m:t>a</m:t>
        </m:r>
        <m:r>
          <m:t>r</m:t>
        </m:r>
        <m:r>
          <m:t>t</m:t>
        </m:r>
        <m:r>
          <m:t>o</m:t>
        </m:r>
        <m:r>
          <m:t>f</m:t>
        </m:r>
        <m:r>
          <m:t>2026</m:t>
        </m:r>
        <m:r>
          <m:t>t</m:t>
        </m:r>
        <m:r>
          <m:t>o</m:t>
        </m:r>
        <m:r>
          <m:t>t</m:t>
        </m:r>
        <m:r>
          <m:t>h</m:t>
        </m:r>
        <m:r>
          <m:t>e</m:t>
        </m:r>
        <m:r>
          <m:t>h</m:t>
        </m:r>
        <m:r>
          <m:t>i</m:t>
        </m:r>
        <m:r>
          <m:t>g</m:t>
        </m:r>
        <m:r>
          <m:t>h</m:t>
        </m:r>
        <m:r>
          <m:rPr>
            <m:sty m:val="p"/>
          </m:rPr>
          <m:t>−</m:t>
        </m:r>
      </m:oMath>
      <w:r>
        <w:t xml:space="preserve">290s/low-</w:t>
      </w:r>
      <m:oMath>
        <m:r>
          <m:t>300</m:t>
        </m:r>
        <m:r>
          <m:t>s</m:t>
        </m:r>
        <m:r>
          <m:rPr>
            <m:sty m:val="p"/>
          </m:rPr>
          <m:t>,</m:t>
        </m:r>
        <m:r>
          <m:t>a</m:t>
        </m:r>
        <m:r>
          <m:t>n</m:t>
        </m:r>
        <m:r>
          <m:t>d</m:t>
        </m:r>
        <m:r>
          <m:t>n</m:t>
        </m:r>
        <m:r>
          <m:t>o</m:t>
        </m:r>
        <m:r>
          <m:t>t</m:t>
        </m:r>
        <m:r>
          <m:t>a</m:t>
        </m:r>
        <m:r>
          <m:t>b</m:t>
        </m:r>
        <m:r>
          <m:t>l</m:t>
        </m:r>
        <m:r>
          <m:t>y</m:t>
        </m:r>
        <m:r>
          <m:rPr>
            <m:sty m:val="p"/>
          </m:rPr>
          <m:t>*</m:t>
        </m:r>
        <m:r>
          <m:rPr>
            <m:sty m:val="p"/>
          </m:rPr>
          <m:t>*</m:t>
        </m:r>
        <m:r>
          <m:t>s</m:t>
        </m:r>
        <m:r>
          <m:t>p</m:t>
        </m:r>
        <m:r>
          <m:t>i</m:t>
        </m:r>
        <m:r>
          <m:t>k</m:t>
        </m:r>
        <m:r>
          <m:t>e</m:t>
        </m:r>
        <m:r>
          <m:t>d</m:t>
        </m:r>
        <m:r>
          <m:t>f</m:t>
        </m:r>
        <m:r>
          <m:t>r</m:t>
        </m:r>
        <m:r>
          <m:t>o</m:t>
        </m:r>
        <m:r>
          <m:t>m</m:t>
        </m:r>
        <m:r>
          <m:t> </m:t>
        </m:r>
      </m:oMath>
      <w:r>
        <w:t xml:space="preserve">271 (June 29) to ~</w:t>
      </w:r>
      <m:oMath>
        <m:r>
          <m:t>314</m:t>
        </m:r>
        <m:r>
          <m:rPr>
            <m:sty m:val="p"/>
          </m:rPr>
          <m:t>(</m:t>
        </m:r>
        <m:r>
          <m:t>J</m:t>
        </m:r>
        <m:r>
          <m:t>u</m:t>
        </m:r>
        <m:r>
          <m:t>l</m:t>
        </m:r>
        <m:r>
          <m:t>y</m:t>
        </m:r>
        <m:r>
          <m:t>2</m:t>
        </m:r>
        <m:r>
          <m:rPr>
            <m:sty m:val="p"/>
          </m:rPr>
          <m:t>)</m:t>
        </m:r>
        <m:r>
          <m:rPr>
            <m:sty m:val="p"/>
          </m:rPr>
          <m:t>*</m:t>
        </m:r>
        <m:r>
          <m:rPr>
            <m:sty m:val="p"/>
          </m:rPr>
          <m:t>*</m:t>
        </m:r>
        <m:r>
          <m:t>o</m:t>
        </m:r>
        <m:r>
          <m:t>n</m:t>
        </m:r>
        <m:r>
          <m:t>t</m:t>
        </m:r>
        <m:r>
          <m:t>h</m:t>
        </m:r>
        <m:r>
          <m:t>e</m:t>
        </m:r>
        <m:r>
          <m:t>L</m:t>
        </m:r>
        <m:r>
          <m:t>C</m:t>
        </m:r>
        <m:r>
          <m:t>E</m:t>
        </m:r>
        <m:r>
          <m:t>C</m:t>
        </m:r>
        <m:r>
          <m:rPr>
            <m:sty m:val="p"/>
          </m:rPr>
          <m:t>−</m:t>
        </m:r>
        <m:r>
          <m:t>e</m:t>
        </m:r>
        <m:r>
          <m:t>x</m:t>
        </m:r>
        <m:r>
          <m:t>i</m:t>
        </m:r>
        <m:r>
          <m:t>t</m:t>
        </m:r>
        <m:r>
          <m:t>n</m:t>
        </m:r>
        <m:r>
          <m:t>e</m:t>
        </m:r>
        <m:r>
          <m:t>w</m:t>
        </m:r>
        <m:r>
          <m:t>s</m:t>
        </m:r>
        <m:r>
          <m:rPr>
            <m:sty m:val="p"/>
          </m:rPr>
          <m:t>—</m:t>
        </m:r>
        <m:r>
          <m:t>t</m:t>
        </m:r>
        <m:r>
          <m:t>h</m:t>
        </m:r>
        <m:r>
          <m:t>e</m:t>
        </m:r>
        <m:r>
          <m:t>m</m:t>
        </m:r>
        <m:r>
          <m:t>a</m:t>
        </m:r>
        <m:r>
          <m:t>r</m:t>
        </m:r>
        <m:r>
          <m:t>k</m:t>
        </m:r>
        <m:r>
          <m:t>e</m:t>
        </m:r>
        <m:r>
          <m:t>t</m:t>
        </m:r>
        <m:r>
          <m:t>r</m:t>
        </m:r>
        <m:r>
          <m:t>e</m:t>
        </m:r>
        <m:r>
          <m:t>w</m:t>
        </m:r>
        <m:r>
          <m:t>a</m:t>
        </m:r>
        <m:r>
          <m:t>r</m:t>
        </m:r>
        <m:r>
          <m:t>d</m:t>
        </m:r>
        <m:r>
          <m:t>e</m:t>
        </m:r>
        <m:r>
          <m:t>d</m:t>
        </m:r>
        <m:r>
          <m:t>t</m:t>
        </m:r>
        <m:r>
          <m:t>h</m:t>
        </m:r>
        <m:r>
          <m:t>e</m:t>
        </m:r>
        <m:r>
          <m:t>c</m:t>
        </m:r>
        <m:r>
          <m:t>a</m:t>
        </m:r>
        <m:r>
          <m:t>p</m:t>
        </m:r>
        <m:r>
          <m:t>i</m:t>
        </m:r>
        <m:r>
          <m:t>t</m:t>
        </m:r>
        <m:r>
          <m:t>a</m:t>
        </m:r>
        <m:r>
          <m:t>l</m:t>
        </m:r>
        <m:r>
          <m:rPr>
            <m:sty m:val="p"/>
          </m:rPr>
          <m:t>−</m:t>
        </m:r>
        <m:r>
          <m:t>d</m:t>
        </m:r>
        <m:r>
          <m:t>i</m:t>
        </m:r>
        <m:r>
          <m:t>s</m:t>
        </m:r>
        <m:r>
          <m:t>c</m:t>
        </m:r>
        <m:r>
          <m:t>i</m:t>
        </m:r>
        <m:r>
          <m:t>p</m:t>
        </m:r>
        <m:r>
          <m:t>l</m:t>
        </m:r>
        <m:r>
          <m:t>i</m:t>
        </m:r>
        <m:r>
          <m:t>n</m:t>
        </m:r>
        <m:r>
          <m:t>e</m:t>
        </m:r>
        <m:r>
          <m:t>p</m:t>
        </m:r>
        <m:r>
          <m:t>i</m:t>
        </m:r>
        <m:r>
          <m:t>v</m:t>
        </m:r>
        <m:r>
          <m:t>o</m:t>
        </m:r>
        <m:r>
          <m:t>t</m:t>
        </m:r>
        <m:r>
          <m:rPr>
            <m:sty m:val="p"/>
          </m:rPr>
          <m:t>.</m:t>
        </m:r>
        <m:r>
          <m:t>T</m:t>
        </m:r>
        <m:r>
          <m:t>h</m:t>
        </m:r>
        <m:r>
          <m:t>e</m:t>
        </m:r>
        <m:r>
          <m:t>s</m:t>
        </m:r>
        <m:r>
          <m:t>t</m:t>
        </m:r>
        <m:r>
          <m:t>o</m:t>
        </m:r>
        <m:r>
          <m:t>c</m:t>
        </m:r>
        <m:r>
          <m:t>k</m:t>
        </m:r>
        <m:r>
          <m:t>h</m:t>
        </m:r>
        <m:r>
          <m:t>a</m:t>
        </m:r>
        <m:r>
          <m:t>s</m:t>
        </m:r>
        <m:r>
          <m:t>s</m:t>
        </m:r>
        <m:r>
          <m:t>i</m:t>
        </m:r>
        <m:r>
          <m:t>n</m:t>
        </m:r>
        <m:r>
          <m:t>c</m:t>
        </m:r>
        <m:r>
          <m:t>e</m:t>
        </m:r>
        <m:r>
          <m:t>c</m:t>
        </m:r>
        <m:r>
          <m:t>o</m:t>
        </m:r>
        <m:r>
          <m:t>n</m:t>
        </m:r>
        <m:r>
          <m:t>s</m:t>
        </m:r>
        <m:r>
          <m:t>o</m:t>
        </m:r>
        <m:r>
          <m:t>l</m:t>
        </m:r>
        <m:r>
          <m:t>i</m:t>
        </m:r>
        <m:r>
          <m:t>d</m:t>
        </m:r>
        <m:r>
          <m:t>a</m:t>
        </m:r>
        <m:r>
          <m:t>t</m:t>
        </m:r>
        <m:r>
          <m:t>e</m:t>
        </m:r>
        <m:r>
          <m:t>d</m:t>
        </m:r>
        <m:r>
          <m:t>b</m:t>
        </m:r>
        <m:r>
          <m:t>a</m:t>
        </m:r>
        <m:r>
          <m:t>c</m:t>
        </m:r>
        <m:r>
          <m:t>k</m:t>
        </m:r>
        <m:r>
          <m:t>t</m:t>
        </m:r>
        <m:r>
          <m:t>o</m:t>
        </m:r>
        <m:r>
          <m:t> </m:t>
        </m:r>
      </m:oMath>
      <w:r>
        <w:t xml:space="preserve">294 (July 29), roughly +17% YTD, broadly tracking peer Linde (LIN, ~+19% YTD). This means expectations are elevated, and the "good news" of the project exit is arguably priced in.</w:t>
      </w:r>
    </w:p>
    <w:p>
      <w:pPr>
        <w:pStyle w:val="BodyText"/>
      </w:pPr>
      <w:r>
        <w:rPr>
          <w:b/>
          <w:bCs/>
        </w:rPr>
        <w:t xml:space="preserve">What could move the stock:</w:t>
      </w:r>
    </w:p>
    <w:p>
      <w:pPr>
        <w:pStyle w:val="Compact"/>
        <w:numPr>
          <w:ilvl w:val="0"/>
          <w:numId w:val="1004"/>
        </w:numPr>
      </w:pPr>
      <w:r>
        <w:rPr>
          <w:i/>
          <w:iCs/>
        </w:rPr>
        <w:t xml:space="preserve">Positive:</w:t>
      </w:r>
      <w:r>
        <w:t xml:space="preserve"> </w:t>
      </w:r>
      <w:r>
        <w:t xml:space="preserve">clean adjusted EPS beat/raise, confirmation of capital redeployment into high-return electronics backlog, signed Yara deal, helium price inflection signal, further FY26 guidance raise.</w:t>
      </w:r>
    </w:p>
    <w:p>
      <w:pPr>
        <w:pStyle w:val="Compact"/>
        <w:numPr>
          <w:ilvl w:val="0"/>
          <w:numId w:val="1004"/>
        </w:numPr>
      </w:pPr>
      <w:r>
        <w:rPr>
          <w:i/>
          <w:iCs/>
        </w:rPr>
        <w:t xml:space="preserve">Negative:</w:t>
      </w:r>
      <w:r>
        <w:t xml:space="preserve"> </w:t>
      </w:r>
      <w:r>
        <w:t xml:space="preserve">larger-than-flagged charge or higher cash cost, any cut to underlying volume/pricing momentum (especially Europe/Asia macro softness management repeatedly flagged as uncertain), helium staying a bigger drag, or capex/backlog commentary that reignites the "over-invested" concern.</w:t>
      </w:r>
    </w:p>
    <w:bookmarkEnd w:id="15"/>
    <w:bookmarkStart w:id="16" w:name="bottom-line"/>
    <w:p>
      <w:pPr>
        <w:pStyle w:val="Heading2"/>
      </w:pPr>
      <w:r>
        <w:t xml:space="preserve">Bottom line</w:t>
      </w:r>
    </w:p>
    <w:p>
      <w:pPr>
        <w:pStyle w:val="FirstParagraph"/>
      </w:pPr>
      <w:r>
        <w:t xml:space="preserve">This is a transition quarter that crystallizes CEO Menezes' strategic reset: take the pain on legacy clean-energy megaprojects (up to a $2.9B charge), redirect capital toward higher-return industrial-gas and electronics backlog, and defend an 8–10% adjusted EPS growth story. The GAAP loss line is noise that's already known; the signal is (1) whether adjusted EPS lands in/above the</w:t>
      </w:r>
      <w:r>
        <w:t xml:space="preserve"> </w:t>
      </w:r>
      <m:oMath>
        <m:r>
          <m:t>3.25</m:t>
        </m:r>
        <m:r>
          <m:rPr>
            <m:sty m:val="p"/>
          </m:rPr>
          <m:t>–</m:t>
        </m:r>
      </m:oMath>
      <w:r>
        <w:t xml:space="preserve">3.35 range, (2) the tone on redeploying freed-up capital, and (3) the trajectory of helium pricing and refining/electronics volumes. With the stock near recent highs, the bar for a further leg up is a clean beat</w:t>
      </w:r>
      <w:r>
        <w:t xml:space="preserve"> </w:t>
      </w:r>
      <w:r>
        <w:rPr>
          <w:i/>
          <w:iCs/>
        </w:rPr>
        <w:t xml:space="preserve">plus</w:t>
      </w:r>
      <w:r>
        <w:t xml:space="preserve"> </w:t>
      </w:r>
      <w:r>
        <w:t xml:space="preserve">a credible growth-reinvestment narrative.</w:t>
      </w:r>
    </w:p>
    <w:p>
      <w:pPr>
        <w:pStyle w:val="BodyText"/>
      </w:pPr>
      <w:r>
        <w:rPr>
          <w:i/>
          <w:iCs/>
        </w:rPr>
        <w:t xml:space="preserve">Note: Fiscal Q3 2026 covers the quarter ended June 30, 2026. All "adjusted" figures are non-GAAP.</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2026-07-29T17:53:22Z</dcterms:created>
  <dcterms:modified xsi:type="dcterms:W3CDTF">2026-07-29T17:53:22Z</dcterms:modified>
</cp:coreProperties>
</file>

<file path=docProps/custom.xml><?xml version="1.0" encoding="utf-8"?>
<Properties xmlns="http://schemas.openxmlformats.org/officeDocument/2006/custom-properties" xmlns:vt="http://schemas.openxmlformats.org/officeDocument/2006/docPropsVTypes"/>
</file>