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d-earnings-predictions--2026-07-30"/>
    <w:p>
      <w:pPr>
        <w:pStyle w:val="Heading1"/>
      </w:pPr>
      <w:r>
        <w:t xml:space="preserve">APD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~$3.38 vs. cons $3.34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(Q3 FY26)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~$3.19B vs. cons $3.202B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(Q3 FY26)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~23.2% vs. cons ~23.8%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 range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13.00</m:t>
              </m:r>
              <m:r>
                <m:rPr>
                  <m:sty m:val="p"/>
                </m:rPr>
                <m:t>−</m:t>
              </m:r>
            </m:oMath>
            <w:r>
              <w:t xml:space="preserve">13.15 (mid $13.08) vs. cons $13.12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implied EPS growth/deceleration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~low-single-digit (2-4%) y/y growth vs. cons ~6-7% y/y (Q4 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expenditure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-1.4% (FADE)</w:t>
            </w:r>
          </w:p>
        </w:tc>
        <w:tc>
          <w:tcPr/>
          <w:p>
            <w:pPr>
              <w:pStyle w:val="Compact"/>
            </w:pPr>
            <w:r>
              <w:t xml:space="preserve">Core EPS/revenue likely near-inline-to-modest-beat, but the LCEC charge is already priced in and won't drive a pop; the real swing factor is out-period math: management flagged Q4 deceleration back in Q2, and the unresolved Qatar/Hormuz helium disruption plus Casa Grande/LCEC exit reduce the growth backlog optionality analysts had modeled. Expect sell-side to trim FY26 exit-rate and FY27 numbers even if Q3 headline beats, causing a fade as estimate revisions catch down to the widened helium drag and slower reinvestment ramp in electronics/aerospace.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2026-07-29T17:59:58Z</dcterms:created>
  <dcterms:modified xsi:type="dcterms:W3CDTF">2026-07-29T17:59:58Z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