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Good, I now have enough to write a comprehensive preview. Let me also quickly check for the most recent consensus EPS number specifically for Q3 to compare with guidance.# Air Products (APD) — Fiscal 2026 Q3 Earnings Preview</w:t>
      </w:r>
      <w:r>
        <w:t xml:space="preserve"> </w:t>
      </w:r>
      <w:r>
        <w:rPr>
          <w:b/>
          <w:bCs/>
        </w:rPr>
        <w:t xml:space="preserve">Report Date:</w:t>
      </w:r>
      <w:r>
        <w:t xml:space="preserve"> </w:t>
      </w:r>
      <w:r>
        <w:t xml:space="preserve">Thursday, July 30, 2026, 8:00 a.m. ET |</w:t>
      </w:r>
      <w:r>
        <w:t xml:space="preserve"> </w:t>
      </w:r>
      <w:r>
        <w:rPr>
          <w:b/>
          <w:bCs/>
        </w:rPr>
        <w:t xml:space="preserve">Ticker:</w:t>
      </w:r>
      <w:r>
        <w:t xml:space="preserve"> </w:t>
      </w:r>
      <w:r>
        <w:t xml:space="preserve">NYSE: APD</w:t>
      </w:r>
    </w:p>
    <w:bookmarkStart w:id="9" w:name="setup-into-the-print"/>
    <w:p>
      <w:pPr>
        <w:pStyle w:val="Heading2"/>
      </w:pPr>
      <w:r>
        <w:t xml:space="preserve">Setup Into the Print</w:t>
      </w:r>
    </w:p>
    <w:p>
      <w:pPr>
        <w:pStyle w:val="FirstParagraph"/>
      </w:pPr>
      <w:r>
        <w:t xml:space="preserve">Air Products reports fiscal third-quarter 2026 results tomorrow. The company guided the quarter to</w:t>
      </w:r>
      <w:r>
        <w:t xml:space="preserve"> </w:t>
      </w:r>
      <w:r>
        <w:rPr>
          <w:b/>
          <w:bCs/>
        </w:rPr>
        <w:t xml:space="preserve">adjusted EPS of</w:t>
      </w:r>
      <w:r>
        <w:rPr>
          <w:b/>
          <w:bCs/>
        </w:rPr>
        <w:t xml:space="preserve"> </w:t>
      </w:r>
      <m:oMath>
        <m:r>
          <m:t>3.25</m:t>
        </m:r>
        <m:r>
          <m:rPr>
            <m:sty m:val="p"/>
          </m:rPr>
          <m:t>–</m:t>
        </m:r>
      </m:oMath>
      <w:r>
        <w:rPr>
          <w:b/>
          <w:bCs/>
        </w:rPr>
        <w:t xml:space="preserve">3.35</w:t>
      </w:r>
      <w:r>
        <w:t xml:space="preserve"> </w:t>
      </w:r>
      <w:r>
        <w:t xml:space="preserve">(5–8% y/y growth) alongside its Q2 report, and analysts expect the company to announce earnings of $3.34 per share and revenue of</w:t>
      </w:r>
      <w:r>
        <w:t xml:space="preserve"> </w:t>
      </w:r>
      <m:oMath>
        <m:r>
          <m:t>3.202</m:t>
        </m:r>
        <m:r>
          <m:t>b</m:t>
        </m:r>
        <m:r>
          <m:t>i</m:t>
        </m:r>
        <m:r>
          <m:t>l</m:t>
        </m:r>
        <m:r>
          <m:t>l</m:t>
        </m:r>
        <m:r>
          <m:t>i</m:t>
        </m:r>
        <m:r>
          <m:t>o</m:t>
        </m:r>
        <m:r>
          <m:t>n</m:t>
        </m:r>
        <m:r>
          <m:t>f</m:t>
        </m:r>
        <m:r>
          <m:t>o</m:t>
        </m:r>
        <m:r>
          <m:t>r</m:t>
        </m:r>
        <m:r>
          <m:t>t</m:t>
        </m:r>
        <m:r>
          <m:t>h</m:t>
        </m:r>
        <m:r>
          <m:t>e</m:t>
        </m:r>
        <m:r>
          <m:t>q</m:t>
        </m:r>
        <m:r>
          <m:t>u</m:t>
        </m:r>
        <m:r>
          <m:t>a</m:t>
        </m:r>
        <m:r>
          <m:t>r</m:t>
        </m:r>
        <m:r>
          <m:t>t</m:t>
        </m:r>
        <m:r>
          <m:t>e</m:t>
        </m:r>
        <m:r>
          <m:t>r</m:t>
        </m:r>
        <m:r>
          <m:rPr>
            <m:sty m:val="p"/>
          </m:rPr>
          <m:t>.</m:t>
        </m:r>
        <m:r>
          <m:t>C</m:t>
        </m:r>
        <m:r>
          <m:t>o</m:t>
        </m:r>
        <m:r>
          <m:t>n</m:t>
        </m:r>
        <m:r>
          <m:t>s</m:t>
        </m:r>
        <m:r>
          <m:t>e</m:t>
        </m:r>
        <m:r>
          <m:t>n</m:t>
        </m:r>
        <m:r>
          <m:t>s</m:t>
        </m:r>
        <m:r>
          <m:t>u</m:t>
        </m:r>
        <m:r>
          <m:t>s</m:t>
        </m:r>
        <m:r>
          <m:t>f</m:t>
        </m:r>
        <m:r>
          <m:t>o</m:t>
        </m:r>
        <m:r>
          <m:t>r</m:t>
        </m:r>
        <m:r>
          <m:t>t</m:t>
        </m:r>
        <m:r>
          <m:t>h</m:t>
        </m:r>
        <m:r>
          <m:t>e</m:t>
        </m:r>
        <m:r>
          <m:t>f</m:t>
        </m:r>
        <m:r>
          <m:t>u</m:t>
        </m:r>
        <m:r>
          <m:t>l</m:t>
        </m:r>
        <m:r>
          <m:t>l</m:t>
        </m:r>
        <m:r>
          <m:t>f</m:t>
        </m:r>
        <m:r>
          <m:t>i</m:t>
        </m:r>
        <m:r>
          <m:t>s</m:t>
        </m:r>
        <m:r>
          <m:t>c</m:t>
        </m:r>
        <m:r>
          <m:t>a</m:t>
        </m:r>
        <m:r>
          <m:t>l</m:t>
        </m:r>
        <m:r>
          <m:t>y</m:t>
        </m:r>
        <m:r>
          <m:t>e</m:t>
        </m:r>
        <m:r>
          <m:t>a</m:t>
        </m:r>
        <m:r>
          <m:t>r</m:t>
        </m:r>
        <m:r>
          <m:t>s</m:t>
        </m:r>
        <m:r>
          <m:t>i</m:t>
        </m:r>
        <m:r>
          <m:t>t</m:t>
        </m:r>
        <m:r>
          <m:t>s</m:t>
        </m:r>
        <m:r>
          <m:t>a</m:t>
        </m:r>
        <m:r>
          <m:t>r</m:t>
        </m:r>
        <m:r>
          <m:t>o</m:t>
        </m:r>
        <m:r>
          <m:t>u</m:t>
        </m:r>
        <m:r>
          <m:t>n</m:t>
        </m:r>
        <m:r>
          <m:t>d</m:t>
        </m:r>
        <m:r>
          <m:rPr>
            <m:sty m:val="p"/>
          </m:rPr>
          <m:t>*</m:t>
        </m:r>
        <m:r>
          <m:rPr>
            <m:sty m:val="p"/>
          </m:rPr>
          <m:t>*</m:t>
        </m:r>
      </m:oMath>
      <w:r>
        <w:t xml:space="preserve">13.04–</w:t>
      </w:r>
      <m:oMath>
        <m:r>
          <m:t>13.20</m:t>
        </m:r>
        <m:r>
          <m:rPr>
            <m:sty m:val="p"/>
          </m:rPr>
          <m:t>*</m:t>
        </m:r>
        <m:r>
          <m:rPr>
            <m:sty m:val="p"/>
          </m:rPr>
          <m:t>*</m:t>
        </m:r>
        <m:r>
          <m:rPr>
            <m:sty m:val="p"/>
          </m:rPr>
          <m:t>,</m:t>
        </m:r>
        <m:r>
          <m:t>r</m:t>
        </m:r>
        <m:r>
          <m:t>o</m:t>
        </m:r>
        <m:r>
          <m:t>u</m:t>
        </m:r>
        <m:r>
          <m:t>g</m:t>
        </m:r>
        <m:r>
          <m:t>h</m:t>
        </m:r>
        <m:r>
          <m:t>l</m:t>
        </m:r>
        <m:r>
          <m:t>y</m:t>
        </m:r>
        <m:r>
          <m:t>i</m:t>
        </m:r>
        <m:r>
          <m:t>n</m:t>
        </m:r>
        <m:r>
          <m:t>l</m:t>
        </m:r>
        <m:r>
          <m:t>i</m:t>
        </m:r>
        <m:r>
          <m:t>n</m:t>
        </m:r>
        <m:r>
          <m:t>e</m:t>
        </m:r>
        <m:r>
          <m:t>w</m:t>
        </m:r>
        <m:r>
          <m:t>i</m:t>
        </m:r>
        <m:r>
          <m:t>t</m:t>
        </m:r>
        <m:r>
          <m:t>h</m:t>
        </m:r>
        <m:r>
          <m:t>t</m:t>
        </m:r>
        <m:r>
          <m:t>h</m:t>
        </m:r>
        <m:r>
          <m:t>e</m:t>
        </m:r>
        <m:r>
          <m:t>c</m:t>
        </m:r>
        <m:r>
          <m:t>o</m:t>
        </m:r>
        <m:r>
          <m:t>m</m:t>
        </m:r>
        <m:r>
          <m:t>p</m:t>
        </m:r>
        <m:r>
          <m:t>a</m:t>
        </m:r>
        <m:r>
          <m:t>n</m:t>
        </m:r>
        <m:sSup>
          <m:e>
            <m:r>
              <m:t>y</m:t>
            </m:r>
          </m:e>
          <m:sup>
            <m:r>
              <m:rPr>
                <m:sty m:val="p"/>
              </m:rPr>
              <m:t>′</m:t>
            </m:r>
          </m:sup>
        </m:sSup>
        <m:r>
          <m:t>s</m:t>
        </m:r>
        <m:r>
          <m:t>o</m:t>
        </m:r>
        <m:r>
          <m:t>w</m:t>
        </m:r>
        <m:r>
          <m:t>n</m:t>
        </m:r>
        <m:r>
          <m:rPr>
            <m:sty m:val="p"/>
          </m:rPr>
          <m:t>*</m:t>
        </m:r>
        <m:r>
          <m:rPr>
            <m:sty m:val="p"/>
          </m:rPr>
          <m:t>*</m:t>
        </m:r>
      </m:oMath>
      <w:r>
        <w:t xml:space="preserve">13.00–$13.25** guidance range.</w:t>
      </w:r>
    </w:p>
    <w:p>
      <w:pPr>
        <w:pStyle w:val="BodyText"/>
      </w:pPr>
      <w:r>
        <w:t xml:space="preserve">The stock has been choppy into the quarter — it ran from the high-$270s to over</w:t>
      </w:r>
      <w:r>
        <w:t xml:space="preserve"> </w:t>
      </w:r>
      <m:oMath>
        <m:r>
          <m:t>314</m:t>
        </m:r>
        <m:r>
          <m:t>i</m:t>
        </m:r>
        <m:r>
          <m:t>n</m:t>
        </m:r>
        <m:r>
          <m:t>e</m:t>
        </m:r>
        <m:r>
          <m:t>a</m:t>
        </m:r>
        <m:r>
          <m:t>r</m:t>
        </m:r>
        <m:r>
          <m:t>l</m:t>
        </m:r>
        <m:r>
          <m:t>y</m:t>
        </m:r>
        <m:r>
          <m:t>J</m:t>
        </m:r>
        <m:r>
          <m:t>u</m:t>
        </m:r>
        <m:r>
          <m:t>l</m:t>
        </m:r>
        <m:r>
          <m:t>y</m:t>
        </m:r>
        <m:r>
          <m:t>b</m:t>
        </m:r>
        <m:r>
          <m:t>e</m:t>
        </m:r>
        <m:r>
          <m:t>f</m:t>
        </m:r>
        <m:r>
          <m:t>o</m:t>
        </m:r>
        <m:r>
          <m:t>r</m:t>
        </m:r>
        <m:r>
          <m:t>e</m:t>
        </m:r>
        <m:r>
          <m:t>s</m:t>
        </m:r>
        <m:r>
          <m:t>e</m:t>
        </m:r>
        <m:r>
          <m:t>t</m:t>
        </m:r>
        <m:r>
          <m:t>t</m:t>
        </m:r>
        <m:r>
          <m:t>l</m:t>
        </m:r>
        <m:r>
          <m:t>i</m:t>
        </m:r>
        <m:r>
          <m:t>n</m:t>
        </m:r>
        <m:r>
          <m:t>g</m:t>
        </m:r>
        <m:r>
          <m:t>b</m:t>
        </m:r>
        <m:r>
          <m:t>a</m:t>
        </m:r>
        <m:r>
          <m:t>c</m:t>
        </m:r>
        <m:r>
          <m:t>k</m:t>
        </m:r>
        <m:r>
          <m:t>t</m:t>
        </m:r>
        <m:r>
          <m:t>o</m:t>
        </m:r>
        <m:r>
          <m:t>r</m:t>
        </m:r>
        <m:r>
          <m:t>o</m:t>
        </m:r>
        <m:r>
          <m:t>u</m:t>
        </m:r>
        <m:r>
          <m:t>g</m:t>
        </m:r>
        <m:r>
          <m:t>h</m:t>
        </m:r>
        <m:r>
          <m:t>l</m:t>
        </m:r>
        <m:r>
          <m:t>y</m:t>
        </m:r>
        <m:r>
          <m:rPr>
            <m:sty m:val="p"/>
          </m:rPr>
          <m:t>*</m:t>
        </m:r>
        <m:r>
          <m:rPr>
            <m:sty m:val="p"/>
          </m:rPr>
          <m:t>*</m:t>
        </m:r>
      </m:oMath>
      <w:r>
        <w:t xml:space="preserve">294** as of July 29, a period that included a huge one-time headline (below) and continued Middle East-driven volatility.</w:t>
      </w:r>
    </w:p>
    <w:bookmarkEnd w:id="9"/>
    <w:bookmarkStart w:id="10" w:name="X00dd150d8db5c8b0b4ae41431a6fcb4928f7320"/>
    <w:p>
      <w:pPr>
        <w:pStyle w:val="Heading2"/>
      </w:pPr>
      <w:r>
        <w:t xml:space="preserve">The Big One: Louisiana Clean Energy Complex Cancellation</w:t>
      </w:r>
    </w:p>
    <w:p>
      <w:pPr>
        <w:pStyle w:val="FirstParagraph"/>
      </w:pPr>
      <w:r>
        <w:t xml:space="preserve">The most important pre-announced item going into this report is</w:t>
      </w:r>
      <w:r>
        <w:t xml:space="preserve"> </w:t>
      </w:r>
      <w:r>
        <w:rPr>
          <w:b/>
          <w:bCs/>
        </w:rPr>
        <w:t xml:space="preserve">not</w:t>
      </w:r>
      <w:r>
        <w:t xml:space="preserve"> </w:t>
      </w:r>
      <w:r>
        <w:t xml:space="preserve">an operating metric — it's a portfolio decision. On June 30, Air Products announced it will</w:t>
      </w:r>
      <w:r>
        <w:t xml:space="preserve"> </w:t>
      </w:r>
      <w:r>
        <w:rPr>
          <w:b/>
          <w:bCs/>
        </w:rPr>
        <w:t xml:space="preserve">not proceed with the Louisiana Clean Energy Complex (LCEC)</w:t>
      </w:r>
      <w:r>
        <w:t xml:space="preserve">, its large blue hydrogen/ammonia project, after determining expected financial returns not meeting stringent return criteria. Alongside LCEC, the company is also exiting a zero-carbon liquid hydrogen facility in Casa Grande, Arizona and other smaller scale projects supporting clean energy distribution, citing challenging commercial conditions, project-specific economic factors, and slower-than-expected development in certain markets, largely hydrogen for mobility.</w:t>
      </w:r>
    </w:p>
    <w:p>
      <w:pPr>
        <w:pStyle w:val="BodyText"/>
      </w:pPr>
      <w:r>
        <w:t xml:space="preserve">Financial impact to watch in the print:</w:t>
      </w:r>
    </w:p>
    <w:p>
      <w:pPr>
        <w:pStyle w:val="Compact"/>
        <w:numPr>
          <w:ilvl w:val="0"/>
          <w:numId w:val="1001"/>
        </w:numPr>
      </w:pPr>
      <w:r>
        <w:t xml:space="preserve">The Company expects to record a pre-tax charge of up to $2.9 billion, or $2.2 billion on an after-tax basis, in its fiscal 2026 third quarter, primarily to write down assets and terminate contractual commitments.</w:t>
      </w:r>
    </w:p>
    <w:p>
      <w:pPr>
        <w:pStyle w:val="Compact"/>
        <w:numPr>
          <w:ilvl w:val="0"/>
          <w:numId w:val="1001"/>
        </w:numPr>
      </w:pPr>
      <w:r>
        <w:t xml:space="preserve">Cash expenditures related to these charges are currently estimated not to exceed $925 million based on contractual terms and commitments; however, the Company anticipates lower cash spend once negotiations and ultimate settlements are finalized with third parties.</w:t>
      </w:r>
    </w:p>
    <w:p>
      <w:pPr>
        <w:pStyle w:val="Compact"/>
        <w:numPr>
          <w:ilvl w:val="0"/>
          <w:numId w:val="1001"/>
        </w:numPr>
      </w:pPr>
      <w:r>
        <w:t xml:space="preserve">This will be excluded from adjusted EPS (similar treatment to the ~</w:t>
      </w:r>
      <m:oMath>
        <m:r>
          <m:t>2.9</m:t>
        </m:r>
        <m:r>
          <m:t>B</m:t>
        </m:r>
        <m:r>
          <m:t>c</m:t>
        </m:r>
        <m:r>
          <m:t>h</m:t>
        </m:r>
        <m:r>
          <m:t>a</m:t>
        </m:r>
        <m:r>
          <m:t>r</m:t>
        </m:r>
        <m:r>
          <m:t>g</m:t>
        </m:r>
        <m:r>
          <m:t>e</m:t>
        </m:r>
        <m:r>
          <m:t>t</m:t>
        </m:r>
        <m:r>
          <m:t>a</m:t>
        </m:r>
        <m:r>
          <m:t>k</m:t>
        </m:r>
        <m:r>
          <m:t>e</m:t>
        </m:r>
        <m:r>
          <m:t>n</m:t>
        </m:r>
        <m:r>
          <m:t>i</m:t>
        </m:r>
        <m:r>
          <m:t>n</m:t>
        </m:r>
        <m:r>
          <m:t>Q</m:t>
        </m:r>
        <m:r>
          <m:t>2</m:t>
        </m:r>
        <m:r>
          <m:t>F</m:t>
        </m:r>
        <m:r>
          <m:t>Y</m:t>
        </m:r>
        <m:r>
          <m:t>25</m:t>
        </m:r>
        <m:r>
          <m:t>f</m:t>
        </m:r>
        <m:r>
          <m:t>o</m:t>
        </m:r>
        <m:r>
          <m:t>r</m:t>
        </m:r>
        <m:r>
          <m:t>e</m:t>
        </m:r>
        <m:r>
          <m:t>x</m:t>
        </m:r>
        <m:r>
          <m:t>i</m:t>
        </m:r>
        <m:r>
          <m:t>t</m:t>
        </m:r>
        <m:r>
          <m:t>i</m:t>
        </m:r>
        <m:r>
          <m:t>n</m:t>
        </m:r>
        <m:r>
          <m:t>g</m:t>
        </m:r>
        <m:r>
          <m:t>o</m:t>
        </m:r>
        <m:r>
          <m:t>t</m:t>
        </m:r>
        <m:r>
          <m:t>h</m:t>
        </m:r>
        <m:r>
          <m:t>e</m:t>
        </m:r>
        <m:r>
          <m:t>r</m:t>
        </m:r>
        <m:r>
          <m:t>c</m:t>
        </m:r>
        <m:r>
          <m:t>l</m:t>
        </m:r>
        <m:r>
          <m:t>e</m:t>
        </m:r>
        <m:r>
          <m:t>a</m:t>
        </m:r>
        <m:r>
          <m:t>n</m:t>
        </m:r>
        <m:r>
          <m:rPr>
            <m:sty m:val="p"/>
          </m:rPr>
          <m:t>−</m:t>
        </m:r>
        <m:r>
          <m:t>e</m:t>
        </m:r>
        <m:r>
          <m:t>n</m:t>
        </m:r>
        <m:r>
          <m:t>e</m:t>
        </m:r>
        <m:r>
          <m:t>r</m:t>
        </m:r>
        <m:r>
          <m:t>g</m:t>
        </m:r>
        <m:r>
          <m:t>y</m:t>
        </m:r>
        <m:r>
          <m:t>p</m:t>
        </m:r>
        <m:r>
          <m:t>r</m:t>
        </m:r>
        <m:r>
          <m:t>o</m:t>
        </m:r>
        <m:r>
          <m:t>j</m:t>
        </m:r>
        <m:r>
          <m:t>e</m:t>
        </m:r>
        <m:r>
          <m:t>c</m:t>
        </m:r>
        <m:r>
          <m:t>t</m:t>
        </m:r>
        <m:r>
          <m:t>s</m:t>
        </m:r>
        <m:r>
          <m:rPr>
            <m:sty m:val="p"/>
          </m:rPr>
          <m:t>)</m:t>
        </m:r>
        <m:r>
          <m:rPr>
            <m:sty m:val="p"/>
          </m:rPr>
          <m:t>,</m:t>
        </m:r>
        <m:r>
          <m:t>s</m:t>
        </m:r>
        <m:r>
          <m:t>o</m:t>
        </m:r>
        <m:r>
          <m:t>t</m:t>
        </m:r>
        <m:r>
          <m:t>h</m:t>
        </m:r>
        <m:r>
          <m:t>e</m:t>
        </m:r>
        <m:r>
          <m:rPr>
            <m:sty m:val="p"/>
          </m:rPr>
          <m:t>*</m:t>
        </m:r>
        <m:r>
          <m:rPr>
            <m:sty m:val="p"/>
          </m:rPr>
          <m:t>*</m:t>
        </m:r>
      </m:oMath>
      <w:r>
        <w:t xml:space="preserve">3.25–$3.35 adjusted guide should still be the relevant comparison point** — but watch GAAP EPS swing sharply negative and listen for commentary on capex redeployment.</w:t>
      </w:r>
    </w:p>
    <w:p>
      <w:pPr>
        <w:pStyle w:val="FirstParagraph"/>
      </w:pPr>
      <w:r>
        <w:t xml:space="preserve">On the positive offset side, Air Products confirmed it is</w:t>
      </w:r>
      <w:r>
        <w:t xml:space="preserve"> </w:t>
      </w:r>
      <w:r>
        <w:rPr>
          <w:b/>
          <w:bCs/>
        </w:rPr>
        <w:t xml:space="preserve">finalizing a marketing and distribution agreement with Yara</w:t>
      </w:r>
      <w:r>
        <w:t xml:space="preserve"> </w:t>
      </w:r>
      <w:r>
        <w:t xml:space="preserve">for renewable ammonia from the NEOM Green Hydrogen Project in Saudi Arabia — an agreement independent of the LCEC decision that will enable ammonia from the world's first large-scale renewable ammonia plant to be sold and delivered worldwide by Yara's global supply chain. This effectively de-risks the demand side of NEOM (APD's largest legacy energy-transition commitment) just as it walks away from Darrow/Louisiana. Investors should look for an update on NEOM commissioning timing (renewable power/solar park connection) and confirmation the Yara deal has closed.</w:t>
      </w:r>
    </w:p>
    <w:bookmarkEnd w:id="10"/>
    <w:bookmarkStart w:id="11" w:name="q2-recap--strong-beat-raised-guidance"/>
    <w:p>
      <w:pPr>
        <w:pStyle w:val="Heading2"/>
      </w:pPr>
      <w:r>
        <w:t xml:space="preserve">Q2 Recap — Strong Beat, Raised Guidance</w:t>
      </w:r>
    </w:p>
    <w:p>
      <w:pPr>
        <w:pStyle w:val="FirstParagraph"/>
      </w:pPr>
      <w:r>
        <w:t xml:space="preserve">Heading into Q3, the base business was running hot. In Q2, earnings per share of $3.20 increased 19% compared to the prior year quarter on improved volumes, productivity and currency, and operating margin of 23.7% was also up compared to the prior year quarter, reflecting the strong underlying volumes, particularly in our on-site business as well as the continued benefit of cost productivity. Results exceeded top-end of adjusted EPS guidance, driven by higher on-site volumes, favorable currency, and lower costs driven by productivity and lower depreciation. Management responded by raising full-year guidance to</w:t>
      </w:r>
      <w:r>
        <w:t xml:space="preserve"> </w:t>
      </w:r>
      <m:oMath>
        <m:r>
          <m:t>13.00</m:t>
        </m:r>
        <m:r>
          <m:rPr>
            <m:sty m:val="p"/>
          </m:rPr>
          <m:t>–</m:t>
        </m:r>
      </m:oMath>
      <w:r>
        <w:t xml:space="preserve">13.25 from a lower prior range.</w:t>
      </w:r>
    </w:p>
    <w:p>
      <w:pPr>
        <w:pStyle w:val="BodyText"/>
      </w:pPr>
      <w:r>
        <w:t xml:space="preserve">Importantly, Q2 commentary flagged that the</w:t>
      </w:r>
      <w:r>
        <w:t xml:space="preserve"> </w:t>
      </w:r>
      <w:r>
        <w:rPr>
          <w:b/>
          <w:bCs/>
        </w:rPr>
        <w:t xml:space="preserve">second-half guide implies a deceleration into Q4</w:t>
      </w:r>
      <w:r>
        <w:t xml:space="preserve"> </w:t>
      </w:r>
      <w:r>
        <w:t xml:space="preserve">(low single-digit EPS growth), which CFO Melissa Schaeffer attributed to a maintenance turnaround shifting from Q2 into Q3/Q4 and continued macro caution in Asia/Europe — worth revisiting given how much has changed (LCEC exit, prolonged helium disruption) since that comment was made.</w:t>
      </w:r>
    </w:p>
    <w:bookmarkEnd w:id="11"/>
    <w:bookmarkStart w:id="12" w:name="helium-the-wildcard-that-wont-go-away"/>
    <w:p>
      <w:pPr>
        <w:pStyle w:val="Heading2"/>
      </w:pPr>
      <w:r>
        <w:t xml:space="preserve">Helium: The Wildcard That Won't Go Away</w:t>
      </w:r>
    </w:p>
    <w:p>
      <w:pPr>
        <w:pStyle w:val="FirstParagraph"/>
      </w:pPr>
      <w:r>
        <w:t xml:space="preserve">Helium remains the single largest swing factor for the print. The Iran-Israel conflict has triggered a sudden shutdown of roughly a third of global helium supply via strikes on Qatar's Ras Laffan complex, and as of July 9, QatarEnergy officials held a series of meetings following [a Hormuz tanker] attack, with CEO Saad Al-Kaabi deciding to cease plans to increase output at the Ras Laffan complex — meaning the anticipated ramp-back has been paused rather than progressing, a incremental negative versus the assumptions embedded in Q2 guidance. On the Q2 call, management explained Air Products' mitigation toolkit: multiple sources in the U.S. in addition to long-term partnerships in Algeria with Sonatrach and in Qatar with Qatar Energy, a dedicated helium storage cavern in Texas... and a large helium ISO container fleet, while acknowledging the helium market was structurally long before the war, and... is short now, with management still expecting helium to bottom by the end of this year (calendar 2026). Watch for: (1) whether the helium EPS drag widens versus the ~4% full-year headwind previously modeled, (2) any move to allocate volumes to customers, and (3) progress on long-term contracts — management noted helium volumes to large electronics customers in Asia to more than double between 2026 and 2030 under agreements signed in the last six months.</w:t>
      </w:r>
    </w:p>
    <w:bookmarkEnd w:id="12"/>
    <w:bookmarkStart w:id="13" w:name="segment--end-market-trends-to-watch"/>
    <w:p>
      <w:pPr>
        <w:pStyle w:val="Heading2"/>
      </w:pPr>
      <w:r>
        <w:t xml:space="preserve">Segment &amp; End-Market Trends to Watch</w:t>
      </w:r>
    </w:p>
    <w:p>
      <w:pPr>
        <w:pStyle w:val="Compact"/>
        <w:numPr>
          <w:ilvl w:val="0"/>
          <w:numId w:val="1002"/>
        </w:numPr>
      </w:pPr>
      <w:r>
        <w:rPr>
          <w:b/>
          <w:bCs/>
        </w:rPr>
        <w:t xml:space="preserve">Americas</w:t>
      </w:r>
      <w:r>
        <w:t xml:space="preserve"> </w:t>
      </w:r>
      <w:r>
        <w:t xml:space="preserve">— Q2 margins were pressured by energy pass-through and maintenance turnarounds; management guided to sequential improvement as those costs subside. U.S. Gulf Coast refining remains a bright spot, with strong run rates across our refining customer base, particularly in the U.S. Gulf Coast... U.S. refineries continue to run hard, which will support higher on-site volumes.</w:t>
      </w:r>
    </w:p>
    <w:p>
      <w:pPr>
        <w:pStyle w:val="Compact"/>
        <w:numPr>
          <w:ilvl w:val="0"/>
          <w:numId w:val="1002"/>
        </w:numPr>
      </w:pPr>
      <w:r>
        <w:rPr>
          <w:b/>
          <w:bCs/>
        </w:rPr>
        <w:t xml:space="preserve">Asia</w:t>
      </w:r>
      <w:r>
        <w:t xml:space="preserve"> </w:t>
      </w:r>
      <w:r>
        <w:t xml:space="preserve">— Benefited last quarter from reduced headwinds from helium with volumes better than expected due to Aerospace and new-asset ramp; China coal-gasification economics have improved as increased oil and LNG costs are supporting higher volumes from that customer base, though two gasification assets remain classified held-for-sale.</w:t>
      </w:r>
    </w:p>
    <w:p>
      <w:pPr>
        <w:pStyle w:val="Compact"/>
        <w:numPr>
          <w:ilvl w:val="0"/>
          <w:numId w:val="1002"/>
        </w:numPr>
      </w:pPr>
      <w:r>
        <w:rPr>
          <w:b/>
          <w:bCs/>
        </w:rPr>
        <w:t xml:space="preserve">Europe</w:t>
      </w:r>
      <w:r>
        <w:t xml:space="preserve"> </w:t>
      </w:r>
      <w:r>
        <w:t xml:space="preserve">— Exposed to feedstock/cost inflation; management called out challenges securing feedstocks and high costs that customers cannot mitigate with pricing could have an impact on run rates.</w:t>
      </w:r>
    </w:p>
    <w:p>
      <w:pPr>
        <w:pStyle w:val="Compact"/>
        <w:numPr>
          <w:ilvl w:val="0"/>
          <w:numId w:val="1002"/>
        </w:numPr>
      </w:pPr>
      <w:r>
        <w:rPr>
          <w:b/>
          <w:bCs/>
        </w:rPr>
        <w:t xml:space="preserve">Electronics</w:t>
      </w:r>
      <w:r>
        <w:t xml:space="preserve"> </w:t>
      </w:r>
      <w:r>
        <w:t xml:space="preserve">— A structural growth engine: management is currently executing approximately $1 billion in ASU and hydrogen projects in Asia for several multiphase projects serving semiconductor and memory customers and expects to add another $1.5 billion to $2 billion to backlog in the next 6 months, headlined by the newly announced Samsung deal — described as the largest investment we ever made in the electronics side, with volumes ultimately approximately 3x larger than what we did in Phase 1.</w:t>
      </w:r>
    </w:p>
    <w:p>
      <w:pPr>
        <w:pStyle w:val="Compact"/>
        <w:numPr>
          <w:ilvl w:val="0"/>
          <w:numId w:val="1002"/>
        </w:numPr>
      </w:pPr>
      <w:r>
        <w:rPr>
          <w:b/>
          <w:bCs/>
        </w:rPr>
        <w:t xml:space="preserve">Aerospace/Space</w:t>
      </w:r>
      <w:r>
        <w:t xml:space="preserve"> </w:t>
      </w:r>
      <w:r>
        <w:t xml:space="preserve">— A growing niche, supplying liquid hydrogen supply that will be part of NASA's Artemis II mission-type programs, plus a new Florida ASU investment; management remains cautious on sizing the ultimate opportunity given forecasts that are extremely high to out of this world volumes in the segment.</w:t>
      </w:r>
    </w:p>
    <w:bookmarkEnd w:id="13"/>
    <w:bookmarkStart w:id="14" w:name="capital-discipline--balance-sheet"/>
    <w:p>
      <w:pPr>
        <w:pStyle w:val="Heading2"/>
      </w:pPr>
      <w:r>
        <w:t xml:space="preserve">Capital Discipline &amp; Balance Sheet</w:t>
      </w:r>
    </w:p>
    <w:p>
      <w:pPr>
        <w:pStyle w:val="FirstParagraph"/>
      </w:pPr>
      <w:r>
        <w:t xml:space="preserve">Air Products continues to shrink its capital program: it reiterated plans to reduce capital expenditure by approximately</w:t>
      </w:r>
      <w:r>
        <w:t xml:space="preserve"> </w:t>
      </w:r>
      <m:oMath>
        <m:r>
          <m:t>1</m:t>
        </m:r>
        <m:r>
          <m:t>b</m:t>
        </m:r>
        <m:r>
          <m:t>i</m:t>
        </m:r>
        <m:r>
          <m:t>l</m:t>
        </m:r>
        <m:r>
          <m:t>l</m:t>
        </m:r>
        <m:r>
          <m:t>i</m:t>
        </m:r>
        <m:r>
          <m:t>o</m:t>
        </m:r>
        <m:r>
          <m:t>n</m:t>
        </m:r>
        <m:r>
          <m:t>i</m:t>
        </m:r>
        <m:r>
          <m:t>n</m:t>
        </m:r>
        <m:r>
          <m:t>f</m:t>
        </m:r>
        <m:r>
          <m:t>i</m:t>
        </m:r>
        <m:r>
          <m:t>s</m:t>
        </m:r>
        <m:r>
          <m:t>c</m:t>
        </m:r>
        <m:r>
          <m:t>a</m:t>
        </m:r>
        <m:r>
          <m:t>l</m:t>
        </m:r>
        <m:r>
          <m:t>2026</m:t>
        </m:r>
        <m:r>
          <m:t>a</m:t>
        </m:r>
        <m:r>
          <m:t>n</m:t>
        </m:r>
        <m:r>
          <m:t>d</m:t>
        </m:r>
        <m:r>
          <m:t>m</m:t>
        </m:r>
        <m:r>
          <m:t>a</m:t>
        </m:r>
        <m:r>
          <m:t>i</m:t>
        </m:r>
        <m:r>
          <m:t>n</m:t>
        </m:r>
        <m:r>
          <m:t>t</m:t>
        </m:r>
        <m:r>
          <m:t>a</m:t>
        </m:r>
        <m:r>
          <m:t>i</m:t>
        </m:r>
        <m:r>
          <m:t>n</m:t>
        </m:r>
        <m:r>
          <m:t>e</m:t>
        </m:r>
        <m:r>
          <m:t>d</m:t>
        </m:r>
        <m:r>
          <m:rPr>
            <m:sty m:val="p"/>
          </m:rPr>
          <m:t>*</m:t>
        </m:r>
        <m:r>
          <m:rPr>
            <m:sty m:val="p"/>
          </m:rPr>
          <m:t>*</m:t>
        </m:r>
        <m:r>
          <m:t> </m:t>
        </m:r>
      </m:oMath>
      <w:r>
        <w:t xml:space="preserve">4.0 billion** capex guidance at Q2. Net debt-to-EBITDA stood at 2.2x, with management targeting a return to</w:t>
      </w:r>
      <w:r>
        <w:t xml:space="preserve"> </w:t>
      </w:r>
      <w:r>
        <w:rPr>
          <w:b/>
          <w:bCs/>
        </w:rPr>
        <w:t xml:space="preserve">A/A2 credit ratings</w:t>
      </w:r>
      <w:r>
        <w:t xml:space="preserve"> </w:t>
      </w:r>
      <w:r>
        <w:t xml:space="preserve">over time, and the company returned</w:t>
      </w:r>
      <w:r>
        <w:t xml:space="preserve"> </w:t>
      </w:r>
      <w:r>
        <w:t xml:space="preserve">$800 million to shareholders in the form of dividends through the first half of the year. With LCEC now cancelled, watch for an updated capex trajectory for FY26/27 and how much of that freed capital rotates into the growing electronics/aerospace backlog (ex-NEOM/Darrow "traditional" backlog was **~$</w:t>
      </w:r>
      <w:r>
        <w:t xml:space="preserve">2.5B+** as of Q2, out of a total</w:t>
      </w:r>
      <w:r>
        <w:t xml:space="preserve"> </w:t>
      </w:r>
      <w:r>
        <w:rPr>
          <w:b/>
          <w:bCs/>
        </w:rPr>
        <w:t xml:space="preserve">$9B</w:t>
      </w:r>
      <w:r>
        <w:t xml:space="preserve"> </w:t>
      </w:r>
      <w:r>
        <w:t xml:space="preserve">backlog).</w:t>
      </w:r>
    </w:p>
    <w:bookmarkEnd w:id="14"/>
    <w:bookmarkStart w:id="15" w:name="valuation--sentiment"/>
    <w:p>
      <w:pPr>
        <w:pStyle w:val="Heading2"/>
      </w:pPr>
      <w:r>
        <w:t xml:space="preserve">Valuation &amp; Sentiment</w:t>
      </w:r>
    </w:p>
    <w:p>
      <w:pPr>
        <w:pStyle w:val="FirstParagraph"/>
      </w:pPr>
      <w:r>
        <w:t xml:space="preserve">Sell-side sentiment has been constructive after the Q2 beat: Wells Fargo &amp; Company boosted their target price on Air Products and Chemicals from $325.00 to $340.00 and gave the company an "overweight" rating, and other desks (Morgan Stanley, Bernstein) also lifted targets into the</w:t>
      </w:r>
      <w:r>
        <w:t xml:space="preserve"> </w:t>
      </w:r>
      <m:oMath>
        <m:r>
          <m:t>340</m:t>
        </m:r>
        <m:r>
          <m:t>s</m:t>
        </m:r>
        <m:r>
          <m:t>p</m:t>
        </m:r>
        <m:r>
          <m:t>o</m:t>
        </m:r>
        <m:r>
          <m:t>s</m:t>
        </m:r>
        <m:r>
          <m:t>t</m:t>
        </m:r>
        <m:r>
          <m:rPr>
            <m:sty m:val="p"/>
          </m:rPr>
          <m:t>−</m:t>
        </m:r>
        <m:r>
          <m:t>Q</m:t>
        </m:r>
        <m:r>
          <m:t>2</m:t>
        </m:r>
        <m:r>
          <m:rPr>
            <m:sty m:val="p"/>
          </m:rPr>
          <m:t>,</m:t>
        </m:r>
        <m:r>
          <m:t>t</m:t>
        </m:r>
        <m:r>
          <m:t>h</m:t>
        </m:r>
        <m:r>
          <m:t>o</m:t>
        </m:r>
        <m:r>
          <m:t>u</m:t>
        </m:r>
        <m:r>
          <m:t>g</m:t>
        </m:r>
        <m:r>
          <m:t>h</m:t>
        </m:r>
        <m:r>
          <m:t>b</m:t>
        </m:r>
        <m:r>
          <m:t>r</m:t>
        </m:r>
        <m:r>
          <m:t>o</m:t>
        </m:r>
        <m:r>
          <m:t>a</m:t>
        </m:r>
        <m:r>
          <m:t>d</m:t>
        </m:r>
        <m:r>
          <m:t>e</m:t>
        </m:r>
        <m:r>
          <m:t>r</m:t>
        </m:r>
        <m:r>
          <m:t>c</m:t>
        </m:r>
        <m:r>
          <m:t>o</m:t>
        </m:r>
        <m:r>
          <m:t>n</m:t>
        </m:r>
        <m:r>
          <m:t>s</m:t>
        </m:r>
        <m:r>
          <m:t>e</m:t>
        </m:r>
        <m:r>
          <m:t>n</m:t>
        </m:r>
        <m:r>
          <m:t>s</m:t>
        </m:r>
        <m:r>
          <m:t>u</m:t>
        </m:r>
        <m:r>
          <m:t>s</m:t>
        </m:r>
        <m:r>
          <m:rPr>
            <m:sty m:val="p"/>
          </m:rPr>
          <m:t>(</m:t>
        </m:r>
        <m:r>
          <m:t>I</m:t>
        </m:r>
        <m:r>
          <m:t>n</m:t>
        </m:r>
        <m:r>
          <m:t>v</m:t>
        </m:r>
        <m:r>
          <m:t>e</m:t>
        </m:r>
        <m:r>
          <m:t>s</m:t>
        </m:r>
        <m:r>
          <m:t>t</m:t>
        </m:r>
        <m:r>
          <m:t>i</m:t>
        </m:r>
        <m:r>
          <m:t>n</m:t>
        </m:r>
        <m:r>
          <m:t>g</m:t>
        </m:r>
        <m:r>
          <m:rPr>
            <m:sty m:val="p"/>
          </m:rPr>
          <m:t>.</m:t>
        </m:r>
        <m:r>
          <m:t>c</m:t>
        </m:r>
        <m:r>
          <m:t>o</m:t>
        </m:r>
        <m:sSup>
          <m:e>
            <m:r>
              <m:t>m</m:t>
            </m:r>
          </m:e>
          <m:sup>
            <m:r>
              <m:rPr>
                <m:sty m:val="p"/>
              </m:rPr>
              <m:t>′</m:t>
            </m:r>
          </m:sup>
        </m:sSup>
        <m:r>
          <m:t>s</m:t>
        </m:r>
        <m:r>
          <m:t> </m:t>
        </m:r>
        <m:r>
          <m:t>22</m:t>
        </m:r>
        <m:r>
          <m:rPr>
            <m:sty m:val="p"/>
          </m:rPr>
          <m:t>−</m:t>
        </m:r>
        <m:r>
          <m:t>a</m:t>
        </m:r>
        <m:r>
          <m:t>n</m:t>
        </m:r>
        <m:r>
          <m:t>a</m:t>
        </m:r>
        <m:r>
          <m:t>l</m:t>
        </m:r>
        <m:r>
          <m:t>y</m:t>
        </m:r>
        <m:r>
          <m:t>s</m:t>
        </m:r>
        <m:r>
          <m:t>t</m:t>
        </m:r>
        <m:r>
          <m:t>s</m:t>
        </m:r>
        <m:r>
          <m:t>u</m:t>
        </m:r>
        <m:r>
          <m:t>r</m:t>
        </m:r>
        <m:r>
          <m:t>v</m:t>
        </m:r>
        <m:r>
          <m:t>e</m:t>
        </m:r>
        <m:r>
          <m:t>y</m:t>
        </m:r>
        <m:r>
          <m:rPr>
            <m:sty m:val="p"/>
          </m:rPr>
          <m:t>)</m:t>
        </m:r>
        <m:r>
          <m:t>p</m:t>
        </m:r>
        <m:r>
          <m:t>e</m:t>
        </m:r>
        <m:r>
          <m:t>g</m:t>
        </m:r>
        <m:r>
          <m:t>s</m:t>
        </m:r>
        <m:r>
          <m:t>a</m:t>
        </m:r>
        <m:r>
          <m:t>v</m:t>
        </m:r>
        <m:r>
          <m:t>e</m:t>
        </m:r>
        <m:r>
          <m:t>r</m:t>
        </m:r>
        <m:r>
          <m:t>a</m:t>
        </m:r>
        <m:r>
          <m:t>g</m:t>
        </m:r>
        <m:r>
          <m:t>e</m:t>
        </m:r>
        <m:r>
          <m:t>t</m:t>
        </m:r>
        <m:r>
          <m:t>a</m:t>
        </m:r>
        <m:r>
          <m:t>r</m:t>
        </m:r>
        <m:r>
          <m:t>g</m:t>
        </m:r>
        <m:r>
          <m:t>e</m:t>
        </m:r>
        <m:r>
          <m:t>t</m:t>
        </m:r>
        <m:r>
          <m:t>s</m:t>
        </m:r>
        <m:r>
          <m:t>c</m:t>
        </m:r>
        <m:r>
          <m:t>l</m:t>
        </m:r>
        <m:r>
          <m:t>o</m:t>
        </m:r>
        <m:r>
          <m:t>s</m:t>
        </m:r>
        <m:r>
          <m:t>e</m:t>
        </m:r>
        <m:r>
          <m:t>r</m:t>
        </m:r>
        <m:r>
          <m:t>t</m:t>
        </m:r>
        <m:r>
          <m:t>o</m:t>
        </m:r>
        <m:r>
          <m:rPr>
            <m:sty m:val="p"/>
          </m:rPr>
          <m:t>*</m:t>
        </m:r>
        <m:r>
          <m:rPr>
            <m:sty m:val="p"/>
          </m:rPr>
          <m:t>*</m:t>
        </m:r>
      </m:oMath>
      <w:r>
        <w:t xml:space="preserve">302**, implying the stock is trading near-to-slightly-below average fair value after its pullback from July highs.</w:t>
      </w:r>
    </w:p>
    <w:bookmarkEnd w:id="15"/>
    <w:bookmarkStart w:id="16" w:name="key-questions-for-tomorrows-call"/>
    <w:p>
      <w:pPr>
        <w:pStyle w:val="Heading2"/>
      </w:pPr>
      <w:r>
        <w:t xml:space="preserve">Key Questions for Tomorrow's Call</w:t>
      </w:r>
    </w:p>
    <w:p>
      <w:pPr>
        <w:pStyle w:val="Compact"/>
        <w:numPr>
          <w:ilvl w:val="0"/>
          <w:numId w:val="1003"/>
        </w:numPr>
      </w:pPr>
      <w:r>
        <w:rPr>
          <w:b/>
          <w:bCs/>
        </w:rPr>
        <w:t xml:space="preserve">Guidance:</w:t>
      </w:r>
      <w:r>
        <w:t xml:space="preserve"> </w:t>
      </w:r>
      <w:r>
        <w:t xml:space="preserve">Does the</w:t>
      </w:r>
      <w:r>
        <w:t xml:space="preserve"> </w:t>
      </w:r>
      <m:oMath>
        <m:r>
          <m:t>13.00</m:t>
        </m:r>
        <m:r>
          <m:rPr>
            <m:sty m:val="p"/>
          </m:rPr>
          <m:t>–</m:t>
        </m:r>
      </m:oMath>
      <w:r>
        <w:t xml:space="preserve">13.25 FY26 adjusted EPS range hold, get reaffirmed, or move given the extended helium disruption and confirmed LCEC exit?</w:t>
      </w:r>
    </w:p>
    <w:p>
      <w:pPr>
        <w:pStyle w:val="Compact"/>
        <w:numPr>
          <w:ilvl w:val="0"/>
          <w:numId w:val="1003"/>
        </w:numPr>
      </w:pPr>
      <w:r>
        <w:rPr>
          <w:b/>
          <w:bCs/>
        </w:rPr>
        <w:t xml:space="preserve">Helium:</w:t>
      </w:r>
      <w:r>
        <w:t xml:space="preserve"> </w:t>
      </w:r>
      <w:r>
        <w:t xml:space="preserve">How much worse has the Qatar/Hormuz situation gotten since April, and is management now willing to quantify a longer bottoming timeline beyond "end of calendar 2026"?</w:t>
      </w:r>
    </w:p>
    <w:p>
      <w:pPr>
        <w:pStyle w:val="Compact"/>
        <w:numPr>
          <w:ilvl w:val="0"/>
          <w:numId w:val="1003"/>
        </w:numPr>
      </w:pPr>
      <w:r>
        <w:rPr>
          <w:b/>
          <w:bCs/>
        </w:rPr>
        <w:t xml:space="preserve">Capital redeployment:</w:t>
      </w:r>
      <w:r>
        <w:t xml:space="preserve"> </w:t>
      </w:r>
      <w:r>
        <w:t xml:space="preserve">With Darrow dead, where does that capital go — more electronics (Samsung-scale) projects, buybacks, faster deleveraging, or dividend growth?</w:t>
      </w:r>
    </w:p>
    <w:p>
      <w:pPr>
        <w:pStyle w:val="Compact"/>
        <w:numPr>
          <w:ilvl w:val="0"/>
          <w:numId w:val="1003"/>
        </w:numPr>
      </w:pPr>
      <w:r>
        <w:rPr>
          <w:b/>
          <w:bCs/>
        </w:rPr>
        <w:t xml:space="preserve">NEOM/Yara:</w:t>
      </w:r>
      <w:r>
        <w:t xml:space="preserve"> </w:t>
      </w:r>
      <w:r>
        <w:t xml:space="preserve">Has the marketing and distribution agreement been signed, and what does it imply for NEOM's 2027 ramp and returns given elevated ammonia prices?</w:t>
      </w:r>
    </w:p>
    <w:p>
      <w:pPr>
        <w:pStyle w:val="Compact"/>
        <w:numPr>
          <w:ilvl w:val="0"/>
          <w:numId w:val="1003"/>
        </w:numPr>
      </w:pPr>
      <w:r>
        <w:rPr>
          <w:b/>
          <w:bCs/>
        </w:rPr>
        <w:t xml:space="preserve">Margin trajectory:</w:t>
      </w:r>
      <w:r>
        <w:t xml:space="preserve"> </w:t>
      </w:r>
      <w:r>
        <w:t xml:space="preserve">Did Americas margins recover from the Q2 dip (energy pass-through/maintenance) as promised, and is the flagged Q4 growth deceleration still the right framework?</w:t>
      </w:r>
    </w:p>
    <w:p>
      <w:pPr>
        <w:pStyle w:val="Compact"/>
        <w:numPr>
          <w:ilvl w:val="0"/>
          <w:numId w:val="1003"/>
        </w:numPr>
      </w:pPr>
      <w:r>
        <w:rPr>
          <w:b/>
          <w:bCs/>
        </w:rPr>
        <w:t xml:space="preserve">One-time charge mechanics:</w:t>
      </w:r>
      <w:r>
        <w:t xml:space="preserve"> </w:t>
      </w:r>
      <w:r>
        <w:t xml:space="preserve">Final size/cash cost of the LCEC/Casa Grande charge versus the "up to $2.9B" pre-tax ceiling disclosed in June.</w:t>
      </w:r>
    </w:p>
    <w:p>
      <w:r>
        <w:pict>
          <v:rect style="width:0;height:1.5pt" o:hralign="center" o:hrstd="t" o:hr="t"/>
        </w:pict>
      </w:r>
    </w:p>
    <w:p>
      <w:pPr>
        <w:pStyle w:val="FirstParagraph"/>
      </w:pPr>
      <w:r>
        <w:rPr>
          <w:b/>
          <w:bCs/>
        </w:rPr>
        <w:t xml:space="preserve">Bottom line:</w:t>
      </w:r>
      <w:r>
        <w:t xml:space="preserve"> </w:t>
      </w:r>
      <w:r>
        <w:t xml:space="preserve">This is a print with an unusually large amount of "known" news already priced in (the LCEC write-off, Yara/NEOM progress, Samsung backlog win) layered on top of a still-unresolved helium supply shock. The debate for investors is less about the base industrial-gas business — which has been executing well on pricing, productivity, and new-asset ramp — and more about (a) how much worse the Middle East/helium disruption gets before it troughs, and (b) whether killing Darrow marks a genuine pivot toward higher-return, faster-payback growth (electronics, aerospace) that the market will reward with margin/multiple support.</w:t>
      </w:r>
    </w:p>
    <w:bookmarkEnd w:id="1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2026-07-29T17:59:58Z</dcterms:created>
  <dcterms:modified xsi:type="dcterms:W3CDTF">2026-07-29T17:59:58Z</dcterms:modified>
</cp:coreProperties>
</file>

<file path=docProps/custom.xml><?xml version="1.0" encoding="utf-8"?>
<Properties xmlns="http://schemas.openxmlformats.org/officeDocument/2006/custom-properties" xmlns:vt="http://schemas.openxmlformats.org/officeDocument/2006/docPropsVTypes"/>
</file>