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pd-earnings-predictions--2026-07-30"/>
    <w:p>
      <w:pPr>
        <w:pStyle w:val="Heading1"/>
      </w:pPr>
      <w:r>
        <w:t xml:space="preserve">APD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~$3.39 vs. cons $3.34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~$3.24B vs. cons $3.19B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~24.4% vs. cons 24.2%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13.00</m:t>
              </m:r>
              <m:r>
                <m:rPr>
                  <m:sty m:val="p"/>
                </m:rPr>
                <m:t>−</m:t>
              </m:r>
            </m:oMath>
            <w:r>
              <w:t xml:space="preserve">13.25 vs. cons $13.22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Implied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~$3.37 vs. cons $3.50 (FY2026 Q4)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Capital-spending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~$3.8B vs. cons $4.0B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APD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+0.8% (FADE)</w:t>
            </w:r>
          </w:p>
        </w:tc>
        <w:tc>
          <w:tcPr/>
          <w:p>
            <w:pPr>
              <w:pStyle w:val="Compact"/>
            </w:pPr>
            <w:r>
              <w:t xml:space="preserve">Initial relief from a Q3 adjusted EPS beat and lower capital spending fades because unchanged FY2026 guidance implies Q4 adjusted EPS of only ~$3.37 vs. consensus $3.50, pulling out-period estimates lower while NEOM commercialization and project-exit cash costs remain uncertain.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2026-07-29T17:54:03Z</dcterms:created>
  <dcterms:modified xsi:type="dcterms:W3CDTF">2026-07-29T17:54:03Z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