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apd-fiscal-2026-q3-earnings-preview"/>
    <w:p>
      <w:pPr>
        <w:pStyle w:val="Heading1"/>
      </w:pPr>
      <w:r>
        <w:t xml:space="preserve">APD Fiscal 2026 Q3 Earnings Preview</w:t>
      </w:r>
    </w:p>
    <w:p>
      <w:pPr>
        <w:pStyle w:val="FirstParagraph"/>
      </w:pPr>
      <w:r>
        <w:rPr>
          <w:b/>
          <w:bCs/>
        </w:rPr>
        <w:t xml:space="preserve">Report date:</w:t>
      </w:r>
      <w:r>
        <w:t xml:space="preserve"> </w:t>
      </w:r>
      <w:r>
        <w:t xml:space="preserve">Thursday, July 30, 2026</w:t>
      </w:r>
      <w:r>
        <w:br/>
      </w:r>
      <w:r>
        <w:rPr>
          <w:b/>
          <w:bCs/>
        </w:rPr>
        <w:t xml:space="preserve">Conference call:</w:t>
      </w:r>
      <w:r>
        <w:t xml:space="preserve"> </w:t>
      </w:r>
      <w:r>
        <w:t xml:space="preserve">8:00 a.m. ET</w:t>
      </w:r>
      <w:r>
        <w:br/>
      </w:r>
      <w:r>
        <w:rPr>
          <w:b/>
          <w:bCs/>
        </w:rPr>
        <w:t xml:space="preserve">APD closing price, July 29:</w:t>
      </w:r>
      <w:r>
        <w:t xml:space="preserve"> </w:t>
      </w:r>
      <w:r>
        <w:t xml:space="preserve">$294.40</w:t>
      </w:r>
    </w:p>
    <w:bookmarkStart w:id="9" w:name="investment-setup"/>
    <w:p>
      <w:pPr>
        <w:pStyle w:val="Heading2"/>
      </w:pPr>
      <w:r>
        <w:t xml:space="preserve">Investment setup</w:t>
      </w:r>
    </w:p>
    <w:p>
      <w:pPr>
        <w:pStyle w:val="FirstParagraph"/>
      </w:pPr>
      <w:r>
        <w:t xml:space="preserve">Air Products enters fiscal Q3 with its core industrial-gases operations performing well, but the earnings discussion will be dominated by</w:t>
      </w:r>
      <w:r>
        <w:t xml:space="preserve"> </w:t>
      </w:r>
      <w:r>
        <w:rPr>
          <w:b/>
          <w:bCs/>
        </w:rPr>
        <w:t xml:space="preserve">portfolio cleanup, capital discipline and the remaining clean-energy projects</w:t>
      </w:r>
      <w:r>
        <w:t xml:space="preserve">.</w:t>
      </w:r>
    </w:p>
    <w:p>
      <w:pPr>
        <w:pStyle w:val="BodyText"/>
      </w:pPr>
      <w:r>
        <w:t xml:space="preserve">The company already disclosed that Q3 will include up to</w:t>
      </w:r>
      <w:r>
        <w:t xml:space="preserve"> </w:t>
      </w:r>
      <w:r>
        <w:rPr>
          <w:b/>
          <w:bCs/>
        </w:rPr>
        <w:t xml:space="preserve">$2.9 billion of pretax charges</w:t>
      </w:r>
      <w:r>
        <w:t xml:space="preserve">, primarily from abandoning the Louisiana Clean Energy Complex, or LCEC. Investors therefore should look past headline GAAP earnings and focus on:</w:t>
      </w:r>
    </w:p>
    <w:p>
      <w:pPr>
        <w:pStyle w:val="Compact"/>
        <w:numPr>
          <w:ilvl w:val="0"/>
          <w:numId w:val="1001"/>
        </w:numPr>
      </w:pPr>
      <w:r>
        <w:t xml:space="preserve">Whether adjusted EPS reaches the company’s</w:t>
      </w:r>
      <w:r>
        <w:t xml:space="preserve"> </w:t>
      </w:r>
      <m:oMath>
        <m:r>
          <m:t>3.25</m:t>
        </m:r>
        <m:r>
          <m:rPr>
            <m:sty m:val="p"/>
          </m:rPr>
          <m:t>–</m:t>
        </m:r>
      </m:oMath>
      <w:r>
        <w:rPr>
          <w:b/>
          <w:bCs/>
        </w:rPr>
        <w:t xml:space="preserve">3.35</w:t>
      </w:r>
      <w:r>
        <w:t xml:space="preserve"> </w:t>
      </w:r>
      <w:r>
        <w:t xml:space="preserve">target.</w:t>
      </w:r>
    </w:p>
    <w:p>
      <w:pPr>
        <w:pStyle w:val="Compact"/>
        <w:numPr>
          <w:ilvl w:val="0"/>
          <w:numId w:val="1001"/>
        </w:numPr>
      </w:pPr>
      <w:r>
        <w:t xml:space="preserve">Whether management maintains or raises full-year adjusted EPS guidance of</w:t>
      </w:r>
      <w:r>
        <w:t xml:space="preserve"> </w:t>
      </w:r>
      <m:oMath>
        <m:r>
          <m:t>13.00</m:t>
        </m:r>
        <m:r>
          <m:rPr>
            <m:sty m:val="p"/>
          </m:rPr>
          <m:t>–</m:t>
        </m:r>
      </m:oMath>
      <w:r>
        <w:rPr>
          <w:b/>
          <w:bCs/>
        </w:rPr>
        <w:t xml:space="preserve">13.25</w:t>
      </w:r>
      <w:r>
        <w:t xml:space="preserve">.</w:t>
      </w:r>
    </w:p>
    <w:p>
      <w:pPr>
        <w:pStyle w:val="Compact"/>
        <w:numPr>
          <w:ilvl w:val="0"/>
          <w:numId w:val="1001"/>
        </w:numPr>
      </w:pPr>
      <w:r>
        <w:t xml:space="preserve">How much cash will be required to exit LCEC and the other discontinued projects.</w:t>
      </w:r>
    </w:p>
    <w:p>
      <w:pPr>
        <w:pStyle w:val="Compact"/>
        <w:numPr>
          <w:ilvl w:val="0"/>
          <w:numId w:val="1001"/>
        </w:numPr>
      </w:pPr>
      <w:r>
        <w:t xml:space="preserve">Whether the Yara agreement materially reduces the commercial risk around NEOM.</w:t>
      </w:r>
    </w:p>
    <w:p>
      <w:pPr>
        <w:pStyle w:val="Compact"/>
        <w:numPr>
          <w:ilvl w:val="0"/>
          <w:numId w:val="1001"/>
        </w:numPr>
      </w:pPr>
      <w:r>
        <w:t xml:space="preserve">Whether the strong Q2 trends in volumes, productivity and margins carried into Q3.</w:t>
      </w:r>
    </w:p>
    <w:p>
      <w:pPr>
        <w:pStyle w:val="FirstParagraph"/>
      </w:pPr>
      <w:r>
        <w:t xml:space="preserve">The stock’s reaction to the LCEC decision suggests investors approve of the new management team’s willingness to walk away from low-return projects. APD closed at $271.35 on June 29, rose to $314.19 by July 2, and has since settled at $294.40. The shares now trade at approximately</w:t>
      </w:r>
      <w:r>
        <w:t xml:space="preserve"> </w:t>
      </w:r>
      <w:r>
        <w:rPr>
          <w:b/>
          <w:bCs/>
        </w:rPr>
        <w:t xml:space="preserve">22.4 times the midpoint of fiscal 2026 adjusted EPS guidance</w:t>
      </w:r>
      <w:r>
        <w:t xml:space="preserve">, leaving room for upside if management improves the earnings or cash-flow outlook—but also creating sensitivity to any deterioration in the core business.</w:t>
      </w:r>
    </w:p>
    <w:p>
      <w:r>
        <w:pict>
          <v:rect style="width:0;height:1.5pt" o:hralign="center" o:hrstd="t" o:hr="t"/>
        </w:pict>
      </w:r>
    </w:p>
    <w:bookmarkEnd w:id="9"/>
    <w:bookmarkStart w:id="10" w:name="the-numbers-to-know"/>
    <w:p>
      <w:pPr>
        <w:pStyle w:val="Heading2"/>
      </w:pPr>
      <w:r>
        <w:t xml:space="preserve">The numbers to know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Latest company benchmark</w:t>
            </w:r>
          </w:p>
        </w:tc>
      </w:tr>
      <w:tr>
        <w:tc>
          <w:tcPr/>
          <w:p>
            <w:pPr>
              <w:pStyle w:val="Compact"/>
            </w:pPr>
            <w:r>
              <w:t xml:space="preserve">Q3 adjusted EPS guidance</w:t>
            </w:r>
          </w:p>
        </w:tc>
        <w:tc>
          <w:tcPr/>
          <w:p>
            <w:pPr>
              <w:pStyle w:val="Compact"/>
              <w:jc w:val="right"/>
            </w:pPr>
            <m:oMath>
              <m:r>
                <m:t>3.25</m:t>
              </m:r>
              <m:r>
                <m:rPr>
                  <m:sty m:val="p"/>
                </m:rPr>
                <m:t>–</m:t>
              </m:r>
            </m:oMath>
            <w:r>
              <w:rPr>
                <w:b/>
                <w:bCs/>
              </w:rPr>
              <w:t xml:space="preserve">3.35</w:t>
            </w:r>
          </w:p>
        </w:tc>
      </w:tr>
      <w:tr>
        <w:tc>
          <w:tcPr/>
          <w:p>
            <w:pPr>
              <w:pStyle w:val="Compact"/>
            </w:pPr>
            <w:r>
              <w:t xml:space="preserve">Q3 FY2025 adjusted EPS</w:t>
            </w:r>
          </w:p>
        </w:tc>
        <w:tc>
          <w:tcPr/>
          <w:p>
            <w:pPr>
              <w:pStyle w:val="Compact"/>
              <w:jc w:val="right"/>
            </w:pPr>
            <w:r>
              <w:rPr>
                <w:b/>
                <w:bCs/>
              </w:rPr>
              <w:t xml:space="preserve">$3.09</w:t>
            </w:r>
          </w:p>
        </w:tc>
      </w:tr>
      <w:tr>
        <w:tc>
          <w:tcPr/>
          <w:p>
            <w:pPr>
              <w:pStyle w:val="Compact"/>
            </w:pPr>
            <w:r>
              <w:t xml:space="preserve">Implied Q3 growth at midpoint</w:t>
            </w:r>
          </w:p>
        </w:tc>
        <w:tc>
          <w:tcPr/>
          <w:p>
            <w:pPr>
              <w:pStyle w:val="Compact"/>
              <w:jc w:val="right"/>
            </w:pPr>
            <w:r>
              <w:rPr>
                <w:b/>
                <w:bCs/>
              </w:rPr>
              <w:t xml:space="preserve">~7%</w:t>
            </w:r>
          </w:p>
        </w:tc>
      </w:tr>
      <w:tr>
        <w:tc>
          <w:tcPr/>
          <w:p>
            <w:pPr>
              <w:pStyle w:val="Compact"/>
            </w:pPr>
            <w:r>
              <w:t xml:space="preserve">FY2026 adjusted EPS guidance</w:t>
            </w:r>
          </w:p>
        </w:tc>
        <w:tc>
          <w:tcPr/>
          <w:p>
            <w:pPr>
              <w:pStyle w:val="Compact"/>
              <w:jc w:val="right"/>
            </w:pPr>
            <m:oMath>
              <m:r>
                <m:t>13.00</m:t>
              </m:r>
              <m:r>
                <m:rPr>
                  <m:sty m:val="p"/>
                </m:rPr>
                <m:t>–</m:t>
              </m:r>
            </m:oMath>
            <w:r>
              <w:rPr>
                <w:b/>
                <w:bCs/>
              </w:rPr>
              <w:t xml:space="preserve">13.25</w:t>
            </w:r>
          </w:p>
        </w:tc>
      </w:tr>
      <w:tr>
        <w:tc>
          <w:tcPr/>
          <w:p>
            <w:pPr>
              <w:pStyle w:val="Compact"/>
            </w:pPr>
            <w:r>
              <w:t xml:space="preserve">First-half FY2026 adjusted EPS</w:t>
            </w:r>
          </w:p>
        </w:tc>
        <w:tc>
          <w:tcPr/>
          <w:p>
            <w:pPr>
              <w:pStyle w:val="Compact"/>
              <w:jc w:val="right"/>
            </w:pPr>
            <w:r>
              <w:rPr>
                <w:b/>
                <w:bCs/>
              </w:rPr>
              <w:t xml:space="preserve">$6.37</w:t>
            </w:r>
          </w:p>
        </w:tc>
      </w:tr>
      <w:tr>
        <w:tc>
          <w:tcPr/>
          <w:p>
            <w:pPr>
              <w:pStyle w:val="Compact"/>
            </w:pPr>
            <w:r>
              <w:t xml:space="preserve">FY2026 capital-spending guidance</w:t>
            </w:r>
          </w:p>
        </w:tc>
        <w:tc>
          <w:tcPr/>
          <w:p>
            <w:pPr>
              <w:pStyle w:val="Compact"/>
              <w:jc w:val="right"/>
            </w:pPr>
            <w:r>
              <w:rPr>
                <w:b/>
                <w:bCs/>
              </w:rPr>
              <w:t xml:space="preserve">~$4.0 billion</w:t>
            </w:r>
          </w:p>
        </w:tc>
      </w:tr>
      <w:tr>
        <w:tc>
          <w:tcPr/>
          <w:p>
            <w:pPr>
              <w:pStyle w:val="Compact"/>
            </w:pPr>
            <w:r>
              <w:t xml:space="preserve">First-half FY2026 capital spending</w:t>
            </w:r>
          </w:p>
        </w:tc>
        <w:tc>
          <w:tcPr/>
          <w:p>
            <w:pPr>
              <w:pStyle w:val="Compact"/>
              <w:jc w:val="right"/>
            </w:pPr>
            <w:r>
              <w:rPr>
                <w:b/>
                <w:bCs/>
              </w:rPr>
              <w:t xml:space="preserve">$1.79 billion</w:t>
            </w:r>
          </w:p>
        </w:tc>
      </w:tr>
      <w:tr>
        <w:tc>
          <w:tcPr/>
          <w:p>
            <w:pPr>
              <w:pStyle w:val="Compact"/>
            </w:pPr>
            <w:r>
              <w:t xml:space="preserve">Q2 adjusted operating margin</w:t>
            </w:r>
          </w:p>
        </w:tc>
        <w:tc>
          <w:tcPr/>
          <w:p>
            <w:pPr>
              <w:pStyle w:val="Compact"/>
              <w:jc w:val="right"/>
            </w:pPr>
            <w:r>
              <w:rPr>
                <w:b/>
                <w:bCs/>
              </w:rPr>
              <w:t xml:space="preserve">23.7%</w:t>
            </w:r>
          </w:p>
        </w:tc>
      </w:tr>
      <w:tr>
        <w:tc>
          <w:tcPr/>
          <w:p>
            <w:pPr>
              <w:pStyle w:val="Compact"/>
            </w:pPr>
            <w:r>
              <w:t xml:space="preserve">March 31 total debt</w:t>
            </w:r>
          </w:p>
        </w:tc>
        <w:tc>
          <w:tcPr/>
          <w:p>
            <w:pPr>
              <w:pStyle w:val="Compact"/>
              <w:jc w:val="right"/>
            </w:pPr>
            <w:r>
              <w:rPr>
                <w:b/>
                <w:bCs/>
              </w:rPr>
              <w:t xml:space="preserve">$17.8 billion</w:t>
            </w:r>
          </w:p>
        </w:tc>
      </w:tr>
      <w:tr>
        <w:tc>
          <w:tcPr/>
          <w:p>
            <w:pPr>
              <w:pStyle w:val="Compact"/>
            </w:pPr>
            <w:r>
              <w:t xml:space="preserve">March 31 cash</w:t>
            </w:r>
          </w:p>
        </w:tc>
        <w:tc>
          <w:tcPr/>
          <w:p>
            <w:pPr>
              <w:pStyle w:val="Compact"/>
              <w:jc w:val="right"/>
            </w:pPr>
            <w:r>
              <w:rPr>
                <w:b/>
                <w:bCs/>
              </w:rPr>
              <w:t xml:space="preserve">$951 million</w:t>
            </w:r>
          </w:p>
        </w:tc>
      </w:tr>
      <w:tr>
        <w:tc>
          <w:tcPr/>
          <w:p>
            <w:pPr>
              <w:pStyle w:val="Compact"/>
            </w:pPr>
            <w:r>
              <w:t xml:space="preserve">Q2 net debt/adjusted EBITDA</w:t>
            </w:r>
          </w:p>
        </w:tc>
        <w:tc>
          <w:tcPr/>
          <w:p>
            <w:pPr>
              <w:pStyle w:val="Compact"/>
              <w:jc w:val="right"/>
            </w:pPr>
            <w:r>
              <w:rPr>
                <w:b/>
                <w:bCs/>
              </w:rPr>
              <w:t xml:space="preserve">2.2x</w:t>
            </w:r>
          </w:p>
        </w:tc>
      </w:tr>
    </w:tbl>
    <w:p>
      <w:pPr>
        <w:pStyle w:val="BodyText"/>
      </w:pPr>
      <w:r>
        <w:t xml:space="preserve">The available materials do not provide a verified current sell-side consensus, so the company’s own</w:t>
      </w:r>
      <w:r>
        <w:t xml:space="preserve"> </w:t>
      </w:r>
      <m:oMath>
        <m:r>
          <m:t>3.25</m:t>
        </m:r>
        <m:r>
          <m:rPr>
            <m:sty m:val="p"/>
          </m:rPr>
          <m:t>–</m:t>
        </m:r>
      </m:oMath>
      <w:r>
        <w:rPr>
          <w:b/>
          <w:bCs/>
        </w:rPr>
        <w:t xml:space="preserve">3.35 adjusted EPS range</w:t>
      </w:r>
      <w:r>
        <w:t xml:space="preserve"> </w:t>
      </w:r>
      <w:r>
        <w:t xml:space="preserve">is the cleanest hurdle.</w:t>
      </w:r>
    </w:p>
    <w:p>
      <w:r>
        <w:pict>
          <v:rect style="width:0;height:1.5pt" o:hralign="center" o:hrstd="t" o:hr="t"/>
        </w:pict>
      </w:r>
    </w:p>
    <w:bookmarkEnd w:id="10"/>
    <w:bookmarkStart w:id="11" w:name="X737be760bbb41d0263eb766aa668c6ac2d88dac"/>
    <w:p>
      <w:pPr>
        <w:pStyle w:val="Heading2"/>
      </w:pPr>
      <w:r>
        <w:t xml:space="preserve">The GAAP charge is known; the cash consequences are not</w:t>
      </w:r>
    </w:p>
    <w:p>
      <w:pPr>
        <w:pStyle w:val="FirstParagraph"/>
      </w:pPr>
      <w:r>
        <w:t xml:space="preserve">On June 30, Air Products said it would not proceed with LCEC because the expected returns failed to meet its required thresholds. It also decided to discontinue a zero-carbon liquid-hydrogen facility in Arizona and several smaller clean-energy distribution projects.</w:t>
      </w:r>
    </w:p>
    <w:p>
      <w:pPr>
        <w:pStyle w:val="BodyText"/>
      </w:pPr>
      <w:r>
        <w:t xml:space="preserve">The company expects Q3 pretax charges of no more than</w:t>
      </w:r>
      <w:r>
        <w:t xml:space="preserve"> </w:t>
      </w:r>
      <m:oMath>
        <m:r>
          <m:t>2.9</m:t>
        </m:r>
        <m:r>
          <m:t>b</m:t>
        </m:r>
        <m:r>
          <m:t>i</m:t>
        </m:r>
        <m:r>
          <m:t>l</m:t>
        </m:r>
        <m:r>
          <m:t>l</m:t>
        </m:r>
        <m:r>
          <m:t>i</m:t>
        </m:r>
        <m:r>
          <m:t>o</m:t>
        </m:r>
        <m:r>
          <m:t>n</m:t>
        </m:r>
        <m:r>
          <m:rPr>
            <m:sty m:val="p"/>
          </m:rPr>
          <m:t>*</m:t>
        </m:r>
        <m:r>
          <m:rPr>
            <m:sty m:val="p"/>
          </m:rPr>
          <m:t>*</m:t>
        </m:r>
        <m:r>
          <m:rPr>
            <m:sty m:val="p"/>
          </m:rPr>
          <m:t>,</m:t>
        </m:r>
        <m:r>
          <m:t>o</m:t>
        </m:r>
        <m:r>
          <m:t>r</m:t>
        </m:r>
        <m:r>
          <m:t>a</m:t>
        </m:r>
        <m:r>
          <m:t>p</m:t>
        </m:r>
        <m:r>
          <m:t>p</m:t>
        </m:r>
        <m:r>
          <m:t>r</m:t>
        </m:r>
        <m:r>
          <m:t>o</m:t>
        </m:r>
        <m:r>
          <m:t>x</m:t>
        </m:r>
        <m:r>
          <m:t>i</m:t>
        </m:r>
        <m:r>
          <m:t>m</m:t>
        </m:r>
        <m:r>
          <m:t>a</m:t>
        </m:r>
        <m:r>
          <m:t>t</m:t>
        </m:r>
        <m:r>
          <m:t>e</m:t>
        </m:r>
        <m:r>
          <m:t>l</m:t>
        </m:r>
        <m:r>
          <m:t>y</m:t>
        </m:r>
        <m:r>
          <m:rPr>
            <m:sty m:val="p"/>
          </m:rPr>
          <m:t>*</m:t>
        </m:r>
        <m:r>
          <m:rPr>
            <m:sty m:val="p"/>
          </m:rPr>
          <m:t>*</m:t>
        </m:r>
      </m:oMath>
      <w:r>
        <w:rPr>
          <w:b/>
          <w:bCs/>
        </w:rPr>
        <w:t xml:space="preserve">2.2 billion after tax</w:t>
      </w:r>
      <w:r>
        <w:t xml:space="preserve">. On a simple share-count basis, that represents nearly $10 per share, meaning reported GAAP EPS will likely be deeply negative even if adjusted operating results are solid.</w:t>
      </w:r>
    </w:p>
    <w:p>
      <w:pPr>
        <w:pStyle w:val="BodyText"/>
      </w:pPr>
      <w:r>
        <w:t xml:space="preserve">The more important questions are:</w:t>
      </w:r>
    </w:p>
    <w:p>
      <w:pPr>
        <w:pStyle w:val="Compact"/>
        <w:numPr>
          <w:ilvl w:val="0"/>
          <w:numId w:val="1002"/>
        </w:numPr>
      </w:pPr>
      <w:r>
        <w:t xml:space="preserve">How much of the charge is a noncash asset write-down?</w:t>
      </w:r>
    </w:p>
    <w:p>
      <w:pPr>
        <w:pStyle w:val="Compact"/>
        <w:numPr>
          <w:ilvl w:val="0"/>
          <w:numId w:val="1002"/>
        </w:numPr>
      </w:pPr>
      <w:r>
        <w:t xml:space="preserve">How much represents cash contract-termination and cancellation costs?</w:t>
      </w:r>
    </w:p>
    <w:p>
      <w:pPr>
        <w:pStyle w:val="Compact"/>
        <w:numPr>
          <w:ilvl w:val="0"/>
          <w:numId w:val="1002"/>
        </w:numPr>
      </w:pPr>
      <w:r>
        <w:t xml:space="preserve">When will those cash payments occur?</w:t>
      </w:r>
    </w:p>
    <w:p>
      <w:pPr>
        <w:pStyle w:val="Compact"/>
        <w:numPr>
          <w:ilvl w:val="0"/>
          <w:numId w:val="1002"/>
        </w:numPr>
      </w:pPr>
      <w:r>
        <w:t xml:space="preserve">Could costs exceed the current estimate in subsequent quarters?</w:t>
      </w:r>
    </w:p>
    <w:p>
      <w:pPr>
        <w:pStyle w:val="Compact"/>
        <w:numPr>
          <w:ilvl w:val="0"/>
          <w:numId w:val="1002"/>
        </w:numPr>
      </w:pPr>
      <w:r>
        <w:t xml:space="preserve">How much future capital spending does the exit eliminate?</w:t>
      </w:r>
    </w:p>
    <w:p>
      <w:pPr>
        <w:pStyle w:val="Compact"/>
        <w:numPr>
          <w:ilvl w:val="0"/>
          <w:numId w:val="1002"/>
        </w:numPr>
      </w:pPr>
      <w:r>
        <w:t xml:space="preserve">How much equipment can be redeployed to traditional industrial-gas or electronics projects?</w:t>
      </w:r>
    </w:p>
    <w:p>
      <w:pPr>
        <w:pStyle w:val="FirstParagraph"/>
      </w:pPr>
      <w:r>
        <w:t xml:space="preserve">Air Products had already made sizable project-exit payments before this latest action. First-half working capital included cash outflows for previously accrued contract terminations and severance. Investors should therefore distinguish between an accounting cleanup and the ultimate cash cost of exiting the projects.</w:t>
      </w:r>
    </w:p>
    <w:p>
      <w:pPr>
        <w:pStyle w:val="BodyText"/>
      </w:pPr>
      <w:r>
        <w:t xml:space="preserve">A clean, well-bounded cash estimate would be constructive. Open-ended cancellation exposure would weaken the otherwise positive capital-discipline message.</w:t>
      </w:r>
    </w:p>
    <w:p>
      <w:r>
        <w:pict>
          <v:rect style="width:0;height:1.5pt" o:hralign="center" o:hrstd="t" o:hr="t"/>
        </w:pict>
      </w:r>
    </w:p>
    <w:bookmarkEnd w:id="11"/>
    <w:bookmarkStart w:id="13" w:name="X0a1d8fc167ec5dd4ac89c8ead9686c3f3719540"/>
    <w:p>
      <w:pPr>
        <w:pStyle w:val="Heading2"/>
      </w:pPr>
      <w:r>
        <w:t xml:space="preserve">Adjusted EPS and guidance: a beat may not be enough</w:t>
      </w:r>
    </w:p>
    <w:p>
      <w:pPr>
        <w:pStyle w:val="FirstParagraph"/>
      </w:pPr>
      <w:r>
        <w:t xml:space="preserve">Air Products delivered adjusted EPS of $3.20 in Q2, above its</w:t>
      </w:r>
      <w:r>
        <w:t xml:space="preserve"> </w:t>
      </w:r>
      <m:oMath>
        <m:r>
          <m:t>2.95</m:t>
        </m:r>
        <m:r>
          <m:rPr>
            <m:sty m:val="p"/>
          </m:rPr>
          <m:t>–</m:t>
        </m:r>
      </m:oMath>
      <w:r>
        <w:t xml:space="preserve">3.10 guidance, as stronger on-site and aerospace-related helium volumes offset pricing pressure and maintenance costs. First-half adjusted EPS rose 15% to $6.37.</w:t>
      </w:r>
    </w:p>
    <w:p>
      <w:pPr>
        <w:pStyle w:val="BodyText"/>
      </w:pPr>
      <w:r>
        <w:t xml:space="preserve">At the midpoint of existing guidance:</w:t>
      </w:r>
    </w:p>
    <w:p>
      <w:pPr>
        <w:pStyle w:val="Compact"/>
        <w:numPr>
          <w:ilvl w:val="0"/>
          <w:numId w:val="1003"/>
        </w:numPr>
      </w:pPr>
      <w:r>
        <w:t xml:space="preserve">First-half adjusted EPS:</w:t>
      </w:r>
      <w:r>
        <w:t xml:space="preserve"> </w:t>
      </w:r>
      <w:r>
        <w:rPr>
          <w:b/>
          <w:bCs/>
        </w:rPr>
        <w:t xml:space="preserve">$6.37</w:t>
      </w:r>
    </w:p>
    <w:p>
      <w:pPr>
        <w:pStyle w:val="Compact"/>
        <w:numPr>
          <w:ilvl w:val="0"/>
          <w:numId w:val="1003"/>
        </w:numPr>
      </w:pPr>
      <w:r>
        <w:t xml:space="preserve">Q3 target:</w:t>
      </w:r>
      <w:r>
        <w:t xml:space="preserve"> </w:t>
      </w:r>
      <w:r>
        <w:rPr>
          <w:b/>
          <w:bCs/>
        </w:rPr>
        <w:t xml:space="preserve">$3.30</w:t>
      </w:r>
    </w:p>
    <w:p>
      <w:pPr>
        <w:pStyle w:val="Compact"/>
        <w:numPr>
          <w:ilvl w:val="0"/>
          <w:numId w:val="1003"/>
        </w:numPr>
      </w:pPr>
      <w:r>
        <w:t xml:space="preserve">Implied Q4 adjusted EPS: approximately</w:t>
      </w:r>
      <w:r>
        <w:t xml:space="preserve"> </w:t>
      </w:r>
      <w:r>
        <w:rPr>
          <w:b/>
          <w:bCs/>
        </w:rPr>
        <w:t xml:space="preserve">$3.46</w:t>
      </w:r>
    </w:p>
    <w:p>
      <w:pPr>
        <w:pStyle w:val="FirstParagraph"/>
      </w:pPr>
      <w:r>
        <w:t xml:space="preserve">That implied Q4 figure is only modestly above the $3.39 reported in Q4 FY2025. Management deliberately left some conservatism in the second-half outlook because of macroeconomic, Middle East and customer-supply-chain uncertainty.</w:t>
      </w:r>
    </w:p>
    <w:bookmarkStart w:id="12" w:name="what-would-constitute-a-strong-report"/>
    <w:p>
      <w:pPr>
        <w:pStyle w:val="Heading3"/>
      </w:pPr>
      <w:r>
        <w:t xml:space="preserve">What would constitute a strong report?</w:t>
      </w:r>
    </w:p>
    <w:p>
      <w:pPr>
        <w:pStyle w:val="FirstParagraph"/>
      </w:pPr>
      <w:r>
        <w:t xml:space="preserve">A constructive outcome would include:</w:t>
      </w:r>
    </w:p>
    <w:p>
      <w:pPr>
        <w:pStyle w:val="Compact"/>
        <w:numPr>
          <w:ilvl w:val="0"/>
          <w:numId w:val="1004"/>
        </w:numPr>
      </w:pPr>
      <w:r>
        <w:t xml:space="preserve">Adjusted EPS at or above</w:t>
      </w:r>
      <w:r>
        <w:t xml:space="preserve"> </w:t>
      </w:r>
      <w:r>
        <w:rPr>
          <w:b/>
          <w:bCs/>
        </w:rPr>
        <w:t xml:space="preserve">$3.35</w:t>
      </w:r>
      <w:r>
        <w:t xml:space="preserve">.</w:t>
      </w:r>
    </w:p>
    <w:p>
      <w:pPr>
        <w:pStyle w:val="Compact"/>
        <w:numPr>
          <w:ilvl w:val="0"/>
          <w:numId w:val="1004"/>
        </w:numPr>
      </w:pPr>
      <w:r>
        <w:t xml:space="preserve">Full-year guidance raised above the current</w:t>
      </w:r>
      <w:r>
        <w:t xml:space="preserve"> </w:t>
      </w:r>
      <m:oMath>
        <m:r>
          <m:t>13.00</m:t>
        </m:r>
        <m:r>
          <m:rPr>
            <m:sty m:val="p"/>
          </m:rPr>
          <m:t>–</m:t>
        </m:r>
      </m:oMath>
      <w:r>
        <w:t xml:space="preserve">13.25 range.</w:t>
      </w:r>
    </w:p>
    <w:p>
      <w:pPr>
        <w:pStyle w:val="Compact"/>
        <w:numPr>
          <w:ilvl w:val="0"/>
          <w:numId w:val="1004"/>
        </w:numPr>
      </w:pPr>
      <w:r>
        <w:t xml:space="preserve">No reduction caused by weaker underlying volumes or higher operating costs.</w:t>
      </w:r>
    </w:p>
    <w:p>
      <w:pPr>
        <w:pStyle w:val="Compact"/>
        <w:numPr>
          <w:ilvl w:val="0"/>
          <w:numId w:val="1004"/>
        </w:numPr>
      </w:pPr>
      <w:r>
        <w:t xml:space="preserve">Evidence that productivity and new-asset contributions are more than offsetting helium pricing and maintenance.</w:t>
      </w:r>
    </w:p>
    <w:p>
      <w:pPr>
        <w:pStyle w:val="FirstParagraph"/>
      </w:pPr>
      <w:r>
        <w:t xml:space="preserve">A result within guidance accompanied by unchanged full-year guidance could still be received positively if management provides credible FY2027 earnings and capital-spending implications from the portfolio actions. Conversely, an adjusted EPS beat driven mainly by tax, equity-affiliate income or temporary items would be lower quality.</w:t>
      </w:r>
    </w:p>
    <w:p>
      <w:r>
        <w:pict>
          <v:rect style="width:0;height:1.5pt" o:hralign="center" o:hrstd="t" o:hr="t"/>
        </w:pict>
      </w:r>
    </w:p>
    <w:bookmarkEnd w:id="12"/>
    <w:bookmarkEnd w:id="13"/>
    <w:bookmarkStart w:id="18" w:name="core-business-scorecard"/>
    <w:p>
      <w:pPr>
        <w:pStyle w:val="Heading2"/>
      </w:pPr>
      <w:r>
        <w:t xml:space="preserve">Core business scorecard</w:t>
      </w:r>
    </w:p>
    <w:bookmarkStart w:id="14" w:name="Xdffdd19f6e22dee7f226f17d74f3c517f094cd8"/>
    <w:p>
      <w:pPr>
        <w:pStyle w:val="Heading3"/>
      </w:pPr>
      <w:r>
        <w:t xml:space="preserve">Americas: strong hydrogen volumes, but watch margins</w:t>
      </w:r>
    </w:p>
    <w:p>
      <w:pPr>
        <w:pStyle w:val="FirstParagraph"/>
      </w:pPr>
      <w:r>
        <w:t xml:space="preserve">Q2 Americas sales rose 8%, while operating income increased only 2%. The operating margin fell to 27.0% from 28.4%, reflecting higher energy-cost pass-through, planned maintenance and helium pricing pressure.</w:t>
      </w:r>
    </w:p>
    <w:p>
      <w:pPr>
        <w:pStyle w:val="BodyText"/>
      </w:pPr>
      <w:r>
        <w:t xml:space="preserve">Management described U.S. Gulf Coast refinery utilization and hydrogen demand as very strong. That should continue to support on-site volumes. However, a maintenance turnaround originally expected in Q2 was shifted across Q3 and Q4, which may delay the margin recovery investors are looking for.</w:t>
      </w:r>
    </w:p>
    <w:p>
      <w:pPr>
        <w:pStyle w:val="BodyText"/>
      </w:pPr>
      <w:r>
        <w:rPr>
          <w:b/>
          <w:bCs/>
        </w:rPr>
        <w:t xml:space="preserve">Watch for:</w:t>
      </w:r>
    </w:p>
    <w:p>
      <w:pPr>
        <w:pStyle w:val="Compact"/>
        <w:numPr>
          <w:ilvl w:val="0"/>
          <w:numId w:val="1005"/>
        </w:numPr>
      </w:pPr>
      <w:r>
        <w:t xml:space="preserve">On-site hydrogen volume growth.</w:t>
      </w:r>
    </w:p>
    <w:p>
      <w:pPr>
        <w:pStyle w:val="Compact"/>
        <w:numPr>
          <w:ilvl w:val="0"/>
          <w:numId w:val="1005"/>
        </w:numPr>
      </w:pPr>
      <w:r>
        <w:t xml:space="preserve">Americas margin recovery from 27.0%.</w:t>
      </w:r>
    </w:p>
    <w:p>
      <w:pPr>
        <w:pStyle w:val="Compact"/>
        <w:numPr>
          <w:ilvl w:val="0"/>
          <w:numId w:val="1005"/>
        </w:numPr>
      </w:pPr>
      <w:r>
        <w:t xml:space="preserve">The size and timing of turnaround costs.</w:t>
      </w:r>
    </w:p>
    <w:p>
      <w:pPr>
        <w:pStyle w:val="Compact"/>
        <w:numPr>
          <w:ilvl w:val="0"/>
          <w:numId w:val="1005"/>
        </w:numPr>
      </w:pPr>
      <w:r>
        <w:t xml:space="preserve">Non-helium merchant pricing relative to power and other inflation.</w:t>
      </w:r>
    </w:p>
    <w:bookmarkEnd w:id="14"/>
    <w:bookmarkStart w:id="15" w:name="Xf68307b10804aee5fc70608e82911aceaea9fe6"/>
    <w:p>
      <w:pPr>
        <w:pStyle w:val="Heading3"/>
      </w:pPr>
      <w:r>
        <w:t xml:space="preserve">Asia: best growth profile, but inspect the quality</w:t>
      </w:r>
    </w:p>
    <w:p>
      <w:pPr>
        <w:pStyle w:val="FirstParagraph"/>
      </w:pPr>
      <w:r>
        <w:t xml:space="preserve">Asia was the standout in Q2, with operating income up 25% and margin expanding 410 basis points to 28.8%. Growth reflected new on-site assets, productivity, favorable currency and helium volumes.</w:t>
      </w:r>
    </w:p>
    <w:p>
      <w:pPr>
        <w:pStyle w:val="BodyText"/>
      </w:pPr>
      <w:r>
        <w:t xml:space="preserve">Some benefits were less structural, including lower depreciation on Chinese gasification assets classified as held for sale and collections on previously reserved receivables. Investors should separate those items from the recurring contribution of new electronics assets.</w:t>
      </w:r>
    </w:p>
    <w:p>
      <w:pPr>
        <w:pStyle w:val="BodyText"/>
      </w:pPr>
      <w:r>
        <w:t xml:space="preserve">The longer-term opportunity remains attractive. Air Products is executing roughly $1 billion of Asian electronics projects and previously said it expected to add another</w:t>
      </w:r>
      <w:r>
        <w:t xml:space="preserve"> </w:t>
      </w:r>
      <m:oMath>
        <m:r>
          <m:t>1.5</m:t>
        </m:r>
        <m:r>
          <m:rPr>
            <m:sty m:val="p"/>
          </m:rPr>
          <m:t>–</m:t>
        </m:r>
      </m:oMath>
      <w:r>
        <w:t xml:space="preserve">2.0 billion to backlog, including a large Samsung project in South Korea.</w:t>
      </w:r>
    </w:p>
    <w:p>
      <w:pPr>
        <w:pStyle w:val="BodyText"/>
      </w:pPr>
      <w:r>
        <w:rPr>
          <w:b/>
          <w:bCs/>
        </w:rPr>
        <w:t xml:space="preserve">Watch for:</w:t>
      </w:r>
    </w:p>
    <w:p>
      <w:pPr>
        <w:pStyle w:val="Compact"/>
        <w:numPr>
          <w:ilvl w:val="0"/>
          <w:numId w:val="1006"/>
        </w:numPr>
      </w:pPr>
      <w:r>
        <w:t xml:space="preserve">New-asset ramp contributions.</w:t>
      </w:r>
    </w:p>
    <w:p>
      <w:pPr>
        <w:pStyle w:val="Compact"/>
        <w:numPr>
          <w:ilvl w:val="0"/>
          <w:numId w:val="1006"/>
        </w:numPr>
      </w:pPr>
      <w:r>
        <w:t xml:space="preserve">Semiconductor and memory customer demand.</w:t>
      </w:r>
    </w:p>
    <w:p>
      <w:pPr>
        <w:pStyle w:val="Compact"/>
        <w:numPr>
          <w:ilvl w:val="0"/>
          <w:numId w:val="1006"/>
        </w:numPr>
      </w:pPr>
      <w:r>
        <w:t xml:space="preserve">The amount of Asia profit growth attributable to depreciation or collections.</w:t>
      </w:r>
    </w:p>
    <w:p>
      <w:pPr>
        <w:pStyle w:val="Compact"/>
        <w:numPr>
          <w:ilvl w:val="0"/>
          <w:numId w:val="1006"/>
        </w:numPr>
      </w:pPr>
      <w:r>
        <w:t xml:space="preserve">Progress selling the Chinese gasification assets.</w:t>
      </w:r>
    </w:p>
    <w:bookmarkEnd w:id="15"/>
    <w:bookmarkStart w:id="16" w:name="Xbe71b08d746a2fac6e64a560512b5ffde1bf9d1"/>
    <w:p>
      <w:pPr>
        <w:pStyle w:val="Heading3"/>
      </w:pPr>
      <w:r>
        <w:t xml:space="preserve">Europe: currency support versus weak industrial conditions</w:t>
      </w:r>
    </w:p>
    <w:p>
      <w:pPr>
        <w:pStyle w:val="FirstParagraph"/>
      </w:pPr>
      <w:r>
        <w:t xml:space="preserve">Q2 Europe operating income rose 8%, helped by favorable currency and on-site volumes. Management nevertheless remained cautious about European chemicals customers facing high feedstock and energy costs.</w:t>
      </w:r>
    </w:p>
    <w:p>
      <w:pPr>
        <w:pStyle w:val="BodyText"/>
      </w:pPr>
      <w:r>
        <w:t xml:space="preserve">Currency may continue to support reported results, but the underlying volume and pricing trends will be more informative.</w:t>
      </w:r>
    </w:p>
    <w:bookmarkEnd w:id="16"/>
    <w:bookmarkStart w:id="17" w:name="corporate-and-other"/>
    <w:p>
      <w:pPr>
        <w:pStyle w:val="Heading3"/>
      </w:pPr>
      <w:r>
        <w:t xml:space="preserve">Corporate and other</w:t>
      </w:r>
    </w:p>
    <w:p>
      <w:pPr>
        <w:pStyle w:val="FirstParagraph"/>
      </w:pPr>
      <w:r>
        <w:t xml:space="preserve">The Corporate and other operating loss improved to $77 million in Q2 from $118 million a year earlier. Management indicated that the Q2 result was a reasonable run rate for the balance of the year, helped by productivity and the absence of further sale-of-equipment project overruns.</w:t>
      </w:r>
    </w:p>
    <w:p>
      <w:pPr>
        <w:pStyle w:val="BodyText"/>
      </w:pPr>
      <w:r>
        <w:t xml:space="preserve">A material deterioration here would be a negative surprise.</w:t>
      </w:r>
    </w:p>
    <w:p>
      <w:r>
        <w:pict>
          <v:rect style="width:0;height:1.5pt" o:hralign="center" o:hrstd="t" o:hr="t"/>
        </w:pict>
      </w:r>
    </w:p>
    <w:bookmarkEnd w:id="17"/>
    <w:bookmarkEnd w:id="18"/>
    <w:bookmarkStart w:id="19" w:name="X7bbb9c4f18617e43146a99dc1b47178687697c4"/>
    <w:p>
      <w:pPr>
        <w:pStyle w:val="Heading2"/>
      </w:pPr>
      <w:r>
        <w:t xml:space="preserve">Helium: pricing, supply security and contract duration</w:t>
      </w:r>
    </w:p>
    <w:p>
      <w:pPr>
        <w:pStyle w:val="FirstParagraph"/>
      </w:pPr>
      <w:r>
        <w:t xml:space="preserve">Helium has been a persistent earnings headwind because pricing has fallen from unusually high prior-year levels. In Q2, total company pricing declined 1%, even though non-helium merchant pricing was up approximately 2%.</w:t>
      </w:r>
    </w:p>
    <w:p>
      <w:pPr>
        <w:pStyle w:val="BodyText"/>
      </w:pPr>
      <w:r>
        <w:t xml:space="preserve">Middle East disruptions created tighter supply conditions, but Air Products avoided building a temporary spot-market benefit into its forecast. The company has relied on its U.S. storage cavern, U.S. liquefaction capacity and container fleet to maintain customer supply.</w:t>
      </w:r>
    </w:p>
    <w:p>
      <w:pPr>
        <w:pStyle w:val="BodyText"/>
      </w:pPr>
      <w:r>
        <w:t xml:space="preserve">Management previously expected the year-over-year helium pricing headwind to bottom around the end of calendar 2026. Investors should listen for:</w:t>
      </w:r>
    </w:p>
    <w:p>
      <w:pPr>
        <w:pStyle w:val="Compact"/>
        <w:numPr>
          <w:ilvl w:val="0"/>
          <w:numId w:val="1007"/>
        </w:numPr>
      </w:pPr>
      <w:r>
        <w:t xml:space="preserve">Whether tighter supply has accelerated contract repricing.</w:t>
      </w:r>
    </w:p>
    <w:p>
      <w:pPr>
        <w:pStyle w:val="Compact"/>
        <w:numPr>
          <w:ilvl w:val="0"/>
          <w:numId w:val="1007"/>
        </w:numPr>
      </w:pPr>
      <w:r>
        <w:t xml:space="preserve">Any improvement in the expected helium earnings headwind.</w:t>
      </w:r>
    </w:p>
    <w:p>
      <w:pPr>
        <w:pStyle w:val="Compact"/>
        <w:numPr>
          <w:ilvl w:val="0"/>
          <w:numId w:val="1007"/>
        </w:numPr>
      </w:pPr>
      <w:r>
        <w:t xml:space="preserve">Incremental logistics or liquefaction costs.</w:t>
      </w:r>
    </w:p>
    <w:p>
      <w:pPr>
        <w:pStyle w:val="Compact"/>
        <w:numPr>
          <w:ilvl w:val="0"/>
          <w:numId w:val="1007"/>
        </w:numPr>
      </w:pPr>
      <w:r>
        <w:t xml:space="preserve">Qatar supply and shipping conditions.</w:t>
      </w:r>
    </w:p>
    <w:p>
      <w:pPr>
        <w:pStyle w:val="Compact"/>
        <w:numPr>
          <w:ilvl w:val="0"/>
          <w:numId w:val="1007"/>
        </w:numPr>
      </w:pPr>
      <w:r>
        <w:t xml:space="preserve">New long-term contracts with electronics customers.</w:t>
      </w:r>
    </w:p>
    <w:p>
      <w:pPr>
        <w:pStyle w:val="Compact"/>
        <w:numPr>
          <w:ilvl w:val="0"/>
          <w:numId w:val="1007"/>
        </w:numPr>
      </w:pPr>
      <w:r>
        <w:t xml:space="preserve">Whether Asian electronics helium volumes remain on track to more than double by 2030.</w:t>
      </w:r>
    </w:p>
    <w:p>
      <w:pPr>
        <w:pStyle w:val="FirstParagraph"/>
      </w:pPr>
      <w:r>
        <w:t xml:space="preserve">A durable improvement in long-term contract economics would matter more than temporary spot-market gains.</w:t>
      </w:r>
    </w:p>
    <w:p>
      <w:r>
        <w:pict>
          <v:rect style="width:0;height:1.5pt" o:hralign="center" o:hrstd="t" o:hr="t"/>
        </w:pict>
      </w:r>
    </w:p>
    <w:bookmarkEnd w:id="19"/>
    <w:bookmarkStart w:id="20" w:name="Xdd6469ac7c9eb14cc239f4518c2df9187677ab8"/>
    <w:p>
      <w:pPr>
        <w:pStyle w:val="Heading2"/>
      </w:pPr>
      <w:r>
        <w:t xml:space="preserve">NEOM and Yara: the largest remaining strategic issue</w:t>
      </w:r>
    </w:p>
    <w:p>
      <w:pPr>
        <w:pStyle w:val="FirstParagraph"/>
      </w:pPr>
      <w:r>
        <w:t xml:space="preserve">Following the LCEC exit, NEOM becomes even more central to the investment debate.</w:t>
      </w:r>
    </w:p>
    <w:p>
      <w:pPr>
        <w:pStyle w:val="BodyText"/>
      </w:pPr>
      <w:r>
        <w:t xml:space="preserve">Air Products said on June 30 that it was</w:t>
      </w:r>
      <w:r>
        <w:t xml:space="preserve"> </w:t>
      </w:r>
      <w:r>
        <w:rPr>
          <w:b/>
          <w:bCs/>
        </w:rPr>
        <w:t xml:space="preserve">finalizing</w:t>
      </w:r>
      <w:r>
        <w:t xml:space="preserve"> </w:t>
      </w:r>
      <w:r>
        <w:t xml:space="preserve">a marketing and distribution agreement under which Yara would sell and deliver renewable ammonia from NEOM through its global supply chain. The project was nearing completion, with renewable-power commissioning underway, but commercial ramp and realized returns remain uncertain.</w:t>
      </w:r>
    </w:p>
    <w:p>
      <w:pPr>
        <w:pStyle w:val="BodyText"/>
      </w:pPr>
      <w:r>
        <w:t xml:space="preserve">The market will want more than another statement that negotiations are progressing. Key questions include:</w:t>
      </w:r>
    </w:p>
    <w:p>
      <w:pPr>
        <w:pStyle w:val="Compact"/>
        <w:numPr>
          <w:ilvl w:val="0"/>
          <w:numId w:val="1008"/>
        </w:numPr>
      </w:pPr>
      <w:r>
        <w:t xml:space="preserve">Has the definitive Yara agreement been signed?</w:t>
      </w:r>
    </w:p>
    <w:p>
      <w:pPr>
        <w:pStyle w:val="Compact"/>
        <w:numPr>
          <w:ilvl w:val="0"/>
          <w:numId w:val="1008"/>
        </w:numPr>
      </w:pPr>
      <w:r>
        <w:t xml:space="preserve">What volume is committed, and for how long?</w:t>
      </w:r>
    </w:p>
    <w:p>
      <w:pPr>
        <w:pStyle w:val="Compact"/>
        <w:numPr>
          <w:ilvl w:val="0"/>
          <w:numId w:val="1008"/>
        </w:numPr>
      </w:pPr>
      <w:r>
        <w:t xml:space="preserve">Which party bears ammonia price, freight and regulatory risk?</w:t>
      </w:r>
    </w:p>
    <w:p>
      <w:pPr>
        <w:pStyle w:val="Compact"/>
        <w:numPr>
          <w:ilvl w:val="0"/>
          <w:numId w:val="1008"/>
        </w:numPr>
      </w:pPr>
      <w:r>
        <w:t xml:space="preserve">What economics will Air Products realize before the market is fully developed?</w:t>
      </w:r>
    </w:p>
    <w:p>
      <w:pPr>
        <w:pStyle w:val="Compact"/>
        <w:numPr>
          <w:ilvl w:val="0"/>
          <w:numId w:val="1008"/>
        </w:numPr>
      </w:pPr>
      <w:r>
        <w:t xml:space="preserve">When will NEOM begin making a material contribution to earnings and cash flow?</w:t>
      </w:r>
    </w:p>
    <w:p>
      <w:pPr>
        <w:pStyle w:val="Compact"/>
        <w:numPr>
          <w:ilvl w:val="0"/>
          <w:numId w:val="1008"/>
        </w:numPr>
      </w:pPr>
      <w:r>
        <w:t xml:space="preserve">Does the agreement reduce Air Products’ marketing and distribution capital needs?</w:t>
      </w:r>
    </w:p>
    <w:p>
      <w:pPr>
        <w:pStyle w:val="Compact"/>
        <w:numPr>
          <w:ilvl w:val="0"/>
          <w:numId w:val="1008"/>
        </w:numPr>
      </w:pPr>
      <w:r>
        <w:t xml:space="preserve">Are there any remaining construction, commissioning or cost risks?</w:t>
      </w:r>
    </w:p>
    <w:p>
      <w:pPr>
        <w:pStyle w:val="FirstParagraph"/>
      </w:pPr>
      <w:r>
        <w:t xml:space="preserve">A signed agreement with clear commercial terms would be the most meaningful positive catalyst in the report. Another delay would reinforce concerns about the project’s return timeline.</w:t>
      </w:r>
    </w:p>
    <w:p>
      <w:r>
        <w:pict>
          <v:rect style="width:0;height:1.5pt" o:hralign="center" o:hrstd="t" o:hr="t"/>
        </w:pict>
      </w:r>
    </w:p>
    <w:bookmarkEnd w:id="20"/>
    <w:bookmarkStart w:id="21" w:name="X9cdc27ca94388555dd8ad64186ae63a3665b806"/>
    <w:p>
      <w:pPr>
        <w:pStyle w:val="Heading2"/>
      </w:pPr>
      <w:r>
        <w:t xml:space="preserve">Capital allocation and balance-sheet priorities</w:t>
      </w:r>
    </w:p>
    <w:p>
      <w:pPr>
        <w:pStyle w:val="FirstParagraph"/>
      </w:pPr>
      <w:r>
        <w:t xml:space="preserve">Air Products entered Q3 with $17.8 billion of total debt, although approximately $5.4 billion related to non-recourse NEOM project financing. Management reported net debt to adjusted EBITDA of 2.2x and remains committed to restoring an A/A2 credit profile over time.</w:t>
      </w:r>
    </w:p>
    <w:p>
      <w:pPr>
        <w:pStyle w:val="BodyText"/>
      </w:pPr>
      <w:r>
        <w:t xml:space="preserve">The company spent $1.79 billion in the first half against its approximately $4 billion fiscal-year capital-spending target. The LCEC exit creates several questions:</w:t>
      </w:r>
    </w:p>
    <w:p>
      <w:pPr>
        <w:pStyle w:val="Compact"/>
        <w:numPr>
          <w:ilvl w:val="0"/>
          <w:numId w:val="1009"/>
        </w:numPr>
      </w:pPr>
      <w:r>
        <w:t xml:space="preserve">Will fiscal 2026 spending now fall below $4 billion?</w:t>
      </w:r>
    </w:p>
    <w:p>
      <w:pPr>
        <w:pStyle w:val="Compact"/>
        <w:numPr>
          <w:ilvl w:val="0"/>
          <w:numId w:val="1009"/>
        </w:numPr>
      </w:pPr>
      <w:r>
        <w:t xml:space="preserve">How much does the decision reduce fiscal 2027 and fiscal 2028 spending?</w:t>
      </w:r>
    </w:p>
    <w:p>
      <w:pPr>
        <w:pStyle w:val="Compact"/>
        <w:numPr>
          <w:ilvl w:val="0"/>
          <w:numId w:val="1009"/>
        </w:numPr>
      </w:pPr>
      <w:r>
        <w:t xml:space="preserve">Will capital be redirected immediately to Samsung and other electronics projects?</w:t>
      </w:r>
    </w:p>
    <w:p>
      <w:pPr>
        <w:pStyle w:val="Compact"/>
        <w:numPr>
          <w:ilvl w:val="0"/>
          <w:numId w:val="1009"/>
        </w:numPr>
      </w:pPr>
      <w:r>
        <w:t xml:space="preserve">Can operating cash flow cover core capital spending and the approximately $1.6 billion annual dividend?</w:t>
      </w:r>
    </w:p>
    <w:p>
      <w:pPr>
        <w:pStyle w:val="Compact"/>
        <w:numPr>
          <w:ilvl w:val="0"/>
          <w:numId w:val="1009"/>
        </w:numPr>
      </w:pPr>
      <w:r>
        <w:t xml:space="preserve">When should leverage begin declining?</w:t>
      </w:r>
    </w:p>
    <w:p>
      <w:pPr>
        <w:pStyle w:val="FirstParagraph"/>
      </w:pPr>
      <w:r>
        <w:t xml:space="preserve">The best outcome would be a lower medium-term capital burden, continued investment in contracted industrial-gas projects, and a visible path to stronger free cash flow. Simply replacing LCEC spending with another wave of large projects would dilute the capital-discipline benefit.</w:t>
      </w:r>
    </w:p>
    <w:p>
      <w:r>
        <w:pict>
          <v:rect style="width:0;height:1.5pt" o:hralign="center" o:hrstd="t" o:hr="t"/>
        </w:pict>
      </w:r>
    </w:p>
    <w:bookmarkEnd w:id="21"/>
    <w:bookmarkStart w:id="25" w:name="scenario-framework"/>
    <w:p>
      <w:pPr>
        <w:pStyle w:val="Heading2"/>
      </w:pPr>
      <w:r>
        <w:t xml:space="preserve">Scenario framework</w:t>
      </w:r>
    </w:p>
    <w:bookmarkStart w:id="22" w:name="bull-case"/>
    <w:p>
      <w:pPr>
        <w:pStyle w:val="Heading3"/>
      </w:pPr>
      <w:r>
        <w:t xml:space="preserve">Bull case</w:t>
      </w:r>
    </w:p>
    <w:p>
      <w:pPr>
        <w:pStyle w:val="Compact"/>
        <w:numPr>
          <w:ilvl w:val="0"/>
          <w:numId w:val="1010"/>
        </w:numPr>
      </w:pPr>
      <w:r>
        <w:t xml:space="preserve">Adjusted EPS exceeds $3.35.</w:t>
      </w:r>
    </w:p>
    <w:p>
      <w:pPr>
        <w:pStyle w:val="Compact"/>
        <w:numPr>
          <w:ilvl w:val="0"/>
          <w:numId w:val="1010"/>
        </w:numPr>
      </w:pPr>
      <w:r>
        <w:t xml:space="preserve">Full-year adjusted EPS guidance is raised.</w:t>
      </w:r>
    </w:p>
    <w:p>
      <w:pPr>
        <w:pStyle w:val="Compact"/>
        <w:numPr>
          <w:ilvl w:val="0"/>
          <w:numId w:val="1010"/>
        </w:numPr>
      </w:pPr>
      <w:r>
        <w:t xml:space="preserve">Americas volumes stay strong and margins begin recovering.</w:t>
      </w:r>
    </w:p>
    <w:p>
      <w:pPr>
        <w:pStyle w:val="Compact"/>
        <w:numPr>
          <w:ilvl w:val="0"/>
          <w:numId w:val="1010"/>
        </w:numPr>
      </w:pPr>
      <w:r>
        <w:t xml:space="preserve">Helium headwinds moderate.</w:t>
      </w:r>
    </w:p>
    <w:p>
      <w:pPr>
        <w:pStyle w:val="Compact"/>
        <w:numPr>
          <w:ilvl w:val="0"/>
          <w:numId w:val="1010"/>
        </w:numPr>
      </w:pPr>
      <w:r>
        <w:t xml:space="preserve">Yara agreement is signed with credible commercial commitments.</w:t>
      </w:r>
    </w:p>
    <w:p>
      <w:pPr>
        <w:pStyle w:val="Compact"/>
        <w:numPr>
          <w:ilvl w:val="0"/>
          <w:numId w:val="1010"/>
        </w:numPr>
      </w:pPr>
      <w:r>
        <w:t xml:space="preserve">LCEC cash-exit costs are manageable and future capital savings are substantial.</w:t>
      </w:r>
    </w:p>
    <w:p>
      <w:pPr>
        <w:pStyle w:val="Compact"/>
        <w:numPr>
          <w:ilvl w:val="0"/>
          <w:numId w:val="1010"/>
        </w:numPr>
      </w:pPr>
      <w:r>
        <w:t xml:space="preserve">Management outlines a clear FY2027 free-cash-flow and leverage improvement path.</w:t>
      </w:r>
    </w:p>
    <w:bookmarkEnd w:id="22"/>
    <w:bookmarkStart w:id="23" w:name="base-case"/>
    <w:p>
      <w:pPr>
        <w:pStyle w:val="Heading3"/>
      </w:pPr>
      <w:r>
        <w:t xml:space="preserve">Base case</w:t>
      </w:r>
    </w:p>
    <w:p>
      <w:pPr>
        <w:pStyle w:val="Compact"/>
        <w:numPr>
          <w:ilvl w:val="0"/>
          <w:numId w:val="1011"/>
        </w:numPr>
      </w:pPr>
      <w:r>
        <w:t xml:space="preserve">Adjusted EPS falls within</w:t>
      </w:r>
      <w:r>
        <w:t xml:space="preserve"> </w:t>
      </w:r>
      <m:oMath>
        <m:r>
          <m:t>3.25</m:t>
        </m:r>
        <m:r>
          <m:rPr>
            <m:sty m:val="p"/>
          </m:rPr>
          <m:t>–</m:t>
        </m:r>
      </m:oMath>
      <w:r>
        <w:t xml:space="preserve">3.35.</w:t>
      </w:r>
    </w:p>
    <w:p>
      <w:pPr>
        <w:pStyle w:val="Compact"/>
        <w:numPr>
          <w:ilvl w:val="0"/>
          <w:numId w:val="1011"/>
        </w:numPr>
      </w:pPr>
      <w:r>
        <w:t xml:space="preserve">Full-year guidance is maintained.</w:t>
      </w:r>
    </w:p>
    <w:p>
      <w:pPr>
        <w:pStyle w:val="Compact"/>
        <w:numPr>
          <w:ilvl w:val="0"/>
          <w:numId w:val="1011"/>
        </w:numPr>
      </w:pPr>
      <w:r>
        <w:t xml:space="preserve">Core volumes and productivity remain healthy, offset by maintenance and helium.</w:t>
      </w:r>
    </w:p>
    <w:p>
      <w:pPr>
        <w:pStyle w:val="Compact"/>
        <w:numPr>
          <w:ilvl w:val="0"/>
          <w:numId w:val="1011"/>
        </w:numPr>
      </w:pPr>
      <w:r>
        <w:t xml:space="preserve">LCEC charge remains within the disclosed ceiling, but cash-cost details are limited.</w:t>
      </w:r>
    </w:p>
    <w:p>
      <w:pPr>
        <w:pStyle w:val="Compact"/>
        <w:numPr>
          <w:ilvl w:val="0"/>
          <w:numId w:val="1011"/>
        </w:numPr>
      </w:pPr>
      <w:r>
        <w:t xml:space="preserve">Yara negotiations continue without a definitive agreement.</w:t>
      </w:r>
    </w:p>
    <w:p>
      <w:pPr>
        <w:pStyle w:val="Compact"/>
        <w:numPr>
          <w:ilvl w:val="0"/>
          <w:numId w:val="1011"/>
        </w:numPr>
      </w:pPr>
      <w:r>
        <w:t xml:space="preserve">Capital-spending guidance remains approximately $4 billion.</w:t>
      </w:r>
    </w:p>
    <w:bookmarkEnd w:id="23"/>
    <w:bookmarkStart w:id="24" w:name="bear-case"/>
    <w:p>
      <w:pPr>
        <w:pStyle w:val="Heading3"/>
      </w:pPr>
      <w:r>
        <w:t xml:space="preserve">Bear case</w:t>
      </w:r>
    </w:p>
    <w:p>
      <w:pPr>
        <w:pStyle w:val="Compact"/>
        <w:numPr>
          <w:ilvl w:val="0"/>
          <w:numId w:val="1012"/>
        </w:numPr>
      </w:pPr>
      <w:r>
        <w:t xml:space="preserve">Adjusted EPS falls below $3.25 or guidance is reduced.</w:t>
      </w:r>
    </w:p>
    <w:p>
      <w:pPr>
        <w:pStyle w:val="Compact"/>
        <w:numPr>
          <w:ilvl w:val="0"/>
          <w:numId w:val="1012"/>
        </w:numPr>
      </w:pPr>
      <w:r>
        <w:t xml:space="preserve">Core industrial volumes weaken, particularly in Europe or Asia.</w:t>
      </w:r>
    </w:p>
    <w:p>
      <w:pPr>
        <w:pStyle w:val="Compact"/>
        <w:numPr>
          <w:ilvl w:val="0"/>
          <w:numId w:val="1012"/>
        </w:numPr>
      </w:pPr>
      <w:r>
        <w:t xml:space="preserve">Americas margins remain depressed beyond maintenance and pass-through effects.</w:t>
      </w:r>
    </w:p>
    <w:p>
      <w:pPr>
        <w:pStyle w:val="Compact"/>
        <w:numPr>
          <w:ilvl w:val="0"/>
          <w:numId w:val="1012"/>
        </w:numPr>
      </w:pPr>
      <w:r>
        <w:t xml:space="preserve">LCEC termination costs appear open-ended or cash intensive.</w:t>
      </w:r>
    </w:p>
    <w:p>
      <w:pPr>
        <w:pStyle w:val="Compact"/>
        <w:numPr>
          <w:ilvl w:val="0"/>
          <w:numId w:val="1012"/>
        </w:numPr>
      </w:pPr>
      <w:r>
        <w:t xml:space="preserve">NEOM commercial negotiations are delayed again.</w:t>
      </w:r>
    </w:p>
    <w:p>
      <w:pPr>
        <w:pStyle w:val="Compact"/>
        <w:numPr>
          <w:ilvl w:val="0"/>
          <w:numId w:val="1012"/>
        </w:numPr>
      </w:pPr>
      <w:r>
        <w:t xml:space="preserve">Management redirects most of the saved capital into projects with unclear returns.</w:t>
      </w:r>
    </w:p>
    <w:p>
      <w:r>
        <w:pict>
          <v:rect style="width:0;height:1.5pt" o:hralign="center" o:hrstd="t" o:hr="t"/>
        </w:pict>
      </w:r>
    </w:p>
    <w:bookmarkEnd w:id="24"/>
    <w:bookmarkEnd w:id="25"/>
    <w:bookmarkStart w:id="26" w:name="bottom-line"/>
    <w:p>
      <w:pPr>
        <w:pStyle w:val="Heading2"/>
      </w:pPr>
      <w:r>
        <w:t xml:space="preserve">Bottom line</w:t>
      </w:r>
    </w:p>
    <w:p>
      <w:pPr>
        <w:pStyle w:val="FirstParagraph"/>
      </w:pPr>
      <w:r>
        <w:t xml:space="preserve">The near-term earnings hurdle is straightforward:</w:t>
      </w:r>
      <w:r>
        <w:t xml:space="preserve"> </w:t>
      </w:r>
      <w:r>
        <w:rPr>
          <w:b/>
          <w:bCs/>
        </w:rPr>
        <w:t xml:space="preserve">deliver at least</w:t>
      </w:r>
      <w:r>
        <w:rPr>
          <w:b/>
          <w:bCs/>
        </w:rPr>
        <w:t xml:space="preserve"> </w:t>
      </w:r>
      <m:oMath>
        <m:r>
          <m:t>3.25</m:t>
        </m:r>
        <m:r>
          <m:rPr>
            <m:sty m:val="p"/>
          </m:rPr>
          <m:t>–</m:t>
        </m:r>
      </m:oMath>
      <w:r>
        <w:rPr>
          <w:b/>
          <w:bCs/>
        </w:rPr>
        <w:t xml:space="preserve">3.35 of adjusted EPS and preserve the</w:t>
      </w:r>
      <w:r>
        <w:rPr>
          <w:b/>
          <w:bCs/>
        </w:rPr>
        <w:t xml:space="preserve"> </w:t>
      </w:r>
      <m:oMath>
        <m:r>
          <m:t>13.00</m:t>
        </m:r>
        <m:r>
          <m:rPr>
            <m:sty m:val="p"/>
          </m:rPr>
          <m:t>–</m:t>
        </m:r>
      </m:oMath>
      <w:r>
        <w:rPr>
          <w:b/>
          <w:bCs/>
        </w:rPr>
        <w:t xml:space="preserve">13.25 full-year outlook</w:t>
      </w:r>
      <w:r>
        <w:t xml:space="preserve">. But tomorrow’s stock reaction is likely to depend more on the quality of the portfolio cleanup than on a few cents of quarterly earnings.</w:t>
      </w:r>
    </w:p>
    <w:p>
      <w:pPr>
        <w:pStyle w:val="BodyText"/>
      </w:pPr>
      <w:r>
        <w:t xml:space="preserve">The strongest message management can deliver is that APD is becoming a more conventional, disciplined industrial-gases compounder: resilient on-site volumes, improving productivity, contracted electronics growth, lower project risk and a declining capital burden.</w:t>
      </w:r>
    </w:p>
    <w:p>
      <w:pPr>
        <w:pStyle w:val="BodyText"/>
      </w:pPr>
      <w:r>
        <w:t xml:space="preserve">The risk is that LCEC proves to be an accounting exit rather than a clean financial exit—and that NEOM continues to absorb capital without enough visibility into commercial returns. Tomorrow’s report should clarify which of those narratives is winning.</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2026-07-29T17:54:03Z</dcterms:created>
  <dcterms:modified xsi:type="dcterms:W3CDTF">2026-07-29T17:54:03Z</dcterms:modified>
</cp:coreProperties>
</file>

<file path=docProps/custom.xml><?xml version="1.0" encoding="utf-8"?>
<Properties xmlns="http://schemas.openxmlformats.org/officeDocument/2006/custom-properties" xmlns:vt="http://schemas.openxmlformats.org/officeDocument/2006/docPropsVTypes"/>
</file>