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cfb821ad4bf8cc96c13e291d0af25f1dd3ca7f7"/>
    <w:p>
      <w:pPr>
        <w:pStyle w:val="Heading1"/>
      </w:pPr>
      <w:r>
        <w:t xml:space="preserve">Air Products (NYSE: APD) — FY2026 Q3 Earnings Preview</w:t>
      </w:r>
    </w:p>
    <w:p>
      <w:pPr>
        <w:pStyle w:val="FirstParagraph"/>
      </w:pPr>
      <w:r>
        <w:rPr>
          <w:b/>
          <w:bCs/>
        </w:rPr>
        <w:t xml:space="preserve">Event:</w:t>
      </w:r>
      <w:r>
        <w:t xml:space="preserve"> </w:t>
      </w:r>
      <w:r>
        <w:t xml:space="preserve">Fiscal 2026 third-quarter earnings call</w:t>
      </w:r>
      <w:r>
        <w:br/>
      </w:r>
      <w:r>
        <w:rPr>
          <w:b/>
          <w:bCs/>
        </w:rPr>
        <w:t xml:space="preserve">Date:</w:t>
      </w:r>
      <w:r>
        <w:t xml:space="preserve"> </w:t>
      </w:r>
      <w:r>
        <w:t xml:space="preserve">Thursday, July 30, 2026</w:t>
      </w:r>
      <w:r>
        <w:br/>
      </w:r>
      <w:r>
        <w:rPr>
          <w:b/>
          <w:bCs/>
        </w:rPr>
        <w:t xml:space="preserve">Setup:</w:t>
      </w:r>
      <w:r>
        <w:t xml:space="preserve"> </w:t>
      </w:r>
      <w:r>
        <w:t xml:space="preserve">APD enters the print after raising full-year guidance last quarter, reporting strong base-business execution, and signaling sharper capital discipline around its large clean-energy projects. The key question is whether that operational momentum can offset a more complicated external backdrop: helium-price pressure, heightened Middle East disruption, uneven European/Asian industrial conditions, and project-portfolio scrutiny.</w:t>
      </w:r>
    </w:p>
    <w:bookmarkStart w:id="9" w:name="the-headline-benchmark"/>
    <w:p>
      <w:pPr>
        <w:pStyle w:val="Heading2"/>
      </w:pPr>
      <w:r>
        <w:t xml:space="preserve">The headline benchmark</w:t>
      </w:r>
    </w:p>
    <w:p>
      <w:pPr>
        <w:pStyle w:val="FirstParagraph"/>
      </w:pPr>
      <w:r>
        <w:t xml:space="preserve">Management’s own outlook is the most relevant near-term hurdle: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Management outlook / reference</w:t>
            </w:r>
          </w:p>
        </w:tc>
      </w:tr>
      <w:tr>
        <w:tc>
          <w:tcPr/>
          <w:p>
            <w:pPr>
              <w:pStyle w:val="Compact"/>
            </w:pPr>
            <w:r>
              <w:rPr>
                <w:b/>
                <w:bCs/>
              </w:rPr>
              <w:t xml:space="preserve">FY2026 Q3 adjusted EPS</w:t>
            </w:r>
          </w:p>
        </w:tc>
        <w:tc>
          <w:tcPr/>
          <w:p>
            <w:pPr>
              <w:pStyle w:val="Compact"/>
              <w:jc w:val="right"/>
            </w:pPr>
            <m:oMath>
              <m:r>
                <m:t>3.25</m:t>
              </m:r>
              <m:r>
                <m:rPr>
                  <m:sty m:val="p"/>
                </m:rPr>
                <m:t>–</m:t>
              </m:r>
            </m:oMath>
            <w:r>
              <w:rPr>
                <w:b/>
                <w:bCs/>
              </w:rPr>
              <w:t xml:space="preserve">3.35</w:t>
            </w:r>
          </w:p>
        </w:tc>
      </w:tr>
      <w:tr>
        <w:tc>
          <w:tcPr/>
          <w:p>
            <w:pPr>
              <w:pStyle w:val="Compact"/>
            </w:pPr>
            <w:r>
              <w:rPr>
                <w:b/>
                <w:bCs/>
              </w:rPr>
              <w:t xml:space="preserve">Q3 FY2025 adjusted EPS</w:t>
            </w:r>
          </w:p>
        </w:tc>
        <w:tc>
          <w:tcPr/>
          <w:p>
            <w:pPr>
              <w:pStyle w:val="Compact"/>
              <w:jc w:val="right"/>
            </w:pPr>
            <w:r>
              <w:t xml:space="preserve">$3.09</w:t>
            </w:r>
          </w:p>
        </w:tc>
      </w:tr>
      <w:tr>
        <w:tc>
          <w:tcPr/>
          <w:p>
            <w:pPr>
              <w:pStyle w:val="Compact"/>
            </w:pPr>
            <w:r>
              <w:rPr>
                <w:b/>
                <w:bCs/>
              </w:rPr>
              <w:t xml:space="preserve">FY2026 adjusted EPS</w:t>
            </w:r>
          </w:p>
        </w:tc>
        <w:tc>
          <w:tcPr/>
          <w:p>
            <w:pPr>
              <w:pStyle w:val="Compact"/>
              <w:jc w:val="right"/>
            </w:pPr>
            <m:oMath>
              <m:r>
                <m:t>13.00</m:t>
              </m:r>
              <m:r>
                <m:rPr>
                  <m:sty m:val="p"/>
                </m:rPr>
                <m:t>–</m:t>
              </m:r>
            </m:oMath>
            <w:r>
              <w:rPr>
                <w:b/>
                <w:bCs/>
              </w:rPr>
              <w:t xml:space="preserve">13.25</w:t>
            </w:r>
          </w:p>
        </w:tc>
      </w:tr>
      <w:tr>
        <w:tc>
          <w:tcPr/>
          <w:p>
            <w:pPr>
              <w:pStyle w:val="Compact"/>
            </w:pPr>
            <w:r>
              <w:rPr>
                <w:b/>
                <w:bCs/>
              </w:rPr>
              <w:t xml:space="preserve">FY2026 capex</w:t>
            </w:r>
          </w:p>
        </w:tc>
        <w:tc>
          <w:tcPr/>
          <w:p>
            <w:pPr>
              <w:pStyle w:val="Compact"/>
              <w:jc w:val="right"/>
            </w:pPr>
            <w:r>
              <w:t xml:space="preserve">Approximately</w:t>
            </w:r>
            <w:r>
              <w:t xml:space="preserve"> </w:t>
            </w:r>
            <w:r>
              <w:rPr>
                <w:b/>
                <w:bCs/>
              </w:rPr>
              <w:t xml:space="preserve">$4.0B</w:t>
            </w:r>
          </w:p>
        </w:tc>
      </w:tr>
      <w:tr>
        <w:tc>
          <w:tcPr/>
          <w:p>
            <w:pPr>
              <w:pStyle w:val="Compact"/>
            </w:pPr>
            <w:r>
              <w:rPr>
                <w:b/>
                <w:bCs/>
              </w:rPr>
              <w:t xml:space="preserve">Q2 FY2026 adjusted EPS</w:t>
            </w:r>
          </w:p>
        </w:tc>
        <w:tc>
          <w:tcPr/>
          <w:p>
            <w:pPr>
              <w:pStyle w:val="Compact"/>
              <w:jc w:val="right"/>
            </w:pPr>
            <w:r>
              <w:t xml:space="preserve">$3.20</w:t>
            </w:r>
          </w:p>
        </w:tc>
      </w:tr>
      <w:tr>
        <w:tc>
          <w:tcPr/>
          <w:p>
            <w:pPr>
              <w:pStyle w:val="Compact"/>
            </w:pPr>
            <w:r>
              <w:rPr>
                <w:b/>
                <w:bCs/>
              </w:rPr>
              <w:t xml:space="preserve">Q2 FY2026 adjusted operating margin</w:t>
            </w:r>
          </w:p>
        </w:tc>
        <w:tc>
          <w:tcPr/>
          <w:p>
            <w:pPr>
              <w:pStyle w:val="Compact"/>
              <w:jc w:val="right"/>
            </w:pPr>
            <w:r>
              <w:t xml:space="preserve">23.7%</w:t>
            </w:r>
          </w:p>
        </w:tc>
      </w:tr>
    </w:tbl>
    <w:p>
      <w:pPr>
        <w:pStyle w:val="BodyText"/>
      </w:pPr>
      <w:r>
        <w:t xml:space="preserve">At the midpoint, Q3 guidance implies roughly</w:t>
      </w:r>
      <w:r>
        <w:t xml:space="preserve"> </w:t>
      </w:r>
      <w:r>
        <w:rPr>
          <w:b/>
          <w:bCs/>
        </w:rPr>
        <w:t xml:space="preserve">7% year-over-year adjusted EPS growth</w:t>
      </w:r>
      <w:r>
        <w:t xml:space="preserve">. With first-half adjusted EPS already at</w:t>
      </w:r>
      <w:r>
        <w:t xml:space="preserve"> </w:t>
      </w:r>
      <m:oMath>
        <m:r>
          <m:t>6.37</m:t>
        </m:r>
        <m:r>
          <m:rPr>
            <m:sty m:val="p"/>
          </m:rPr>
          <m:t>*</m:t>
        </m:r>
        <m:r>
          <m:rPr>
            <m:sty m:val="p"/>
          </m:rPr>
          <m:t>*</m:t>
        </m:r>
        <m:r>
          <m:rPr>
            <m:sty m:val="p"/>
          </m:rPr>
          <m:t>,</m:t>
        </m:r>
        <m:r>
          <m:t>a</m:t>
        </m:r>
        <m:r>
          <m:t>c</m:t>
        </m:r>
        <m:r>
          <m:t>h</m:t>
        </m:r>
        <m:r>
          <m:t>i</m:t>
        </m:r>
        <m:r>
          <m:t>e</m:t>
        </m:r>
        <m:r>
          <m:t>v</m:t>
        </m:r>
        <m:r>
          <m:t>i</m:t>
        </m:r>
        <m:r>
          <m:t>n</m:t>
        </m:r>
        <m:r>
          <m:t>g</m:t>
        </m:r>
        <m:r>
          <m:t>t</m:t>
        </m:r>
        <m:r>
          <m:t>h</m:t>
        </m:r>
        <m:r>
          <m:t>e</m:t>
        </m:r>
        <m:r>
          <m:t>m</m:t>
        </m:r>
        <m:r>
          <m:t>i</m:t>
        </m:r>
        <m:r>
          <m:t>d</m:t>
        </m:r>
        <m:r>
          <m:t>p</m:t>
        </m:r>
        <m:r>
          <m:t>o</m:t>
        </m:r>
        <m:r>
          <m:t>i</m:t>
        </m:r>
        <m:r>
          <m:t>n</m:t>
        </m:r>
        <m:r>
          <m:t>t</m:t>
        </m:r>
        <m:r>
          <m:t>o</m:t>
        </m:r>
        <m:r>
          <m:t>f</m:t>
        </m:r>
        <m:r>
          <m:t>f</m:t>
        </m:r>
        <m:r>
          <m:t>u</m:t>
        </m:r>
        <m:r>
          <m:t>l</m:t>
        </m:r>
        <m:r>
          <m:t>l</m:t>
        </m:r>
        <m:r>
          <m:rPr>
            <m:sty m:val="p"/>
          </m:rPr>
          <m:t>−</m:t>
        </m:r>
        <m:r>
          <m:t>y</m:t>
        </m:r>
        <m:r>
          <m:t>e</m:t>
        </m:r>
        <m:r>
          <m:t>a</m:t>
        </m:r>
        <m:r>
          <m:t>r</m:t>
        </m:r>
        <m:r>
          <m:t>g</m:t>
        </m:r>
        <m:r>
          <m:t>u</m:t>
        </m:r>
        <m:r>
          <m:t>i</m:t>
        </m:r>
        <m:r>
          <m:t>d</m:t>
        </m:r>
        <m:r>
          <m:t>a</m:t>
        </m:r>
        <m:r>
          <m:t>n</m:t>
        </m:r>
        <m:r>
          <m:t>c</m:t>
        </m:r>
        <m:r>
          <m:t>e</m:t>
        </m:r>
        <m:r>
          <m:t>i</m:t>
        </m:r>
        <m:r>
          <m:t>m</m:t>
        </m:r>
        <m:r>
          <m:t>p</m:t>
        </m:r>
        <m:r>
          <m:t>l</m:t>
        </m:r>
        <m:r>
          <m:t>i</m:t>
        </m:r>
        <m:r>
          <m:t>e</m:t>
        </m:r>
        <m:r>
          <m:t>s</m:t>
        </m:r>
        <m:r>
          <m:t>a</m:t>
        </m:r>
        <m:r>
          <m:t>p</m:t>
        </m:r>
        <m:r>
          <m:t>p</m:t>
        </m:r>
        <m:r>
          <m:t>r</m:t>
        </m:r>
        <m:r>
          <m:t>o</m:t>
        </m:r>
        <m:r>
          <m:t>x</m:t>
        </m:r>
        <m:r>
          <m:t>i</m:t>
        </m:r>
        <m:r>
          <m:t>m</m:t>
        </m:r>
        <m:r>
          <m:t>a</m:t>
        </m:r>
        <m:r>
          <m:t>t</m:t>
        </m:r>
        <m:r>
          <m:t>e</m:t>
        </m:r>
        <m:r>
          <m:t>l</m:t>
        </m:r>
        <m:r>
          <m:t>y</m:t>
        </m:r>
        <m:r>
          <m:rPr>
            <m:sty m:val="p"/>
          </m:rPr>
          <m:t>*</m:t>
        </m:r>
        <m:r>
          <m:rPr>
            <m:sty m:val="p"/>
          </m:rPr>
          <m:t>*</m:t>
        </m:r>
      </m:oMath>
      <w:r>
        <w:rPr>
          <w:b/>
          <w:bCs/>
        </w:rPr>
        <w:t xml:space="preserve">3.46</w:t>
      </w:r>
      <w:r>
        <w:t xml:space="preserve"> </w:t>
      </w:r>
      <w:r>
        <w:t xml:space="preserve">of adjusted EPS in Q4—so the report needs to reinforce confidence in a second-half acceleration rather than merely meet the Q3 range.</w:t>
      </w:r>
    </w:p>
    <w:bookmarkEnd w:id="9"/>
    <w:bookmarkStart w:id="10" w:name="core-thesis-going-into-the-print"/>
    <w:p>
      <w:pPr>
        <w:pStyle w:val="Heading2"/>
      </w:pPr>
      <w:r>
        <w:t xml:space="preserve">Core thesis going into the print</w:t>
      </w:r>
    </w:p>
    <w:p>
      <w:pPr>
        <w:pStyle w:val="FirstParagraph"/>
      </w:pPr>
      <w:r>
        <w:t xml:space="preserve">APD’s investment case has become less about underwriting ambitious hydrogen-project announcements and more about proving three things:</w:t>
      </w:r>
    </w:p>
    <w:p>
      <w:pPr>
        <w:pStyle w:val="Compact"/>
        <w:numPr>
          <w:ilvl w:val="0"/>
          <w:numId w:val="1001"/>
        </w:numPr>
      </w:pPr>
      <w:r>
        <w:rPr>
          <w:b/>
          <w:bCs/>
        </w:rPr>
        <w:t xml:space="preserve">The core industrial-gases franchise can sustain volume, margin, and pricing improvement.</w:t>
      </w:r>
    </w:p>
    <w:p>
      <w:pPr>
        <w:pStyle w:val="Compact"/>
        <w:numPr>
          <w:ilvl w:val="0"/>
          <w:numId w:val="1001"/>
        </w:numPr>
      </w:pPr>
      <w:r>
        <w:rPr>
          <w:b/>
          <w:bCs/>
        </w:rPr>
        <w:t xml:space="preserve">Capital spending can be redirected toward high-return conventional gases, electronics, and aerospace opportunities rather than riskier clean-energy developments.</w:t>
      </w:r>
    </w:p>
    <w:p>
      <w:pPr>
        <w:pStyle w:val="Compact"/>
        <w:numPr>
          <w:ilvl w:val="0"/>
          <w:numId w:val="1001"/>
        </w:numPr>
      </w:pPr>
      <w:r>
        <w:rPr>
          <w:b/>
          <w:bCs/>
        </w:rPr>
        <w:t xml:space="preserve">The company can manage the current helium and Middle East disruption without a material financial or customer-service setback.</w:t>
      </w:r>
    </w:p>
    <w:p>
      <w:pPr>
        <w:pStyle w:val="FirstParagraph"/>
      </w:pPr>
      <w:r>
        <w:t xml:space="preserve">Q2 was a constructive proof point. Adjusted EPS grew 19% year over year to $3.20, above guidance, driven by on-site volume, productivity, favorable currency, and better-than-expected helium volumes tied to aerospace. Segment operating-income growth was broad-based, particularly in Asia, where operating income increased 25%.</w:t>
      </w:r>
    </w:p>
    <w:p>
      <w:pPr>
        <w:pStyle w:val="BodyText"/>
      </w:pPr>
      <w:r>
        <w:t xml:space="preserve">However, the next leg of the story requires the improvement to be durable—not simply aided by favorable comparisons, FX, lower depreciation on assets held for sale, or stronger refinery-related demand.</w:t>
      </w:r>
    </w:p>
    <w:bookmarkEnd w:id="10"/>
    <w:bookmarkStart w:id="17" w:name="what-investors-will-focus-on"/>
    <w:p>
      <w:pPr>
        <w:pStyle w:val="Heading2"/>
      </w:pPr>
      <w:r>
        <w:t xml:space="preserve">What investors will focus on</w:t>
      </w:r>
    </w:p>
    <w:bookmarkStart w:id="11" w:name="X6ea45719c0c5f4dbaa9d72104ecb3ec47663da3"/>
    <w:p>
      <w:pPr>
        <w:pStyle w:val="Heading3"/>
      </w:pPr>
      <w:r>
        <w:t xml:space="preserve">1. Can APD deliver on volume growth again?</w:t>
      </w:r>
    </w:p>
    <w:p>
      <w:pPr>
        <w:pStyle w:val="FirstParagraph"/>
      </w:pPr>
      <w:r>
        <w:t xml:space="preserve">The principal upside driver is on-site volume. In Q2, consolidated volume increased 4%, led by Americas HyCO/refinery activity and new assets in Asia. Management also cited resilient U.S. refinery run rates, improving aerospace demand, semiconductor investment, and stronger oxygen demand from Chinese coal-gasification customers.</w:t>
      </w:r>
    </w:p>
    <w:p>
      <w:pPr>
        <w:pStyle w:val="BodyText"/>
      </w:pPr>
      <w:r>
        <w:t xml:space="preserve">For Q3, investors should look for:</w:t>
      </w:r>
    </w:p>
    <w:p>
      <w:pPr>
        <w:pStyle w:val="Compact"/>
        <w:numPr>
          <w:ilvl w:val="0"/>
          <w:numId w:val="1002"/>
        </w:numPr>
      </w:pPr>
      <w:r>
        <w:rPr>
          <w:b/>
          <w:bCs/>
        </w:rPr>
        <w:t xml:space="preserve">Americas HyCO/refinery volumes:</w:t>
      </w:r>
      <w:r>
        <w:t xml:space="preserve"> </w:t>
      </w:r>
      <w:r>
        <w:t xml:space="preserve">High refinery utilization has supported hydrogen demand, but energy-market volatility could affect both customers and cost pass-through.</w:t>
      </w:r>
    </w:p>
    <w:p>
      <w:pPr>
        <w:pStyle w:val="Compact"/>
        <w:numPr>
          <w:ilvl w:val="0"/>
          <w:numId w:val="1002"/>
        </w:numPr>
      </w:pPr>
      <w:r>
        <w:rPr>
          <w:b/>
          <w:bCs/>
        </w:rPr>
        <w:t xml:space="preserve">Asian new-asset ramp:</w:t>
      </w:r>
      <w:r>
        <w:t xml:space="preserve"> </w:t>
      </w:r>
      <w:r>
        <w:t xml:space="preserve">APD expected recently commissioned Asia assets to contribute more in the second half.</w:t>
      </w:r>
    </w:p>
    <w:p>
      <w:pPr>
        <w:pStyle w:val="Compact"/>
        <w:numPr>
          <w:ilvl w:val="0"/>
          <w:numId w:val="1002"/>
        </w:numPr>
      </w:pPr>
      <w:r>
        <w:rPr>
          <w:b/>
          <w:bCs/>
        </w:rPr>
        <w:t xml:space="preserve">Electronics and aerospace:</w:t>
      </w:r>
      <w:r>
        <w:t xml:space="preserve"> </w:t>
      </w:r>
      <w:r>
        <w:t xml:space="preserve">These are the company’s best secular-growth verticals. Electronics is supported by the semiconductor buildout; aerospace demand is tied to launch, testing, and manufacturing activity.</w:t>
      </w:r>
    </w:p>
    <w:p>
      <w:pPr>
        <w:pStyle w:val="Compact"/>
        <w:numPr>
          <w:ilvl w:val="0"/>
          <w:numId w:val="1002"/>
        </w:numPr>
      </w:pPr>
      <w:r>
        <w:rPr>
          <w:b/>
          <w:bCs/>
        </w:rPr>
        <w:t xml:space="preserve">Europe:</w:t>
      </w:r>
      <w:r>
        <w:t xml:space="preserve"> </w:t>
      </w:r>
      <w:r>
        <w:t xml:space="preserve">The weakest macro sensitivity remains Europe, where energy costs and industrial uncertainty can pressure customer operating rates.</w:t>
      </w:r>
    </w:p>
    <w:p>
      <w:pPr>
        <w:pStyle w:val="FirstParagraph"/>
      </w:pPr>
      <w:r>
        <w:t xml:space="preserve">A positive print would show volume growth that is still led by on-site assets but increasingly supplemented by new electronics/aerospace projects and conventional merchant demand.</w:t>
      </w:r>
    </w:p>
    <w:bookmarkEnd w:id="11"/>
    <w:bookmarkStart w:id="12" w:name="Xbaaf7361884cc50b4dc7b790b74e35fbd947a58"/>
    <w:p>
      <w:pPr>
        <w:pStyle w:val="Heading3"/>
      </w:pPr>
      <w:r>
        <w:t xml:space="preserve">2. Is pricing turning from a headwind into a contributor?</w:t>
      </w:r>
    </w:p>
    <w:p>
      <w:pPr>
        <w:pStyle w:val="FirstParagraph"/>
      </w:pPr>
      <w:r>
        <w:t xml:space="preserve">Helium remains the major pricing issue. In Q2, consolidated price was down 1%, entirely reflecting helium, while</w:t>
      </w:r>
      <w:r>
        <w:t xml:space="preserve"> </w:t>
      </w:r>
      <w:r>
        <w:rPr>
          <w:b/>
          <w:bCs/>
        </w:rPr>
        <w:t xml:space="preserve">non-helium merchant pricing rose about 2%</w:t>
      </w:r>
      <w:r>
        <w:t xml:space="preserve"> </w:t>
      </w:r>
      <w:r>
        <w:t xml:space="preserve">across the Americas and Europe. Management expected the helium price headwind to subside by the end of calendar 2026, but that outlook was contingent on contract resets and a normalization of supply conditions.</w:t>
      </w:r>
    </w:p>
    <w:p>
      <w:pPr>
        <w:pStyle w:val="BodyText"/>
      </w:pPr>
      <w:r>
        <w:t xml:space="preserve">The important distinction for investors:</w:t>
      </w:r>
    </w:p>
    <w:p>
      <w:pPr>
        <w:pStyle w:val="Compact"/>
        <w:numPr>
          <w:ilvl w:val="0"/>
          <w:numId w:val="1003"/>
        </w:numPr>
      </w:pPr>
      <w:r>
        <w:rPr>
          <w:b/>
          <w:bCs/>
        </w:rPr>
        <w:t xml:space="preserve">Helium volumes may hold up or improve</w:t>
      </w:r>
      <w:r>
        <w:t xml:space="preserve"> </w:t>
      </w:r>
      <w:r>
        <w:t xml:space="preserve">as APD prioritizes strategic electronics and aerospace customers.</w:t>
      </w:r>
    </w:p>
    <w:p>
      <w:pPr>
        <w:pStyle w:val="Compact"/>
        <w:numPr>
          <w:ilvl w:val="0"/>
          <w:numId w:val="1003"/>
        </w:numPr>
      </w:pPr>
      <w:r>
        <w:rPr>
          <w:b/>
          <w:bCs/>
        </w:rPr>
        <w:t xml:space="preserve">Helium pricing can still hurt earnings</w:t>
      </w:r>
      <w:r>
        <w:t xml:space="preserve"> </w:t>
      </w:r>
      <w:r>
        <w:t xml:space="preserve">because legacy contract pricing resets lag spot-market dynamics.</w:t>
      </w:r>
    </w:p>
    <w:p>
      <w:pPr>
        <w:pStyle w:val="Compact"/>
        <w:numPr>
          <w:ilvl w:val="0"/>
          <w:numId w:val="1003"/>
        </w:numPr>
      </w:pPr>
      <w:r>
        <w:rPr>
          <w:b/>
          <w:bCs/>
        </w:rPr>
        <w:t xml:space="preserve">Non-helium price/cost recovery is the clean indicator of commercial execution.</w:t>
      </w:r>
    </w:p>
    <w:p>
      <w:pPr>
        <w:pStyle w:val="FirstParagraph"/>
      </w:pPr>
      <w:r>
        <w:t xml:space="preserve">A favorable result would feature continued positive non-helium pricing, no surprise deterioration in helium pricing, and evidence that long-term helium contracts are improving the quality—not merely the quantity—of APD’s business.</w:t>
      </w:r>
    </w:p>
    <w:bookmarkEnd w:id="12"/>
    <w:bookmarkStart w:id="13" w:name="X0859070fe96e5f07b22254d3e5675d4739950bb"/>
    <w:p>
      <w:pPr>
        <w:pStyle w:val="Heading3"/>
      </w:pPr>
      <w:r>
        <w:t xml:space="preserve">3. How much productivity is still available?</w:t>
      </w:r>
    </w:p>
    <w:p>
      <w:pPr>
        <w:pStyle w:val="FirstParagraph"/>
      </w:pPr>
      <w:r>
        <w:t xml:space="preserve">Productivity was a meaningful Q2 earnings contributor. APD reported roughly</w:t>
      </w:r>
      <w:r>
        <w:t xml:space="preserve"> </w:t>
      </w:r>
      <w:r>
        <w:rPr>
          <w:b/>
          <w:bCs/>
        </w:rPr>
        <w:t xml:space="preserve">$50M of year-to-date savings</w:t>
      </w:r>
      <w:r>
        <w:t xml:space="preserve"> </w:t>
      </w:r>
      <w:r>
        <w:t xml:space="preserve">from headcount reductions and said it remained on track with its annual cost plan. Productivity and lower depreciation helped offset fixed-cost inflation, maintenance, and other cost pressures.</w:t>
      </w:r>
    </w:p>
    <w:p>
      <w:pPr>
        <w:pStyle w:val="BodyText"/>
      </w:pPr>
      <w:r>
        <w:t xml:space="preserve">The report should clarify:</w:t>
      </w:r>
    </w:p>
    <w:p>
      <w:pPr>
        <w:pStyle w:val="Compact"/>
        <w:numPr>
          <w:ilvl w:val="0"/>
          <w:numId w:val="1004"/>
        </w:numPr>
      </w:pPr>
      <w:r>
        <w:t xml:space="preserve">Whether the savings cadence remains intact;</w:t>
      </w:r>
    </w:p>
    <w:p>
      <w:pPr>
        <w:pStyle w:val="Compact"/>
        <w:numPr>
          <w:ilvl w:val="0"/>
          <w:numId w:val="1004"/>
        </w:numPr>
      </w:pPr>
      <w:r>
        <w:t xml:space="preserve">Whether incremental cost reductions are becoming harder to capture;</w:t>
      </w:r>
    </w:p>
    <w:p>
      <w:pPr>
        <w:pStyle w:val="Compact"/>
        <w:numPr>
          <w:ilvl w:val="0"/>
          <w:numId w:val="1004"/>
        </w:numPr>
      </w:pPr>
      <w:r>
        <w:t xml:space="preserve">Whether Americas maintenance costs and the deferred turnaround now weighing on the second half are tracking as expected;</w:t>
      </w:r>
    </w:p>
    <w:p>
      <w:pPr>
        <w:pStyle w:val="Compact"/>
        <w:numPr>
          <w:ilvl w:val="0"/>
          <w:numId w:val="1004"/>
        </w:numPr>
      </w:pPr>
      <w:r>
        <w:t xml:space="preserve">Whether margin expansion can continue despite energy pass-through, which mechanically dilutes reported margins.</w:t>
      </w:r>
    </w:p>
    <w:p>
      <w:pPr>
        <w:pStyle w:val="FirstParagraph"/>
      </w:pPr>
      <w:r>
        <w:t xml:space="preserve">The target is not simply lower cost; it is</w:t>
      </w:r>
      <w:r>
        <w:t xml:space="preserve"> </w:t>
      </w:r>
      <w:r>
        <w:rPr>
          <w:b/>
          <w:bCs/>
        </w:rPr>
        <w:t xml:space="preserve">sustained operating-margin improvement</w:t>
      </w:r>
      <w:r>
        <w:t xml:space="preserve">. Q2’s 23.7% adjusted operating margin was up 210 basis points year over year.</w:t>
      </w:r>
    </w:p>
    <w:bookmarkEnd w:id="13"/>
    <w:bookmarkStart w:id="14" w:name="Xb3d557d5795520ec91821d22fa68c9822604c0c"/>
    <w:p>
      <w:pPr>
        <w:pStyle w:val="Heading3"/>
      </w:pPr>
      <w:r>
        <w:t xml:space="preserve">4. Capital discipline and the Louisiana decision are likely as important as EPS</w:t>
      </w:r>
    </w:p>
    <w:p>
      <w:pPr>
        <w:pStyle w:val="FirstParagraph"/>
      </w:pPr>
      <w:r>
        <w:t xml:space="preserve">This is arguably the largest strategic issue. In April, management said its base case was not to proceed with the Louisiana/Darrow clean-ammonia project absent acceptable construction economics and risk-adjusted returns. Subsequent June reporting indicated that the multibillion-dollar Louisiana hydrogen/carbon-capture project was being scrapped.</w:t>
      </w:r>
    </w:p>
    <w:p>
      <w:pPr>
        <w:pStyle w:val="BodyText"/>
      </w:pPr>
      <w:r>
        <w:t xml:space="preserve">That development could be viewed positively if it confirms a harder underwriting standard and frees capital for faster-return industrial-gas projects. APD had already highlighted its ability to redirect investment toward electronics, including the large Samsung semiconductor project in South Korea.</w:t>
      </w:r>
    </w:p>
    <w:p>
      <w:pPr>
        <w:pStyle w:val="BodyText"/>
      </w:pPr>
      <w:r>
        <w:t xml:space="preserve">Questions for management:</w:t>
      </w:r>
    </w:p>
    <w:p>
      <w:pPr>
        <w:pStyle w:val="Compact"/>
        <w:numPr>
          <w:ilvl w:val="0"/>
          <w:numId w:val="1005"/>
        </w:numPr>
      </w:pPr>
      <w:r>
        <w:t xml:space="preserve">Is the Louisiana decision final, and are there any remaining termination, impairment, or contractual costs?</w:t>
      </w:r>
    </w:p>
    <w:p>
      <w:pPr>
        <w:pStyle w:val="Compact"/>
        <w:numPr>
          <w:ilvl w:val="0"/>
          <w:numId w:val="1005"/>
        </w:numPr>
      </w:pPr>
      <w:r>
        <w:t xml:space="preserve">How much future capex has been avoided or redeployed?</w:t>
      </w:r>
    </w:p>
    <w:p>
      <w:pPr>
        <w:pStyle w:val="Compact"/>
        <w:numPr>
          <w:ilvl w:val="0"/>
          <w:numId w:val="1005"/>
        </w:numPr>
      </w:pPr>
      <w:r>
        <w:t xml:space="preserve">What are the preferred uses of released capital: electronics, aerospace, conventional on-site projects, debt reduction, or shareholder returns?</w:t>
      </w:r>
    </w:p>
    <w:p>
      <w:pPr>
        <w:pStyle w:val="Compact"/>
        <w:numPr>
          <w:ilvl w:val="0"/>
          <w:numId w:val="1005"/>
        </w:numPr>
      </w:pPr>
      <w:r>
        <w:t xml:space="preserve">Does the approximately</w:t>
      </w:r>
      <w:r>
        <w:t xml:space="preserve"> </w:t>
      </w:r>
      <w:r>
        <w:rPr>
          <w:b/>
          <w:bCs/>
        </w:rPr>
        <w:t xml:space="preserve">$4.0B FY2026 capex</w:t>
      </w:r>
      <w:r>
        <w:t xml:space="preserve"> </w:t>
      </w:r>
      <w:r>
        <w:t xml:space="preserve">guide remain unchanged?</w:t>
      </w:r>
    </w:p>
    <w:p>
      <w:pPr>
        <w:pStyle w:val="Compact"/>
        <w:numPr>
          <w:ilvl w:val="0"/>
          <w:numId w:val="1005"/>
        </w:numPr>
      </w:pPr>
      <w:r>
        <w:t xml:space="preserve">Is the company still on course to restore its targeted</w:t>
      </w:r>
      <w:r>
        <w:t xml:space="preserve"> </w:t>
      </w:r>
      <w:r>
        <w:rPr>
          <w:b/>
          <w:bCs/>
        </w:rPr>
        <w:t xml:space="preserve">A/A2</w:t>
      </w:r>
      <w:r>
        <w:t xml:space="preserve"> </w:t>
      </w:r>
      <w:r>
        <w:t xml:space="preserve">credit profile over time?</w:t>
      </w:r>
    </w:p>
    <w:p>
      <w:pPr>
        <w:pStyle w:val="FirstParagraph"/>
      </w:pPr>
      <w:r>
        <w:t xml:space="preserve">This matters because APD’s balance sheet and valuation have been sensitive to investor confidence in the economics and execution risk of its megaproject pipeline.</w:t>
      </w:r>
    </w:p>
    <w:bookmarkEnd w:id="14"/>
    <w:bookmarkStart w:id="15" w:name="X337491d45b48783c145b64f141d9241fccc42ab"/>
    <w:p>
      <w:pPr>
        <w:pStyle w:val="Heading3"/>
      </w:pPr>
      <w:r>
        <w:t xml:space="preserve">5. NEOM: operational progress versus commercial and geopolitical risk</w:t>
      </w:r>
    </w:p>
    <w:p>
      <w:pPr>
        <w:pStyle w:val="FirstParagraph"/>
      </w:pPr>
      <w:r>
        <w:t xml:space="preserve">NEOM remains the most consequential remaining clean-energy project. At the end of Q2, APD said the renewable-power portion was essentially complete and that the project was advancing toward commissioning of hydrogen and ammonia plants. The company also said its negotiations with Yara on marketing and distribution were progressing.</w:t>
      </w:r>
    </w:p>
    <w:p>
      <w:pPr>
        <w:pStyle w:val="BodyText"/>
      </w:pPr>
      <w:r>
        <w:t xml:space="preserve">Investors will want an update on:</w:t>
      </w:r>
    </w:p>
    <w:p>
      <w:pPr>
        <w:pStyle w:val="Compact"/>
        <w:numPr>
          <w:ilvl w:val="0"/>
          <w:numId w:val="1006"/>
        </w:numPr>
      </w:pPr>
      <w:r>
        <w:t xml:space="preserve">Renewable-power commissioning and the start of plant commissioning;</w:t>
      </w:r>
    </w:p>
    <w:p>
      <w:pPr>
        <w:pStyle w:val="Compact"/>
        <w:numPr>
          <w:ilvl w:val="0"/>
          <w:numId w:val="1006"/>
        </w:numPr>
      </w:pPr>
      <w:r>
        <w:t xml:space="preserve">The timing and economics of the Yara marketing/distribution agreement;</w:t>
      </w:r>
    </w:p>
    <w:p>
      <w:pPr>
        <w:pStyle w:val="Compact"/>
        <w:numPr>
          <w:ilvl w:val="0"/>
          <w:numId w:val="1006"/>
        </w:numPr>
      </w:pPr>
      <w:r>
        <w:t xml:space="preserve">Project cost, funding, and schedule discipline;</w:t>
      </w:r>
    </w:p>
    <w:p>
      <w:pPr>
        <w:pStyle w:val="Compact"/>
        <w:numPr>
          <w:ilvl w:val="0"/>
          <w:numId w:val="1006"/>
        </w:numPr>
      </w:pPr>
      <w:r>
        <w:t xml:space="preserve">Whether Middle East geopolitical developments have affected personnel safety, logistics, construction activity, financing, or expected startup timing.</w:t>
      </w:r>
    </w:p>
    <w:p>
      <w:pPr>
        <w:pStyle w:val="FirstParagraph"/>
      </w:pPr>
      <w:r>
        <w:t xml:space="preserve">NEOM project financing is largely non-recourse to APD, but the project is consolidated in APD’s financial statements and remains important to the company’s capital intensity, strategic narrative, and long-term earnings outlook.</w:t>
      </w:r>
    </w:p>
    <w:bookmarkEnd w:id="15"/>
    <w:bookmarkStart w:id="16" w:name="X0a8c82609637a7eeddd25a8f1cba86981dfb36b"/>
    <w:p>
      <w:pPr>
        <w:pStyle w:val="Heading3"/>
      </w:pPr>
      <w:r>
        <w:t xml:space="preserve">6. Helium supply resilience is being tested in real time</w:t>
      </w:r>
    </w:p>
    <w:p>
      <w:pPr>
        <w:pStyle w:val="FirstParagraph"/>
      </w:pPr>
      <w:r>
        <w:t xml:space="preserve">APD entered the year with a helium pricing problem; it now faces a supply-chain resilience test as well. Management has pointed to multiple supply sources, a dedicated Texas storage cavern, U.S. liquefaction capacity, and a large ISO-container fleet as tools to protect strategic customers during disruptions from Qatar and the broader Middle East.</w:t>
      </w:r>
    </w:p>
    <w:p>
      <w:pPr>
        <w:pStyle w:val="BodyText"/>
      </w:pPr>
      <w:r>
        <w:t xml:space="preserve">The July escalation in regional energy and shipping tensions raises the stakes. The key items to watch are:</w:t>
      </w:r>
    </w:p>
    <w:p>
      <w:pPr>
        <w:pStyle w:val="Compact"/>
        <w:numPr>
          <w:ilvl w:val="0"/>
          <w:numId w:val="1007"/>
        </w:numPr>
      </w:pPr>
      <w:r>
        <w:t xml:space="preserve">Any change in APD’s ability to supply contracted helium volumes;</w:t>
      </w:r>
    </w:p>
    <w:p>
      <w:pPr>
        <w:pStyle w:val="Compact"/>
        <w:numPr>
          <w:ilvl w:val="0"/>
          <w:numId w:val="1007"/>
        </w:numPr>
      </w:pPr>
      <w:r>
        <w:t xml:space="preserve">Whether the company has had to allocate supply or alter customer mix;</w:t>
      </w:r>
    </w:p>
    <w:p>
      <w:pPr>
        <w:pStyle w:val="Compact"/>
        <w:numPr>
          <w:ilvl w:val="0"/>
          <w:numId w:val="1007"/>
        </w:numPr>
      </w:pPr>
      <w:r>
        <w:t xml:space="preserve">Higher logistics, sourcing, storage, or liquefaction costs;</w:t>
      </w:r>
    </w:p>
    <w:p>
      <w:pPr>
        <w:pStyle w:val="Compact"/>
        <w:numPr>
          <w:ilvl w:val="0"/>
          <w:numId w:val="1007"/>
        </w:numPr>
      </w:pPr>
      <w:r>
        <w:t xml:space="preserve">The durability of management’s assumption that helium pricing pressure should ease later in 2026.</w:t>
      </w:r>
    </w:p>
    <w:p>
      <w:pPr>
        <w:pStyle w:val="FirstParagraph"/>
      </w:pPr>
      <w:r>
        <w:t xml:space="preserve">The bull case is that APD’s supply chain becomes a competitive advantage and helps it secure longer-dated customer contracts. The bear case is that a prolonged disruption raises costs, constrains high-value volumes, or further delays a pricing recovery.</w:t>
      </w:r>
    </w:p>
    <w:bookmarkEnd w:id="16"/>
    <w:bookmarkEnd w:id="17"/>
    <w:bookmarkStart w:id="18" w:name="segment-scorecard"/>
    <w:p>
      <w:pPr>
        <w:pStyle w:val="Heading2"/>
      </w:pPr>
      <w:r>
        <w:t xml:space="preserve">Segment scorecard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Segment</w:t>
            </w:r>
          </w:p>
        </w:tc>
        <w:tc>
          <w:tcPr/>
          <w:p>
            <w:pPr>
              <w:pStyle w:val="Compact"/>
              <w:jc w:val="right"/>
            </w:pPr>
            <w:r>
              <w:t xml:space="preserve">Q2 operating-income growth</w:t>
            </w:r>
          </w:p>
        </w:tc>
        <w:tc>
          <w:tcPr/>
          <w:p>
            <w:pPr>
              <w:pStyle w:val="Compact"/>
            </w:pPr>
            <w:r>
              <w:t xml:space="preserve">Q3 focus</w:t>
            </w:r>
          </w:p>
        </w:tc>
      </w:tr>
      <w:tr>
        <w:tc>
          <w:tcPr/>
          <w:p>
            <w:pPr>
              <w:pStyle w:val="Compact"/>
            </w:pPr>
            <w:r>
              <w:rPr>
                <w:b/>
                <w:bCs/>
              </w:rPr>
              <w:t xml:space="preserve">Americas</w:t>
            </w:r>
          </w:p>
        </w:tc>
        <w:tc>
          <w:tcPr/>
          <w:p>
            <w:pPr>
              <w:pStyle w:val="Compact"/>
              <w:jc w:val="right"/>
            </w:pPr>
            <w:r>
              <w:t xml:space="preserve">+2%</w:t>
            </w:r>
          </w:p>
        </w:tc>
        <w:tc>
          <w:tcPr/>
          <w:p>
            <w:pPr>
              <w:pStyle w:val="Compact"/>
            </w:pPr>
            <w:r>
              <w:t xml:space="preserve">HyCO/refinery volume, maintenance costs, merchant pricing, helium</w:t>
            </w:r>
          </w:p>
        </w:tc>
      </w:tr>
      <w:tr>
        <w:tc>
          <w:tcPr/>
          <w:p>
            <w:pPr>
              <w:pStyle w:val="Compact"/>
            </w:pPr>
            <w:r>
              <w:rPr>
                <w:b/>
                <w:bCs/>
              </w:rPr>
              <w:t xml:space="preserve">Asia</w:t>
            </w:r>
          </w:p>
        </w:tc>
        <w:tc>
          <w:tcPr/>
          <w:p>
            <w:pPr>
              <w:pStyle w:val="Compact"/>
              <w:jc w:val="right"/>
            </w:pPr>
            <w:r>
              <w:t xml:space="preserve">+25%</w:t>
            </w:r>
          </w:p>
        </w:tc>
        <w:tc>
          <w:tcPr/>
          <w:p>
            <w:pPr>
              <w:pStyle w:val="Compact"/>
            </w:pPr>
            <w:r>
              <w:t xml:space="preserve">New-asset ramp, electronics demand, China pricing and gasification economics</w:t>
            </w:r>
          </w:p>
        </w:tc>
      </w:tr>
      <w:tr>
        <w:tc>
          <w:tcPr/>
          <w:p>
            <w:pPr>
              <w:pStyle w:val="Compact"/>
            </w:pPr>
            <w:r>
              <w:rPr>
                <w:b/>
                <w:bCs/>
              </w:rPr>
              <w:t xml:space="preserve">Europe</w:t>
            </w:r>
          </w:p>
        </w:tc>
        <w:tc>
          <w:tcPr/>
          <w:p>
            <w:pPr>
              <w:pStyle w:val="Compact"/>
              <w:jc w:val="right"/>
            </w:pPr>
            <w:r>
              <w:t xml:space="preserve">+8%</w:t>
            </w:r>
          </w:p>
        </w:tc>
        <w:tc>
          <w:tcPr/>
          <w:p>
            <w:pPr>
              <w:pStyle w:val="Compact"/>
            </w:pPr>
            <w:r>
              <w:t xml:space="preserve">Industrial activity, energy-cost pressure, margin durability</w:t>
            </w:r>
          </w:p>
        </w:tc>
      </w:tr>
      <w:tr>
        <w:tc>
          <w:tcPr/>
          <w:p>
            <w:pPr>
              <w:pStyle w:val="Compact"/>
            </w:pPr>
            <w:r>
              <w:rPr>
                <w:b/>
                <w:bCs/>
              </w:rPr>
              <w:t xml:space="preserve">Middle East &amp; India</w:t>
            </w:r>
          </w:p>
        </w:tc>
        <w:tc>
          <w:tcPr/>
          <w:p>
            <w:pPr>
              <w:pStyle w:val="Compact"/>
              <w:jc w:val="right"/>
            </w:pPr>
            <w:r>
              <w:t xml:space="preserve">Improved to profit</w:t>
            </w:r>
          </w:p>
        </w:tc>
        <w:tc>
          <w:tcPr/>
          <w:p>
            <w:pPr>
              <w:pStyle w:val="Compact"/>
            </w:pPr>
            <w:r>
              <w:t xml:space="preserve">Equity income, geopolitical continuity, NEOM execution</w:t>
            </w:r>
          </w:p>
        </w:tc>
      </w:tr>
      <w:tr>
        <w:tc>
          <w:tcPr/>
          <w:p>
            <w:pPr>
              <w:pStyle w:val="Compact"/>
            </w:pPr>
            <w:r>
              <w:rPr>
                <w:b/>
                <w:bCs/>
              </w:rPr>
              <w:t xml:space="preserve">Corporate &amp; other</w:t>
            </w:r>
          </w:p>
        </w:tc>
        <w:tc>
          <w:tcPr/>
          <w:p>
            <w:pPr>
              <w:pStyle w:val="Compact"/>
              <w:jc w:val="right"/>
            </w:pPr>
            <w:r>
              <w:t xml:space="preserve">Loss improved 35%</w:t>
            </w:r>
          </w:p>
        </w:tc>
        <w:tc>
          <w:tcPr/>
          <w:p>
            <w:pPr>
              <w:pStyle w:val="Compact"/>
            </w:pPr>
            <w:r>
              <w:t xml:space="preserve">Equipment-project estimate variability and ongoing productivity</w:t>
            </w:r>
          </w:p>
        </w:tc>
      </w:tr>
    </w:tbl>
    <w:p>
      <w:pPr>
        <w:pStyle w:val="BodyText"/>
      </w:pPr>
      <w:r>
        <w:t xml:space="preserve">Asia has become the clearest near-term operational swing factor after delivering strong volume, productivity, and margin performance in Q2. Americas remains the largest earnings pool and should benefit from high refinery utilization, although maintenance and energy pass-through can obscure underlying margin performance. Europe is the macro risk.</w:t>
      </w:r>
    </w:p>
    <w:bookmarkEnd w:id="18"/>
    <w:bookmarkStart w:id="19" w:name="financial-position-considerations"/>
    <w:p>
      <w:pPr>
        <w:pStyle w:val="Heading2"/>
      </w:pPr>
      <w:r>
        <w:t xml:space="preserve">Financial-position considerations</w:t>
      </w:r>
    </w:p>
    <w:p>
      <w:pPr>
        <w:pStyle w:val="FirstParagraph"/>
      </w:pPr>
      <w:r>
        <w:t xml:space="preserve">APD generated</w:t>
      </w:r>
      <w:r>
        <w:t xml:space="preserve"> </w:t>
      </w:r>
      <m:oMath>
        <m:r>
          <m:t>2.0</m:t>
        </m:r>
        <m:r>
          <m:t>B</m:t>
        </m:r>
        <m:r>
          <m:t>o</m:t>
        </m:r>
        <m:r>
          <m:t>f</m:t>
        </m:r>
        <m:r>
          <m:t>o</m:t>
        </m:r>
        <m:r>
          <m:t>p</m:t>
        </m:r>
        <m:r>
          <m:t>e</m:t>
        </m:r>
        <m:r>
          <m:t>r</m:t>
        </m:r>
        <m:r>
          <m:t>a</m:t>
        </m:r>
        <m:r>
          <m:t>t</m:t>
        </m:r>
        <m:r>
          <m:t>i</m:t>
        </m:r>
        <m:r>
          <m:t>n</m:t>
        </m:r>
        <m:r>
          <m:t>g</m:t>
        </m:r>
        <m:r>
          <m:t>c</m:t>
        </m:r>
        <m:r>
          <m:t>a</m:t>
        </m:r>
        <m:r>
          <m:t>s</m:t>
        </m:r>
        <m:r>
          <m:t>h</m:t>
        </m:r>
        <m:r>
          <m:t>f</m:t>
        </m:r>
        <m:r>
          <m:t>l</m:t>
        </m:r>
        <m:r>
          <m:t>o</m:t>
        </m:r>
        <m:r>
          <m:t>w</m:t>
        </m:r>
        <m:r>
          <m:rPr>
            <m:sty m:val="p"/>
          </m:rPr>
          <m:t>*</m:t>
        </m:r>
        <m:r>
          <m:rPr>
            <m:sty m:val="p"/>
          </m:rPr>
          <m:t>*</m:t>
        </m:r>
        <m:r>
          <m:t>i</m:t>
        </m:r>
        <m:r>
          <m:t>n</m:t>
        </m:r>
        <m:r>
          <m:t>t</m:t>
        </m:r>
        <m:r>
          <m:t>h</m:t>
        </m:r>
        <m:r>
          <m:t>e</m:t>
        </m:r>
        <m:r>
          <m:t>f</m:t>
        </m:r>
        <m:r>
          <m:t>i</m:t>
        </m:r>
        <m:r>
          <m:t>r</m:t>
        </m:r>
        <m:r>
          <m:t>s</m:t>
        </m:r>
        <m:r>
          <m:t>t</m:t>
        </m:r>
        <m:r>
          <m:t>h</m:t>
        </m:r>
        <m:r>
          <m:t>a</m:t>
        </m:r>
        <m:r>
          <m:t>l</m:t>
        </m:r>
        <m:r>
          <m:t>f</m:t>
        </m:r>
        <m:r>
          <m:rPr>
            <m:sty m:val="p"/>
          </m:rPr>
          <m:t>,</m:t>
        </m:r>
        <m:r>
          <m:t>w</m:t>
        </m:r>
        <m:r>
          <m:t>h</m:t>
        </m:r>
        <m:r>
          <m:t>i</m:t>
        </m:r>
        <m:r>
          <m:t>l</m:t>
        </m:r>
        <m:r>
          <m:t>e</m:t>
        </m:r>
        <m:r>
          <m:t>r</m:t>
        </m:r>
        <m:r>
          <m:t>e</m:t>
        </m:r>
        <m:r>
          <m:t>p</m:t>
        </m:r>
        <m:r>
          <m:t>o</m:t>
        </m:r>
        <m:r>
          <m:t>r</m:t>
        </m:r>
        <m:r>
          <m:t>t</m:t>
        </m:r>
        <m:r>
          <m:t>e</m:t>
        </m:r>
        <m:r>
          <m:t>d</m:t>
        </m:r>
        <m:r>
          <m:t>c</m:t>
        </m:r>
        <m:r>
          <m:t>a</m:t>
        </m:r>
        <m:r>
          <m:t>p</m:t>
        </m:r>
        <m:r>
          <m:t>i</m:t>
        </m:r>
        <m:r>
          <m:t>t</m:t>
        </m:r>
        <m:r>
          <m:t>a</m:t>
        </m:r>
        <m:r>
          <m:t>l</m:t>
        </m:r>
        <m:r>
          <m:t>e</m:t>
        </m:r>
        <m:r>
          <m:t>x</m:t>
        </m:r>
        <m:r>
          <m:t>p</m:t>
        </m:r>
        <m:r>
          <m:t>e</m:t>
        </m:r>
        <m:r>
          <m:t>n</m:t>
        </m:r>
        <m:r>
          <m:t>d</m:t>
        </m:r>
        <m:r>
          <m:t>i</m:t>
        </m:r>
        <m:r>
          <m:t>t</m:t>
        </m:r>
        <m:r>
          <m:t>u</m:t>
        </m:r>
        <m:r>
          <m:t>r</m:t>
        </m:r>
        <m:r>
          <m:t>e</m:t>
        </m:r>
        <m:r>
          <m:t>s</m:t>
        </m:r>
        <m:r>
          <m:t>w</m:t>
        </m:r>
        <m:r>
          <m:t>e</m:t>
        </m:r>
        <m:r>
          <m:t>r</m:t>
        </m:r>
        <m:r>
          <m:t>e</m:t>
        </m:r>
        <m:r>
          <m:rPr>
            <m:sty m:val="p"/>
          </m:rPr>
          <m:t>*</m:t>
        </m:r>
        <m:r>
          <m:rPr>
            <m:sty m:val="p"/>
          </m:rPr>
          <m:t>*</m:t>
        </m:r>
      </m:oMath>
      <w:r>
        <w:rPr>
          <w:b/>
          <w:bCs/>
        </w:rPr>
        <w:t xml:space="preserve">1.8B</w:t>
      </w:r>
      <w:r>
        <w:t xml:space="preserve"> </w:t>
      </w:r>
      <w:r>
        <w:t xml:space="preserve">on the company’s adjusted definition. The balance sheet carried roughly</w:t>
      </w:r>
      <w:r>
        <w:t xml:space="preserve"> </w:t>
      </w:r>
      <w:r>
        <w:rPr>
          <w:b/>
          <w:bCs/>
        </w:rPr>
        <w:t xml:space="preserve">$17.8B of total debt</w:t>
      </w:r>
      <w:r>
        <w:t xml:space="preserve"> </w:t>
      </w:r>
      <w:r>
        <w:t xml:space="preserve">at March 31, including substantial non-recourse financing associated with NEOM. Management cited net debt/EBITDA of 2.2x in Q2.</w:t>
      </w:r>
    </w:p>
    <w:p>
      <w:pPr>
        <w:pStyle w:val="BodyText"/>
      </w:pPr>
      <w:r>
        <w:t xml:space="preserve">The capital story is improving versus the prior year: first-half capital expenditures fell materially, and APD was targeting more than a $1B reduction in FY2026 spending. Still, investors should distinguish between better capex discipline and truly improving free-cash-flow conversion, especially while the company remains in a heavy investment cycle.</w:t>
      </w:r>
    </w:p>
    <w:bookmarkEnd w:id="19"/>
    <w:bookmarkStart w:id="20" w:name="stock-setup"/>
    <w:p>
      <w:pPr>
        <w:pStyle w:val="Heading2"/>
      </w:pPr>
      <w:r>
        <w:t xml:space="preserve">Stock setup</w:t>
      </w:r>
    </w:p>
    <w:p>
      <w:pPr>
        <w:pStyle w:val="FirstParagraph"/>
      </w:pPr>
      <w:r>
        <w:t xml:space="preserve">APD closed at</w:t>
      </w:r>
      <w:r>
        <w:t xml:space="preserve"> </w:t>
      </w:r>
      <m:oMath>
        <m:r>
          <m:t>294.40</m:t>
        </m:r>
        <m:r>
          <m:t>o</m:t>
        </m:r>
        <m:r>
          <m:t>n</m:t>
        </m:r>
        <m:r>
          <m:t>J</m:t>
        </m:r>
        <m:r>
          <m:t>u</m:t>
        </m:r>
        <m:r>
          <m:t>l</m:t>
        </m:r>
        <m:r>
          <m:t>y</m:t>
        </m:r>
        <m:r>
          <m:t>29</m:t>
        </m:r>
        <m:r>
          <m:rPr>
            <m:sty m:val="p"/>
          </m:rPr>
          <m:t>*</m:t>
        </m:r>
        <m:r>
          <m:rPr>
            <m:sty m:val="p"/>
          </m:rPr>
          <m:t>*</m:t>
        </m:r>
        <m:r>
          <m:rPr>
            <m:sty m:val="p"/>
          </m:rPr>
          <m:t>,</m:t>
        </m:r>
        <m:r>
          <m:t>v</m:t>
        </m:r>
        <m:r>
          <m:t>e</m:t>
        </m:r>
        <m:r>
          <m:t>r</m:t>
        </m:r>
        <m:r>
          <m:t>s</m:t>
        </m:r>
        <m:r>
          <m:t>u</m:t>
        </m:r>
        <m:r>
          <m:t>s</m:t>
        </m:r>
        <m:r>
          <m:rPr>
            <m:sty m:val="p"/>
          </m:rPr>
          <m:t>*</m:t>
        </m:r>
        <m:r>
          <m:rPr>
            <m:sty m:val="p"/>
          </m:rPr>
          <m:t>*</m:t>
        </m:r>
      </m:oMath>
      <w:r>
        <w:rPr>
          <w:b/>
          <w:bCs/>
        </w:rPr>
        <w:t xml:space="preserve">300.05 on April 30</w:t>
      </w:r>
      <w:r>
        <w:t xml:space="preserve">, the date of the Q2 release—a decline of about</w:t>
      </w:r>
      <w:r>
        <w:t xml:space="preserve"> </w:t>
      </w:r>
      <w:r>
        <w:rPr>
          <w:b/>
          <w:bCs/>
        </w:rPr>
        <w:t xml:space="preserve">1.9%</w:t>
      </w:r>
      <w:r>
        <w:t xml:space="preserve">. The stock’s muted net move masks a volatile period shaped by the Louisiana-project decision, changing sentiment on AI/semiconductor capital spending, and Middle East-driven energy-market uncertainty.</w:t>
      </w:r>
    </w:p>
    <w:p>
      <w:pPr>
        <w:pStyle w:val="BodyText"/>
      </w:pPr>
      <w:r>
        <w:t xml:space="preserve">That setup suggests the market may reward a report that does more than meet EPS guidance: it needs to validate that APD can convert its project reset into a cleaner, more cash-disciplined growth profile.</w:t>
      </w:r>
    </w:p>
    <w:bookmarkEnd w:id="20"/>
    <w:bookmarkStart w:id="21" w:name="what-would-constitute-a-bullish-report"/>
    <w:p>
      <w:pPr>
        <w:pStyle w:val="Heading2"/>
      </w:pPr>
      <w:r>
        <w:t xml:space="preserve">What would constitute a bullish report?</w:t>
      </w:r>
    </w:p>
    <w:p>
      <w:pPr>
        <w:pStyle w:val="Compact"/>
        <w:numPr>
          <w:ilvl w:val="0"/>
          <w:numId w:val="1008"/>
        </w:numPr>
      </w:pPr>
      <w:r>
        <w:t xml:space="preserve">Adjusted EPS above the</w:t>
      </w:r>
      <w:r>
        <w:t xml:space="preserve"> </w:t>
      </w:r>
      <m:oMath>
        <m:r>
          <m:t>3.25</m:t>
        </m:r>
        <m:r>
          <m:rPr>
            <m:sty m:val="p"/>
          </m:rPr>
          <m:t>–</m:t>
        </m:r>
      </m:oMath>
      <w:r>
        <w:t xml:space="preserve">3.35 range, or a raise to FY2026 guidance;</w:t>
      </w:r>
    </w:p>
    <w:p>
      <w:pPr>
        <w:pStyle w:val="Compact"/>
        <w:numPr>
          <w:ilvl w:val="0"/>
          <w:numId w:val="1008"/>
        </w:numPr>
      </w:pPr>
      <w:r>
        <w:t xml:space="preserve">Sustained on-site volume growth, especially in Americas HyCO and Asia;</w:t>
      </w:r>
    </w:p>
    <w:p>
      <w:pPr>
        <w:pStyle w:val="Compact"/>
        <w:numPr>
          <w:ilvl w:val="0"/>
          <w:numId w:val="1008"/>
        </w:numPr>
      </w:pPr>
      <w:r>
        <w:t xml:space="preserve">Continued non-helium pricing improvement and contained helium pressure;</w:t>
      </w:r>
    </w:p>
    <w:p>
      <w:pPr>
        <w:pStyle w:val="Compact"/>
        <w:numPr>
          <w:ilvl w:val="0"/>
          <w:numId w:val="1008"/>
        </w:numPr>
      </w:pPr>
      <w:r>
        <w:t xml:space="preserve">Incremental productivity savings and stable-to-improving margins;</w:t>
      </w:r>
    </w:p>
    <w:p>
      <w:pPr>
        <w:pStyle w:val="Compact"/>
        <w:numPr>
          <w:ilvl w:val="0"/>
          <w:numId w:val="1008"/>
        </w:numPr>
      </w:pPr>
      <w:r>
        <w:t xml:space="preserve">Clear confirmation that Louisiana capital has been preserved or redeployed into higher-return electronics/aerospace opportunities;</w:t>
      </w:r>
    </w:p>
    <w:p>
      <w:pPr>
        <w:pStyle w:val="Compact"/>
        <w:numPr>
          <w:ilvl w:val="0"/>
          <w:numId w:val="1008"/>
        </w:numPr>
      </w:pPr>
      <w:r>
        <w:t xml:space="preserve">Concrete NEOM commissioning and commercial-progress milestones;</w:t>
      </w:r>
    </w:p>
    <w:p>
      <w:pPr>
        <w:pStyle w:val="Compact"/>
        <w:numPr>
          <w:ilvl w:val="0"/>
          <w:numId w:val="1008"/>
        </w:numPr>
      </w:pPr>
      <w:r>
        <w:t xml:space="preserve">Reassurance that helium supply disruptions have not affected strategic-customer service or FY2026 outlook.</w:t>
      </w:r>
    </w:p>
    <w:bookmarkEnd w:id="21"/>
    <w:bookmarkStart w:id="22" w:name="what-would-concern-investors"/>
    <w:p>
      <w:pPr>
        <w:pStyle w:val="Heading2"/>
      </w:pPr>
      <w:r>
        <w:t xml:space="preserve">What would concern investors?</w:t>
      </w:r>
    </w:p>
    <w:p>
      <w:pPr>
        <w:pStyle w:val="Compact"/>
        <w:numPr>
          <w:ilvl w:val="0"/>
          <w:numId w:val="1009"/>
        </w:numPr>
      </w:pPr>
      <w:r>
        <w:t xml:space="preserve">A Q3 miss or unchanged full-year guide paired with weaker Q4 implied earnings;</w:t>
      </w:r>
    </w:p>
    <w:p>
      <w:pPr>
        <w:pStyle w:val="Compact"/>
        <w:numPr>
          <w:ilvl w:val="0"/>
          <w:numId w:val="1009"/>
        </w:numPr>
      </w:pPr>
      <w:r>
        <w:t xml:space="preserve">Softer Asia or Europe volumes, especially if attributed to customer shutdowns or supply-chain disruption;</w:t>
      </w:r>
    </w:p>
    <w:p>
      <w:pPr>
        <w:pStyle w:val="Compact"/>
        <w:numPr>
          <w:ilvl w:val="0"/>
          <w:numId w:val="1009"/>
        </w:numPr>
      </w:pPr>
      <w:r>
        <w:t xml:space="preserve">Greater-than-expected helium margin pressure, logistics costs, or customer allocation;</w:t>
      </w:r>
    </w:p>
    <w:p>
      <w:pPr>
        <w:pStyle w:val="Compact"/>
        <w:numPr>
          <w:ilvl w:val="0"/>
          <w:numId w:val="1009"/>
        </w:numPr>
      </w:pPr>
      <w:r>
        <w:t xml:space="preserve">Further project charges, unfavorable equipment-project estimate revisions, or capex slippage;</w:t>
      </w:r>
    </w:p>
    <w:p>
      <w:pPr>
        <w:pStyle w:val="Compact"/>
        <w:numPr>
          <w:ilvl w:val="0"/>
          <w:numId w:val="1009"/>
        </w:numPr>
      </w:pPr>
      <w:r>
        <w:t xml:space="preserve">A more cautious NEOM timeline, commercial-offtake uncertainty, or geopolitical impact;</w:t>
      </w:r>
    </w:p>
    <w:p>
      <w:pPr>
        <w:pStyle w:val="Compact"/>
        <w:numPr>
          <w:ilvl w:val="0"/>
          <w:numId w:val="1009"/>
        </w:numPr>
      </w:pPr>
      <w:r>
        <w:t xml:space="preserve">Evidence that refinery-driven strength is temporary while broader industrial demand remains weak.</w:t>
      </w:r>
    </w:p>
    <w:bookmarkEnd w:id="22"/>
    <w:bookmarkStart w:id="24" w:name="bottom-line"/>
    <w:p>
      <w:pPr>
        <w:pStyle w:val="Heading2"/>
      </w:pPr>
      <w:r>
        <w:t xml:space="preserve">Bottom line</w:t>
      </w:r>
    </w:p>
    <w:p>
      <w:pPr>
        <w:pStyle w:val="FirstParagraph"/>
      </w:pPr>
      <w:r>
        <w:rPr>
          <w:b/>
          <w:bCs/>
        </w:rPr>
        <w:t xml:space="preserve">APD’s Q3 report is primarily a quality-of-earnings and capital-allocation test.</w:t>
      </w:r>
      <w:r>
        <w:t xml:space="preserve"> </w:t>
      </w:r>
      <w:r>
        <w:t xml:space="preserve">Management has already demonstrated that the base business can grow earnings through volumes, pricing actions, productivity, and new assets. The more consequential question is whether APD can make that performance durable while decisively lowering the risk, capital intensity, and execution uncertainty associated with its clean-energy portfolio.</w:t>
      </w:r>
    </w:p>
    <w:p>
      <w:pPr>
        <w:pStyle w:val="BodyText"/>
      </w:pPr>
      <w:r>
        <w:t xml:space="preserve">A clean Q3 delivery, stable full-year outlook, firm conventional-gases demand, and a credible capital-redeployment message could support a more constructive re-rating. Conversely, any evidence that helium disruption, industrial softness, or unresolved project costs are eroding the second-half trajectory would likely outweigh a modest EPS beat.</w:t>
      </w:r>
    </w:p>
    <w:bookmarkStart w:id="23" w:name="primary-materials-reviewed"/>
    <w:p>
      <w:pPr>
        <w:pStyle w:val="Heading3"/>
      </w:pPr>
      <w:r>
        <w:t xml:space="preserve">Primary materials reviewed</w:t>
      </w:r>
    </w:p>
    <w:p>
      <w:pPr>
        <w:pStyle w:val="Compact"/>
        <w:numPr>
          <w:ilvl w:val="0"/>
          <w:numId w:val="1010"/>
        </w:numPr>
      </w:pPr>
      <w:r>
        <w:t xml:space="preserve">Air Products FY2026 Q2 earnings release and earnings-call transcript, April 30, 2026</w:t>
      </w:r>
    </w:p>
    <w:p>
      <w:pPr>
        <w:pStyle w:val="Compact"/>
        <w:numPr>
          <w:ilvl w:val="0"/>
          <w:numId w:val="1010"/>
        </w:numPr>
      </w:pPr>
      <w:r>
        <w:t xml:space="preserve">Air Products FY2026 Q2 Form 10-Q, quarter ended March 31, 2026</w:t>
      </w:r>
    </w:p>
    <w:p>
      <w:pPr>
        <w:pStyle w:val="Compact"/>
        <w:numPr>
          <w:ilvl w:val="0"/>
          <w:numId w:val="1010"/>
        </w:numPr>
      </w:pPr>
      <w:r>
        <w:t xml:space="preserve">Recent market and company-news monitoring through July 29, 2026</w:t>
      </w:r>
    </w:p>
    <w:bookmarkEnd w:id="23"/>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2026-07-29T17:52:18Z</dcterms:created>
  <dcterms:modified xsi:type="dcterms:W3CDTF">2026-07-29T17:52:18Z</dcterms:modified>
</cp:coreProperties>
</file>

<file path=docProps/custom.xml><?xml version="1.0" encoding="utf-8"?>
<Properties xmlns="http://schemas.openxmlformats.org/officeDocument/2006/custom-properties" xmlns:vt="http://schemas.openxmlformats.org/officeDocument/2006/docPropsVTypes"/>
</file>