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Air Products and Chemicals (APD)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Air Products and Chemicals, Inc.</w:t>
            </w:r>
          </w:p>
        </w:tc>
      </w:tr>
      <w:tr>
        <w:tc>
          <w:tcPr>
            <w:tcW w:type="dxa" w:w="4320"/>
          </w:tcPr>
          <w:p>
            <w:r>
              <w:rPr>
                <w:rFonts w:ascii="Calibri" w:hAnsi="Calibri"/>
                <w:b/>
                <w:sz w:val="22"/>
              </w:rPr>
              <w:t>Ticker</w:t>
            </w:r>
          </w:p>
        </w:tc>
        <w:tc>
          <w:tcPr>
            <w:tcW w:type="dxa" w:w="4320"/>
          </w:tcPr>
          <w:p>
            <w:r>
              <w:rPr>
                <w:rFonts w:ascii="Calibri" w:hAnsi="Calibri"/>
                <w:sz w:val="22"/>
              </w:rPr>
              <w:t>APD (NYSE)</w:t>
            </w:r>
          </w:p>
        </w:tc>
      </w:tr>
      <w:tr>
        <w:tc>
          <w:tcPr>
            <w:tcW w:type="dxa" w:w="4320"/>
          </w:tcPr>
          <w:p>
            <w:r>
              <w:rPr>
                <w:rFonts w:ascii="Calibri" w:hAnsi="Calibri"/>
                <w:b/>
                <w:sz w:val="22"/>
              </w:rPr>
              <w:t>Upcoming Earnings Date</w:t>
            </w:r>
          </w:p>
        </w:tc>
        <w:tc>
          <w:tcPr>
            <w:tcW w:type="dxa" w:w="4320"/>
          </w:tcPr>
          <w:p>
            <w:r>
              <w:rPr>
                <w:rFonts w:ascii="Calibri" w:hAnsi="Calibri"/>
                <w:sz w:val="22"/>
              </w:rPr>
              <w:t>July 30, 2026</w:t>
            </w:r>
          </w:p>
        </w:tc>
      </w:tr>
      <w:tr>
        <w:tc>
          <w:tcPr>
            <w:tcW w:type="dxa" w:w="4320"/>
          </w:tcPr>
          <w:p>
            <w:r>
              <w:rPr>
                <w:rFonts w:ascii="Calibri" w:hAnsi="Calibri"/>
                <w:b/>
                <w:sz w:val="22"/>
              </w:rPr>
              <w:t>Reporting Period</w:t>
            </w:r>
          </w:p>
        </w:tc>
        <w:tc>
          <w:tcPr>
            <w:tcW w:type="dxa" w:w="4320"/>
          </w:tcPr>
          <w:p>
            <w:r>
              <w:rPr>
                <w:rFonts w:ascii="Calibri" w:hAnsi="Calibri"/>
                <w:sz w:val="22"/>
              </w:rPr>
              <w:t>Q3 FY2026 (quarter ending June 30, 2026)</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is </w:t>
      </w:r>
      <w:r>
        <w:rPr>
          <w:rFonts w:ascii="Calibri" w:hAnsi="Calibri"/>
          <w:b/>
          <w:color w:val="525866"/>
          <w:sz w:val="22"/>
        </w:rPr>
        <w:t>cautiously constructive</w:t>
      </w:r>
      <w:r>
        <w:rPr>
          <w:rFonts w:ascii="Calibri" w:hAnsi="Calibri"/>
          <w:color w:val="525866"/>
          <w:sz w:val="22"/>
        </w:rPr>
        <w:t xml:space="preserve"> — consensus EPS of ~$3.34 sits at the midpoint of management's $3.25–$3.35 guidance, leaving limited room for a beat, but the </w:t>
      </w:r>
      <w:r>
        <w:rPr>
          <w:rFonts w:ascii="Calibri" w:hAnsi="Calibri"/>
          <w:b/>
          <w:color w:val="525866"/>
          <w:sz w:val="22"/>
        </w:rPr>
        <w:t>June 30 LCEC write-down announcement removes the single biggest overhang</w:t>
      </w:r>
      <w:r>
        <w:rPr>
          <w:rFonts w:ascii="Calibri" w:hAnsi="Calibri"/>
          <w:color w:val="525866"/>
          <w:sz w:val="22"/>
        </w:rPr>
        <w:t xml:space="preserve"> and the biggest swing factor is whether core industrial gas volumes (electronics, refining, aerospace) came in ahead of the conservative second-half guide.</w:t>
      </w:r>
    </w:p>
    <w:p>
      <w:r>
        <w:rPr>
          <w:rFonts w:ascii="Calibri" w:hAnsi="Calibri"/>
          <w:color w:val="525866"/>
          <w:sz w:val="22"/>
        </w:rPr>
        <w:t xml:space="preserve">Heading into Q3 FY2026, APD's bar is set at the midpoint of its own guidance — consensus adjusted EPS of ~$3.34 is essentially in line with the $3.25–$3.35 range issued on the April 30 earnings call, implying the street has not moved materially above or below management's framing. </w:t>
      </w:r>
      <w:r>
        <w:rPr>
          <w:rFonts w:ascii="Calibri" w:hAnsi="Calibri"/>
          <w:b/>
          <w:color w:val="525866"/>
          <w:sz w:val="22"/>
        </w:rPr>
        <w:t>Management's tone has been deliberately cautious</w:t>
      </w:r>
      <w:r>
        <w:rPr>
          <w:rFonts w:ascii="Calibri" w:hAnsi="Calibri"/>
          <w:color w:val="525866"/>
          <w:sz w:val="22"/>
        </w:rPr>
        <w:t xml:space="preserve"> since Q2: the second-half guide was held flat despite a strong first-half beat (15% EPS growth H1), citing macro uncertainty in Europe and Asia, turnaround timing shifts, and a persistent 4% helium pricing headwind. Estimate revisions have been largely stable post-Q2, tracking guidance rather than diverging — a sign the street is taking management's conservatism at face value rather than pricing in upside. The stock has underperformed LIN (+2.0%) and the S&amp;P 500 (+1.5%) since the April 30 print, declining ~1.9%, with the bulk of the weakness occurring in May–June before the </w:t>
      </w:r>
      <w:r>
        <w:rPr>
          <w:rFonts w:ascii="Calibri" w:hAnsi="Calibri"/>
          <w:b/>
          <w:color w:val="525866"/>
          <w:sz w:val="22"/>
        </w:rPr>
        <w:t>June 30 LCEC project exit announcement</w:t>
      </w:r>
      <w:r>
        <w:rPr>
          <w:rFonts w:ascii="Calibri" w:hAnsi="Calibri"/>
          <w:color w:val="525866"/>
          <w:sz w:val="22"/>
        </w:rPr>
        <w:t xml:space="preserve"> triggered a sharp ~8% single-day rally that partially reversed thereafter. The LCEC decision (up to $2.9B pre-tax charge in Q3) is the dominant reported-number wildcard — it will create a large GAAP loss but is excluded from adjusted EPS, and the market has already largely digested the strategic rationale. The </w:t>
      </w:r>
      <w:r>
        <w:rPr>
          <w:rFonts w:ascii="Calibri" w:hAnsi="Calibri"/>
          <w:b/>
          <w:color w:val="525866"/>
          <w:sz w:val="22"/>
        </w:rPr>
        <w:t>key wildcard for the adjusted print</w:t>
      </w:r>
      <w:r>
        <w:rPr>
          <w:rFonts w:ascii="Calibri" w:hAnsi="Calibri"/>
          <w:color w:val="525866"/>
          <w:sz w:val="22"/>
        </w:rPr>
        <w:t xml:space="preserve"> is electronics volume: Linde reported 10% electronics growth in its Q1 (calendar Q1 2026) driven by AI chip demand, and Ecolab's Global High Tech segment grew 29% in Q2 — both read-throughs suggest the semiconductor supercycle is accelerating, which could push APD's Asia electronics volumes above the conservative guide.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fair bar, not a high bar</w:t>
      </w:r>
      <w:r>
        <w:rPr>
          <w:rFonts w:ascii="Calibri" w:hAnsi="Calibri"/>
          <w:color w:val="525866"/>
          <w:sz w:val="22"/>
        </w:rPr>
        <w:t xml:space="preserve"> — adjusted EPS of ~$3.34 sits at the midpoint of guidance, and operating margin of ~25.2% implies modest sequential expansion. </w:t>
      </w:r>
      <w:r>
        <w:rPr>
          <w:rFonts w:ascii="Calibri" w:hAnsi="Calibri"/>
          <w:b/>
          <w:color w:val="525866"/>
          <w:sz w:val="22"/>
        </w:rPr>
        <w:t>Volume performance in electronics and refining is the bigger swing factor</w:t>
      </w:r>
      <w:r>
        <w:rPr>
          <w:rFonts w:ascii="Calibri" w:hAnsi="Calibri"/>
          <w:color w:val="525866"/>
          <w:sz w:val="22"/>
        </w:rPr>
        <w:t xml:space="preserve"> given management's deliberately conservative second-half framing.</w:t>
      </w:r>
    </w:p>
    <w:p>
      <w:pPr>
        <w:pStyle w:val="Heading2"/>
      </w:pPr>
      <w:r>
        <w:rPr>
          <w:rFonts w:ascii="Calibri" w:hAnsi="Calibri"/>
          <w:b/>
          <w:color w:val="3B4259"/>
          <w:sz w:val="28"/>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w:t>
            </w:r>
          </w:p>
        </w:tc>
        <w:tc>
          <w:tcPr>
            <w:tcW w:type="dxa" w:w="1234"/>
            <w:shd w:val="clear" w:color="auto" w:fill="3B4259"/>
          </w:tcPr>
          <w:p>
            <w:r>
              <w:rPr>
                <w:rFonts w:ascii="Calibri" w:hAnsi="Calibri"/>
                <w:b/>
                <w:color w:val="FFFFFF"/>
                <w:sz w:val="22"/>
              </w:rPr>
              <w:t>Consensus Estimate (Q3 FY2026)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(Q3 FY2026)</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Adjusted EPS (Diluted Operating)</w:t>
            </w:r>
          </w:p>
        </w:tc>
        <w:tc>
          <w:tcPr>
            <w:tcW w:type="dxa" w:w="1234"/>
          </w:tcPr>
          <w:p>
            <w:r>
              <w:rPr>
                <w:rFonts w:ascii="Calibri" w:hAnsi="Calibri"/>
                <w:sz w:val="22"/>
              </w:rPr>
              <w:t>$3.20</w:t>
            </w:r>
          </w:p>
        </w:tc>
        <w:tc>
          <w:tcPr>
            <w:tcW w:type="dxa" w:w="1234"/>
          </w:tcPr>
          <w:p>
            <w:r>
              <w:rPr>
                <w:rFonts w:ascii="Calibri" w:hAnsi="Calibri"/>
                <w:sz w:val="22"/>
              </w:rPr>
              <w:t>$3.09 (Q3 FY2025 actual)</w:t>
            </w:r>
          </w:p>
        </w:tc>
        <w:tc>
          <w:tcPr>
            <w:tcW w:type="dxa" w:w="1234"/>
          </w:tcPr>
          <w:p>
            <w:r>
              <w:rPr>
                <w:rFonts w:ascii="Calibri" w:hAnsi="Calibri"/>
                <w:sz w:val="22"/>
              </w:rPr>
              <w:t>$3.34</w:t>
            </w:r>
          </w:p>
        </w:tc>
        <w:tc>
          <w:tcPr>
            <w:tcW w:type="dxa" w:w="1234"/>
          </w:tcPr>
          <w:p>
            <w:r>
              <w:rPr>
                <w:rFonts w:ascii="Calibri" w:hAnsi="Calibri"/>
                <w:sz w:val="22"/>
              </w:rPr>
              <w:t>+8.1% YoY</w:t>
            </w:r>
          </w:p>
        </w:tc>
        <w:tc>
          <w:tcPr>
            <w:tcW w:type="dxa" w:w="1234"/>
          </w:tcPr>
          <w:p>
            <w:r>
              <w:rPr>
                <w:rFonts w:ascii="Calibri" w:hAnsi="Calibri"/>
                <w:sz w:val="22"/>
              </w:rPr>
              <w:t>$3.25–$3.35 (midpoint $3.30)</w:t>
            </w:r>
          </w:p>
        </w:tc>
        <w:tc>
          <w:tcPr>
            <w:tcW w:type="dxa" w:w="1234"/>
          </w:tcPr>
          <w:p>
            <w:r>
              <w:rPr>
                <w:rFonts w:ascii="Calibri" w:hAnsi="Calibri"/>
                <w:sz w:val="22"/>
              </w:rPr>
              <w:t>+1.2% above midpoint</w:t>
            </w:r>
          </w:p>
        </w:tc>
      </w:tr>
      <w:tr>
        <w:tc>
          <w:tcPr>
            <w:tcW w:type="dxa" w:w="1234"/>
          </w:tcPr>
          <w:p>
            <w:r>
              <w:rPr>
                <w:rFonts w:ascii="Calibri" w:hAnsi="Calibri"/>
                <w:sz w:val="22"/>
              </w:rPr>
              <w:t>Revenue (Sales)</w:t>
            </w:r>
          </w:p>
        </w:tc>
        <w:tc>
          <w:tcPr>
            <w:tcW w:type="dxa" w:w="1234"/>
          </w:tcPr>
          <w:p>
            <w:r>
              <w:rPr>
                <w:rFonts w:ascii="Calibri" w:hAnsi="Calibri"/>
                <w:sz w:val="22"/>
              </w:rPr>
              <w:t>$3,171.8M</w:t>
            </w:r>
          </w:p>
        </w:tc>
        <w:tc>
          <w:tcPr>
            <w:tcW w:type="dxa" w:w="1234"/>
          </w:tcPr>
          <w:p>
            <w:r>
              <w:rPr>
                <w:rFonts w:ascii="Calibri" w:hAnsi="Calibri"/>
                <w:sz w:val="22"/>
              </w:rPr>
              <w:t>$3,022.7M</w:t>
            </w:r>
          </w:p>
        </w:tc>
        <w:tc>
          <w:tcPr>
            <w:tcW w:type="dxa" w:w="1234"/>
          </w:tcPr>
          <w:p>
            <w:r>
              <w:rPr>
                <w:rFonts w:ascii="Calibri" w:hAnsi="Calibri"/>
                <w:sz w:val="22"/>
              </w:rPr>
              <w:t>$3,191.9M</w:t>
            </w:r>
          </w:p>
        </w:tc>
        <w:tc>
          <w:tcPr>
            <w:tcW w:type="dxa" w:w="1234"/>
          </w:tcPr>
          <w:p>
            <w:r>
              <w:rPr>
                <w:rFonts w:ascii="Calibri" w:hAnsi="Calibri"/>
                <w:sz w:val="22"/>
              </w:rPr>
              <w:t>+5.6% YoY</w:t>
            </w:r>
          </w:p>
        </w:tc>
        <w:tc>
          <w:tcPr>
            <w:tcW w:type="dxa" w:w="1234"/>
          </w:tcPr>
          <w:p>
            <w:r>
              <w:rPr>
                <w:rFonts w:ascii="Calibri" w:hAnsi="Calibri"/>
                <w:sz w:val="22"/>
              </w:rPr>
              <w:t>No explicit revenue guidance</w:t>
            </w:r>
          </w:p>
        </w:tc>
        <w:tc>
          <w:tcPr>
            <w:tcW w:type="dxa" w:w="1234"/>
          </w:tcPr>
          <w:p>
            <w:r>
              <w:rPr>
                <w:rFonts w:ascii="Calibri" w:hAnsi="Calibri"/>
                <w:sz w:val="22"/>
              </w:rPr>
              <w:t>N/A</w:t>
            </w:r>
          </w:p>
        </w:tc>
      </w:tr>
      <w:tr>
        <w:tc>
          <w:tcPr>
            <w:tcW w:type="dxa" w:w="1234"/>
          </w:tcPr>
          <w:p>
            <w:r>
              <w:rPr>
                <w:rFonts w:ascii="Calibri" w:hAnsi="Calibri"/>
                <w:sz w:val="22"/>
              </w:rPr>
              <w:t>Adjusted Operating Income</w:t>
            </w:r>
          </w:p>
        </w:tc>
        <w:tc>
          <w:tcPr>
            <w:tcW w:type="dxa" w:w="1234"/>
          </w:tcPr>
          <w:p>
            <w:r>
              <w:rPr>
                <w:rFonts w:ascii="Calibri" w:hAnsi="Calibri"/>
                <w:sz w:val="22"/>
              </w:rPr>
              <w:t>$752.7M</w:t>
            </w:r>
          </w:p>
        </w:tc>
        <w:tc>
          <w:tcPr>
            <w:tcW w:type="dxa" w:w="1234"/>
          </w:tcPr>
          <w:p>
            <w:r>
              <w:rPr>
                <w:rFonts w:ascii="Calibri" w:hAnsi="Calibri"/>
                <w:sz w:val="22"/>
              </w:rPr>
              <w:t>$741.1M</w:t>
            </w:r>
          </w:p>
        </w:tc>
        <w:tc>
          <w:tcPr>
            <w:tcW w:type="dxa" w:w="1234"/>
          </w:tcPr>
          <w:p>
            <w:r>
              <w:rPr>
                <w:rFonts w:ascii="Calibri" w:hAnsi="Calibri"/>
                <w:sz w:val="22"/>
              </w:rPr>
              <w:t>$802.3M</w:t>
            </w:r>
          </w:p>
        </w:tc>
        <w:tc>
          <w:tcPr>
            <w:tcW w:type="dxa" w:w="1234"/>
          </w:tcPr>
          <w:p>
            <w:r>
              <w:rPr>
                <w:rFonts w:ascii="Calibri" w:hAnsi="Calibri"/>
                <w:sz w:val="22"/>
              </w:rPr>
              <w:t>+8.3%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Adjusted Operating Margin</w:t>
            </w:r>
          </w:p>
        </w:tc>
        <w:tc>
          <w:tcPr>
            <w:tcW w:type="dxa" w:w="1234"/>
          </w:tcPr>
          <w:p>
            <w:r>
              <w:rPr>
                <w:rFonts w:ascii="Calibri" w:hAnsi="Calibri"/>
                <w:sz w:val="22"/>
              </w:rPr>
              <w:t>23.7%</w:t>
            </w:r>
          </w:p>
        </w:tc>
        <w:tc>
          <w:tcPr>
            <w:tcW w:type="dxa" w:w="1234"/>
          </w:tcPr>
          <w:p>
            <w:r>
              <w:rPr>
                <w:rFonts w:ascii="Calibri" w:hAnsi="Calibri"/>
                <w:sz w:val="22"/>
              </w:rPr>
              <w:t>24.5%</w:t>
            </w:r>
          </w:p>
        </w:tc>
        <w:tc>
          <w:tcPr>
            <w:tcW w:type="dxa" w:w="1234"/>
          </w:tcPr>
          <w:p>
            <w:r>
              <w:rPr>
                <w:rFonts w:ascii="Calibri" w:hAnsi="Calibri"/>
                <w:sz w:val="22"/>
              </w:rPr>
              <w:t>~25.2%</w:t>
            </w:r>
          </w:p>
        </w:tc>
        <w:tc>
          <w:tcPr>
            <w:tcW w:type="dxa" w:w="1234"/>
          </w:tcPr>
          <w:p>
            <w:r>
              <w:rPr>
                <w:rFonts w:ascii="Calibri" w:hAnsi="Calibri"/>
                <w:sz w:val="22"/>
              </w:rPr>
              <w:t>+70 bps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Capital Expenditures (Additions to Plant &amp; Equipment)</w:t>
            </w:r>
          </w:p>
        </w:tc>
        <w:tc>
          <w:tcPr>
            <w:tcW w:type="dxa" w:w="1234"/>
          </w:tcPr>
          <w:p>
            <w:r>
              <w:rPr>
                <w:rFonts w:ascii="Calibri" w:hAnsi="Calibri"/>
                <w:sz w:val="22"/>
              </w:rPr>
              <w:t>$1,107.6M</w:t>
            </w:r>
          </w:p>
        </w:tc>
        <w:tc>
          <w:tcPr>
            <w:tcW w:type="dxa" w:w="1234"/>
          </w:tcPr>
          <w:p>
            <w:r>
              <w:rPr>
                <w:rFonts w:ascii="Calibri" w:hAnsi="Calibri"/>
                <w:sz w:val="22"/>
              </w:rPr>
              <w:t>$1,495.8M</w:t>
            </w:r>
          </w:p>
        </w:tc>
        <w:tc>
          <w:tcPr>
            <w:tcW w:type="dxa" w:w="1234"/>
          </w:tcPr>
          <w:p>
            <w:r>
              <w:rPr>
                <w:rFonts w:ascii="Calibri" w:hAnsi="Calibri"/>
                <w:sz w:val="22"/>
              </w:rPr>
              <w:t>$961.9M</w:t>
            </w:r>
          </w:p>
        </w:tc>
        <w:tc>
          <w:tcPr>
            <w:tcW w:type="dxa" w:w="1234"/>
          </w:tcPr>
          <w:p>
            <w:r>
              <w:rPr>
                <w:rFonts w:ascii="Calibri" w:hAnsi="Calibri"/>
                <w:sz w:val="22"/>
              </w:rPr>
              <w:t>-35.7% YoY</w:t>
            </w:r>
          </w:p>
        </w:tc>
        <w:tc>
          <w:tcPr>
            <w:tcW w:type="dxa" w:w="1234"/>
          </w:tcPr>
          <w:p>
            <w:r>
              <w:rPr>
                <w:rFonts w:ascii="Calibri" w:hAnsi="Calibri"/>
                <w:sz w:val="22"/>
              </w:rPr>
              <w:t>~$4B full year (maintained)</w:t>
            </w:r>
          </w:p>
        </w:tc>
        <w:tc>
          <w:tcPr>
            <w:tcW w:type="dxa" w:w="1234"/>
          </w:tcPr>
          <w:p>
            <w:r>
              <w:rPr>
                <w:rFonts w:ascii="Calibri" w:hAnsi="Calibri"/>
                <w:sz w:val="22"/>
              </w:rPr>
              <w:t>N/A (quarterly)</w:t>
            </w:r>
          </w:p>
        </w:tc>
      </w:tr>
      <w:tr>
        <w:tc>
          <w:tcPr>
            <w:tcW w:type="dxa" w:w="1234"/>
          </w:tcPr>
          <w:p>
            <w:r>
              <w:rPr>
                <w:rFonts w:ascii="Calibri" w:hAnsi="Calibri"/>
                <w:sz w:val="22"/>
              </w:rPr>
              <w:t>Free Cash Flow</w:t>
            </w:r>
          </w:p>
        </w:tc>
        <w:tc>
          <w:tcPr>
            <w:tcW w:type="dxa" w:w="1234"/>
          </w:tcPr>
          <w:p>
            <w:r>
              <w:rPr>
                <w:rFonts w:ascii="Calibri" w:hAnsi="Calibri"/>
                <w:sz w:val="22"/>
              </w:rPr>
              <w:t>-$3.9M</w:t>
            </w:r>
          </w:p>
        </w:tc>
        <w:tc>
          <w:tcPr>
            <w:tcW w:type="dxa" w:w="1234"/>
          </w:tcPr>
          <w:p>
            <w:r>
              <w:rPr>
                <w:rFonts w:ascii="Calibri" w:hAnsi="Calibri"/>
                <w:sz w:val="22"/>
              </w:rPr>
              <w:t>-$640.0M</w:t>
            </w:r>
          </w:p>
        </w:tc>
        <w:tc>
          <w:tcPr>
            <w:tcW w:type="dxa" w:w="1234"/>
          </w:tcPr>
          <w:p>
            <w:r>
              <w:rPr>
                <w:rFonts w:ascii="Calibri" w:hAnsi="Calibri"/>
                <w:sz w:val="22"/>
              </w:rPr>
              <w:t>$319.0M</w:t>
            </w:r>
          </w:p>
        </w:tc>
        <w:tc>
          <w:tcPr>
            <w:tcW w:type="dxa" w:w="1234"/>
          </w:tcPr>
          <w:p>
            <w:r>
              <w:rPr>
                <w:rFonts w:ascii="Calibri" w:hAnsi="Calibri"/>
                <w:sz w:val="22"/>
              </w:rPr>
              <w:t>Significant improvement YoY</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Q3 FY2025 actuals from VA. Adjusted EPS guidance of $3.25–$3.35 from Q2 FY2026 earnings call (April 30, 2026). Note: Q3 FY2026 will include a large GAAP charge (up to $2.9B pre-tax / ~$2.2B after-tax) related to the LCEC project exit — this is excluded from adjusted EPS consensus.</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$3.20</w:t>
            </w:r>
          </w:p>
        </w:tc>
        <w:tc>
          <w:tcPr>
            <w:tcW w:type="dxa" w:w="1728"/>
          </w:tcPr>
          <w:p>
            <w:r>
              <w:rPr>
                <w:rFonts w:ascii="Calibri" w:hAnsi="Calibri"/>
                <w:sz w:val="22"/>
              </w:rPr>
              <w:t>$3.04</w:t>
            </w:r>
          </w:p>
        </w:tc>
        <w:tc>
          <w:tcPr>
            <w:tcW w:type="dxa" w:w="1728"/>
          </w:tcPr>
          <w:p>
            <w:r>
              <w:rPr>
                <w:rFonts w:ascii="Calibri" w:hAnsi="Calibri"/>
                <w:sz w:val="22"/>
              </w:rPr>
              <w:t>+5.3%</w:t>
            </w:r>
          </w:p>
        </w:tc>
        <w:tc>
          <w:tcPr>
            <w:tcW w:type="dxa" w:w="1728"/>
          </w:tcPr>
          <w:p>
            <w:r>
              <w:rPr>
                <w:rFonts w:ascii="Calibri" w:hAnsi="Calibri"/>
                <w:b/>
                <w:color w:val="30A46C"/>
                <w:sz w:val="22"/>
              </w:rPr>
              <w:t>Beat</w:t>
            </w:r>
          </w:p>
        </w:tc>
      </w:tr>
      <w:tr>
        <w:tc>
          <w:tcPr>
            <w:tcW w:type="dxa" w:w="1728"/>
          </w:tcPr>
          <w:p>
            <w:r>
              <w:rPr>
                <w:rFonts w:ascii="Calibri" w:hAnsi="Calibri"/>
                <w:sz w:val="22"/>
              </w:rPr>
              <w:t>Q4 FY2024</w:t>
            </w:r>
          </w:p>
        </w:tc>
        <w:tc>
          <w:tcPr>
            <w:tcW w:type="dxa" w:w="1728"/>
          </w:tcPr>
          <w:p>
            <w:r>
              <w:rPr>
                <w:rFonts w:ascii="Calibri" w:hAnsi="Calibri"/>
                <w:sz w:val="22"/>
              </w:rPr>
              <w:t>$3.56</w:t>
            </w:r>
          </w:p>
        </w:tc>
        <w:tc>
          <w:tcPr>
            <w:tcW w:type="dxa" w:w="1728"/>
          </w:tcPr>
          <w:p>
            <w:r>
              <w:rPr>
                <w:rFonts w:ascii="Calibri" w:hAnsi="Calibri"/>
                <w:sz w:val="22"/>
              </w:rPr>
              <w:t>$3.49</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Q1 FY2025</w:t>
            </w:r>
          </w:p>
        </w:tc>
        <w:tc>
          <w:tcPr>
            <w:tcW w:type="dxa" w:w="1728"/>
          </w:tcPr>
          <w:p>
            <w:r>
              <w:rPr>
                <w:rFonts w:ascii="Calibri" w:hAnsi="Calibri"/>
                <w:sz w:val="22"/>
              </w:rPr>
              <w:t>$2.86</w:t>
            </w:r>
          </w:p>
        </w:tc>
        <w:tc>
          <w:tcPr>
            <w:tcW w:type="dxa" w:w="1728"/>
          </w:tcPr>
          <w:p>
            <w:r>
              <w:rPr>
                <w:rFonts w:ascii="Calibri" w:hAnsi="Calibri"/>
                <w:sz w:val="22"/>
              </w:rPr>
              <w:t>$2.86</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Q2 FY2025</w:t>
            </w:r>
          </w:p>
        </w:tc>
        <w:tc>
          <w:tcPr>
            <w:tcW w:type="dxa" w:w="1728"/>
          </w:tcPr>
          <w:p>
            <w:r>
              <w:rPr>
                <w:rFonts w:ascii="Calibri" w:hAnsi="Calibri"/>
                <w:sz w:val="22"/>
              </w:rPr>
              <w:t>$2.69</w:t>
            </w:r>
          </w:p>
        </w:tc>
        <w:tc>
          <w:tcPr>
            <w:tcW w:type="dxa" w:w="1728"/>
          </w:tcPr>
          <w:p>
            <w:r>
              <w:rPr>
                <w:rFonts w:ascii="Calibri" w:hAnsi="Calibri"/>
                <w:sz w:val="22"/>
              </w:rPr>
              <w:t>$2.83</w:t>
            </w:r>
          </w:p>
        </w:tc>
        <w:tc>
          <w:tcPr>
            <w:tcW w:type="dxa" w:w="1728"/>
          </w:tcPr>
          <w:p>
            <w:r>
              <w:rPr>
                <w:rFonts w:ascii="Calibri" w:hAnsi="Calibri"/>
                <w:sz w:val="22"/>
              </w:rPr>
              <w:t>-4.9%</w:t>
            </w:r>
          </w:p>
        </w:tc>
        <w:tc>
          <w:tcPr>
            <w:tcW w:type="dxa" w:w="1728"/>
          </w:tcPr>
          <w:p>
            <w:r>
              <w:rPr>
                <w:rFonts w:ascii="Calibri" w:hAnsi="Calibri"/>
                <w:b/>
                <w:color w:val="E5484D"/>
                <w:sz w:val="22"/>
              </w:rPr>
              <w:t>Miss</w:t>
            </w:r>
          </w:p>
        </w:tc>
      </w:tr>
      <w:tr>
        <w:tc>
          <w:tcPr>
            <w:tcW w:type="dxa" w:w="1728"/>
          </w:tcPr>
          <w:p>
            <w:r>
              <w:rPr>
                <w:rFonts w:ascii="Calibri" w:hAnsi="Calibri"/>
                <w:sz w:val="22"/>
              </w:rPr>
              <w:t>Q3 FY2025</w:t>
            </w:r>
          </w:p>
        </w:tc>
        <w:tc>
          <w:tcPr>
            <w:tcW w:type="dxa" w:w="1728"/>
          </w:tcPr>
          <w:p>
            <w:r>
              <w:rPr>
                <w:rFonts w:ascii="Calibri" w:hAnsi="Calibri"/>
                <w:sz w:val="22"/>
              </w:rPr>
              <w:t>$3.09 (est.)</w:t>
            </w:r>
          </w:p>
        </w:tc>
        <w:tc>
          <w:tcPr>
            <w:tcW w:type="dxa" w:w="1728"/>
          </w:tcPr>
          <w:p>
            <w:r>
              <w:rPr>
                <w:rFonts w:ascii="Calibri" w:hAnsi="Calibri"/>
                <w:sz w:val="22"/>
              </w:rPr>
              <w:t>$2.99</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$3.39</w:t>
            </w:r>
          </w:p>
        </w:tc>
        <w:tc>
          <w:tcPr>
            <w:tcW w:type="dxa" w:w="1728"/>
          </w:tcPr>
          <w:p>
            <w:r>
              <w:rPr>
                <w:rFonts w:ascii="Calibri" w:hAnsi="Calibri"/>
                <w:sz w:val="22"/>
              </w:rPr>
              <w:t>$3.37</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$3.16</w:t>
            </w:r>
          </w:p>
        </w:tc>
        <w:tc>
          <w:tcPr>
            <w:tcW w:type="dxa" w:w="1728"/>
          </w:tcPr>
          <w:p>
            <w:r>
              <w:rPr>
                <w:rFonts w:ascii="Calibri" w:hAnsi="Calibri"/>
                <w:sz w:val="22"/>
              </w:rPr>
              <w:t>$3.05</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$3.20</w:t>
            </w:r>
          </w:p>
        </w:tc>
        <w:tc>
          <w:tcPr>
            <w:tcW w:type="dxa" w:w="1728"/>
          </w:tcPr>
          <w:p>
            <w:r>
              <w:rPr>
                <w:rFonts w:ascii="Calibri" w:hAnsi="Calibri"/>
                <w:sz w:val="22"/>
              </w:rPr>
              <w:t>$3.06</w:t>
            </w:r>
          </w:p>
        </w:tc>
        <w:tc>
          <w:tcPr>
            <w:tcW w:type="dxa" w:w="1728"/>
          </w:tcPr>
          <w:p>
            <w:r>
              <w:rPr>
                <w:rFonts w:ascii="Calibri" w:hAnsi="Calibri"/>
                <w:sz w:val="22"/>
              </w:rPr>
              <w:t>+4.6%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APD has beaten adjusted EPS consensus in 6 of the last 8 quarters, with the one miss (Q2 FY2025) driven by a specific helium pricing headwind. The consistent beat pattern — typically 2–5% above consensus — reflects management's habit of guiding conservatively, though the Q3 FY2026 guide is tighter than usual given macro uncertainty.</w:t>
      </w:r>
    </w:p>
    <w:p>
      <w:pPr>
        <w:pStyle w:val="Heading3"/>
      </w:pPr>
      <w:r>
        <w:rPr>
          <w:rFonts w:ascii="Calibri" w:hAnsi="Calibri"/>
          <w:b/>
          <w:color w:val="3B4259"/>
          <w:sz w:val="24"/>
        </w:rPr>
        <w:t>Revenue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$2,985.5M</w:t>
            </w:r>
          </w:p>
        </w:tc>
        <w:tc>
          <w:tcPr>
            <w:tcW w:type="dxa" w:w="1728"/>
          </w:tcPr>
          <w:p>
            <w:r>
              <w:rPr>
                <w:rFonts w:ascii="Calibri" w:hAnsi="Calibri"/>
                <w:sz w:val="22"/>
              </w:rPr>
              <w:t>$3,018.9M</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Q4 FY2024</w:t>
            </w:r>
          </w:p>
        </w:tc>
        <w:tc>
          <w:tcPr>
            <w:tcW w:type="dxa" w:w="1728"/>
          </w:tcPr>
          <w:p>
            <w:r>
              <w:rPr>
                <w:rFonts w:ascii="Calibri" w:hAnsi="Calibri"/>
                <w:sz w:val="22"/>
              </w:rPr>
              <w:t>$3,187.5M</w:t>
            </w:r>
          </w:p>
        </w:tc>
        <w:tc>
          <w:tcPr>
            <w:tcW w:type="dxa" w:w="1728"/>
          </w:tcPr>
          <w:p>
            <w:r>
              <w:rPr>
                <w:rFonts w:ascii="Calibri" w:hAnsi="Calibri"/>
                <w:sz w:val="22"/>
              </w:rPr>
              <w:t>$3,249.1M</w:t>
            </w:r>
          </w:p>
        </w:tc>
        <w:tc>
          <w:tcPr>
            <w:tcW w:type="dxa" w:w="1728"/>
          </w:tcPr>
          <w:p>
            <w:r>
              <w:rPr>
                <w:rFonts w:ascii="Calibri" w:hAnsi="Calibri"/>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Q1 FY2025</w:t>
            </w:r>
          </w:p>
        </w:tc>
        <w:tc>
          <w:tcPr>
            <w:tcW w:type="dxa" w:w="1728"/>
          </w:tcPr>
          <w:p>
            <w:r>
              <w:rPr>
                <w:rFonts w:ascii="Calibri" w:hAnsi="Calibri"/>
                <w:sz w:val="22"/>
              </w:rPr>
              <w:t>$2,931.5M</w:t>
            </w:r>
          </w:p>
        </w:tc>
        <w:tc>
          <w:tcPr>
            <w:tcW w:type="dxa" w:w="1728"/>
          </w:tcPr>
          <w:p>
            <w:r>
              <w:rPr>
                <w:rFonts w:ascii="Calibri" w:hAnsi="Calibri"/>
                <w:sz w:val="22"/>
              </w:rPr>
              <w:t>$2,937.1M</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Q2 FY2025</w:t>
            </w:r>
          </w:p>
        </w:tc>
        <w:tc>
          <w:tcPr>
            <w:tcW w:type="dxa" w:w="1728"/>
          </w:tcPr>
          <w:p>
            <w:r>
              <w:rPr>
                <w:rFonts w:ascii="Calibri" w:hAnsi="Calibri"/>
                <w:sz w:val="22"/>
              </w:rPr>
              <w:t>$2,916.2M</w:t>
            </w:r>
          </w:p>
        </w:tc>
        <w:tc>
          <w:tcPr>
            <w:tcW w:type="dxa" w:w="1728"/>
          </w:tcPr>
          <w:p>
            <w:r>
              <w:rPr>
                <w:rFonts w:ascii="Calibri" w:hAnsi="Calibri"/>
                <w:sz w:val="22"/>
              </w:rPr>
              <w:t>$2,934.9M</w:t>
            </w:r>
          </w:p>
        </w:tc>
        <w:tc>
          <w:tcPr>
            <w:tcW w:type="dxa" w:w="1728"/>
          </w:tcPr>
          <w:p>
            <w:r>
              <w:rPr>
                <w:rFonts w:ascii="Calibri" w:hAnsi="Calibri"/>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Q3 FY2025</w:t>
            </w:r>
          </w:p>
        </w:tc>
        <w:tc>
          <w:tcPr>
            <w:tcW w:type="dxa" w:w="1728"/>
          </w:tcPr>
          <w:p>
            <w:r>
              <w:rPr>
                <w:rFonts w:ascii="Calibri" w:hAnsi="Calibri"/>
                <w:sz w:val="22"/>
              </w:rPr>
              <w:t>$3,022.7M</w:t>
            </w:r>
          </w:p>
        </w:tc>
        <w:tc>
          <w:tcPr>
            <w:tcW w:type="dxa" w:w="1728"/>
          </w:tcPr>
          <w:p>
            <w:r>
              <w:rPr>
                <w:rFonts w:ascii="Calibri" w:hAnsi="Calibri"/>
                <w:sz w:val="22"/>
              </w:rPr>
              <w:t>$2,974.1M</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Q4 FY2025</w:t>
            </w:r>
          </w:p>
        </w:tc>
        <w:tc>
          <w:tcPr>
            <w:tcW w:type="dxa" w:w="1728"/>
          </w:tcPr>
          <w:p>
            <w:r>
              <w:rPr>
                <w:rFonts w:ascii="Calibri" w:hAnsi="Calibri"/>
                <w:sz w:val="22"/>
              </w:rPr>
              <w:t>$3,166.9M</w:t>
            </w:r>
          </w:p>
        </w:tc>
        <w:tc>
          <w:tcPr>
            <w:tcW w:type="dxa" w:w="1728"/>
          </w:tcPr>
          <w:p>
            <w:r>
              <w:rPr>
                <w:rFonts w:ascii="Calibri" w:hAnsi="Calibri"/>
                <w:sz w:val="22"/>
              </w:rPr>
              <w:t>$3,140.1M</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Q1 FY2026</w:t>
            </w:r>
          </w:p>
        </w:tc>
        <w:tc>
          <w:tcPr>
            <w:tcW w:type="dxa" w:w="1728"/>
          </w:tcPr>
          <w:p>
            <w:r>
              <w:rPr>
                <w:rFonts w:ascii="Calibri" w:hAnsi="Calibri"/>
                <w:sz w:val="22"/>
              </w:rPr>
              <w:t>$3,102.5M</w:t>
            </w:r>
          </w:p>
        </w:tc>
        <w:tc>
          <w:tcPr>
            <w:tcW w:type="dxa" w:w="1728"/>
          </w:tcPr>
          <w:p>
            <w:r>
              <w:rPr>
                <w:rFonts w:ascii="Calibri" w:hAnsi="Calibri"/>
                <w:sz w:val="22"/>
              </w:rPr>
              <w:t>$3,042.9M</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Q2 FY2026</w:t>
            </w:r>
          </w:p>
        </w:tc>
        <w:tc>
          <w:tcPr>
            <w:tcW w:type="dxa" w:w="1728"/>
          </w:tcPr>
          <w:p>
            <w:r>
              <w:rPr>
                <w:rFonts w:ascii="Calibri" w:hAnsi="Calibri"/>
                <w:sz w:val="22"/>
              </w:rPr>
              <w:t>$3,171.8M</w:t>
            </w:r>
          </w:p>
        </w:tc>
        <w:tc>
          <w:tcPr>
            <w:tcW w:type="dxa" w:w="1728"/>
          </w:tcPr>
          <w:p>
            <w:r>
              <w:rPr>
                <w:rFonts w:ascii="Calibri" w:hAnsi="Calibri"/>
                <w:sz w:val="22"/>
              </w:rPr>
              <w:t>$3,068.0M</w:t>
            </w:r>
          </w:p>
        </w:tc>
        <w:tc>
          <w:tcPr>
            <w:tcW w:type="dxa" w:w="1728"/>
          </w:tcPr>
          <w:p>
            <w:r>
              <w:rPr>
                <w:rFonts w:ascii="Calibri" w:hAnsi="Calibri"/>
                <w:sz w:val="22"/>
              </w:rPr>
              <w:t>+3.4%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Revenue beat/miss history is more mixed than EPS — APD missed in 3 of the last 8 quarters, largely due to energy pass-through timing and FX. The recent trend (last 4 quarters) has been consistent beats, driven by volume and currency tailwinds. Consensus for Q3 FY2026 at $3,191.9M implies +5.6% YoY growth, a reasonable bar given the strong on-site volume backdrop.</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April 30 Q2 earnings call</w:t>
      </w:r>
      <w:r>
        <w:rPr>
          <w:rFonts w:ascii="Calibri" w:hAnsi="Calibri"/>
          <w:color w:val="525866"/>
          <w:sz w:val="22"/>
        </w:rPr>
        <w:t xml:space="preserve"> — the $3.25–$3.35 Q3 EPS range and $13.00–$13.25 full-year range remain intact. However, the </w:t>
      </w:r>
      <w:r>
        <w:rPr>
          <w:rFonts w:ascii="Calibri" w:hAnsi="Calibri"/>
          <w:b/>
          <w:color w:val="525866"/>
          <w:sz w:val="22"/>
        </w:rPr>
        <w:t>June 30 LCEC announcement materially changed the strategic narrative</w:t>
      </w:r>
      <w:r>
        <w:rPr>
          <w:rFonts w:ascii="Calibri" w:hAnsi="Calibri"/>
          <w:color w:val="525866"/>
          <w:sz w:val="22"/>
        </w:rPr>
        <w:t xml:space="preserve"> without altering adjusted EPS guidance, and management's tone has shifted from cautious to more decisively focused on capital discipline and electronics growth.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Adjusted EPS</w:t>
            </w:r>
          </w:p>
        </w:tc>
        <w:tc>
          <w:tcPr>
            <w:tcW w:type="dxa" w:w="1728"/>
          </w:tcPr>
          <w:p>
            <w:r>
              <w:rPr>
                <w:rFonts w:ascii="Calibri" w:hAnsi="Calibri"/>
                <w:sz w:val="22"/>
              </w:rPr>
              <w:t>$3.25–$3.35 (5%–8% YoY growth)</w:t>
            </w:r>
          </w:p>
        </w:tc>
        <w:tc>
          <w:tcPr>
            <w:tcW w:type="dxa" w:w="1728"/>
          </w:tcPr>
          <w:p>
            <w:r>
              <w:rPr>
                <w:rFonts w:ascii="Calibri" w:hAnsi="Calibri"/>
                <w:sz w:val="22"/>
              </w:rPr>
              <w:t>—</w:t>
            </w:r>
          </w:p>
        </w:tc>
        <w:tc>
          <w:tcPr>
            <w:tcW w:type="dxa" w:w="1728"/>
          </w:tcPr>
          <w:p>
            <w:r>
              <w:rPr>
                <w:rFonts w:ascii="Calibri" w:hAnsi="Calibri"/>
                <w:sz w:val="22"/>
              </w:rPr>
              <w:t>$3.34</w:t>
            </w:r>
          </w:p>
        </w:tc>
        <w:tc>
          <w:tcPr>
            <w:tcW w:type="dxa" w:w="1728"/>
          </w:tcPr>
          <w:p>
            <w:r>
              <w:rPr>
                <w:rFonts w:ascii="Calibri" w:hAnsi="Calibri"/>
                <w:sz w:val="22"/>
              </w:rPr>
              <w:t>Unchanged; consensus at top of range</w:t>
            </w:r>
          </w:p>
        </w:tc>
      </w:tr>
      <w:tr>
        <w:tc>
          <w:tcPr>
            <w:tcW w:type="dxa" w:w="1728"/>
          </w:tcPr>
          <w:p>
            <w:r>
              <w:rPr>
                <w:rFonts w:ascii="Calibri" w:hAnsi="Calibri"/>
                <w:sz w:val="22"/>
              </w:rPr>
              <w:t>FY2026 Adjusted EPS</w:t>
            </w:r>
          </w:p>
        </w:tc>
        <w:tc>
          <w:tcPr>
            <w:tcW w:type="dxa" w:w="1728"/>
          </w:tcPr>
          <w:p>
            <w:r>
              <w:rPr>
                <w:rFonts w:ascii="Calibri" w:hAnsi="Calibri"/>
                <w:sz w:val="22"/>
              </w:rPr>
              <w:t>$13.00–$13.25 (8%–10% YoY growth); raised from prior $12.85–$13.15</w:t>
            </w:r>
          </w:p>
        </w:tc>
        <w:tc>
          <w:tcPr>
            <w:tcW w:type="dxa" w:w="1728"/>
          </w:tcPr>
          <w:p>
            <w:r>
              <w:rPr>
                <w:rFonts w:ascii="Calibri" w:hAnsi="Calibri"/>
                <w:sz w:val="22"/>
              </w:rPr>
              <w:t>—</w:t>
            </w:r>
          </w:p>
        </w:tc>
        <w:tc>
          <w:tcPr>
            <w:tcW w:type="dxa" w:w="1728"/>
          </w:tcPr>
          <w:p>
            <w:r>
              <w:rPr>
                <w:rFonts w:ascii="Calibri" w:hAnsi="Calibri"/>
                <w:sz w:val="22"/>
              </w:rPr>
              <w:t>$13.09 (midpoint)</w:t>
            </w:r>
          </w:p>
        </w:tc>
        <w:tc>
          <w:tcPr>
            <w:tcW w:type="dxa" w:w="1728"/>
          </w:tcPr>
          <w:p>
            <w:r>
              <w:rPr>
                <w:rFonts w:ascii="Calibri" w:hAnsi="Calibri"/>
                <w:sz w:val="22"/>
              </w:rPr>
              <w:t>Unchanged post-Q2; LCEC charge excluded from adjusted EPS</w:t>
            </w:r>
          </w:p>
        </w:tc>
      </w:tr>
      <w:tr>
        <w:tc>
          <w:tcPr>
            <w:tcW w:type="dxa" w:w="1728"/>
          </w:tcPr>
          <w:p>
            <w:r>
              <w:rPr>
                <w:rFonts w:ascii="Calibri" w:hAnsi="Calibri"/>
                <w:sz w:val="22"/>
              </w:rPr>
              <w:t>FY2026 Capital Expenditures</w:t>
            </w:r>
          </w:p>
        </w:tc>
        <w:tc>
          <w:tcPr>
            <w:tcW w:type="dxa" w:w="1728"/>
          </w:tcPr>
          <w:p>
            <w:r>
              <w:rPr>
                <w:rFonts w:ascii="Calibri" w:hAnsi="Calibri"/>
                <w:sz w:val="22"/>
              </w:rPr>
              <w:t>~$4 billion (maintained; ~$1B reduction vs. FY2025)</w:t>
            </w:r>
          </w:p>
        </w:tc>
        <w:tc>
          <w:tcPr>
            <w:tcW w:type="dxa" w:w="1728"/>
          </w:tcPr>
          <w:p>
            <w:r>
              <w:rPr>
                <w:rFonts w:ascii="Calibri" w:hAnsi="Calibri"/>
                <w:sz w:val="22"/>
              </w:rPr>
              <w:t>—</w:t>
            </w:r>
          </w:p>
        </w:tc>
        <w:tc>
          <w:tcPr>
            <w:tcW w:type="dxa" w:w="1728"/>
          </w:tcPr>
          <w:p>
            <w:r>
              <w:rPr>
                <w:rFonts w:ascii="Calibri" w:hAnsi="Calibri"/>
                <w:sz w:val="22"/>
              </w:rPr>
              <w:t>$3.85B (consensus)</w:t>
            </w:r>
          </w:p>
        </w:tc>
        <w:tc>
          <w:tcPr>
            <w:tcW w:type="dxa" w:w="1728"/>
          </w:tcPr>
          <w:p>
            <w:r>
              <w:rPr>
                <w:rFonts w:ascii="Calibri" w:hAnsi="Calibri"/>
                <w:sz w:val="22"/>
              </w:rPr>
              <w:t>Unchanged; LCEC exit may reduce future CapEx further</w:t>
            </w:r>
          </w:p>
        </w:tc>
      </w:tr>
      <w:tr>
        <w:tc>
          <w:tcPr>
            <w:tcW w:type="dxa" w:w="1728"/>
          </w:tcPr>
          <w:p>
            <w:r>
              <w:rPr>
                <w:rFonts w:ascii="Calibri" w:hAnsi="Calibri"/>
                <w:sz w:val="22"/>
              </w:rPr>
              <w:t>LCEC (Louisiana) Project</w:t>
            </w:r>
          </w:p>
        </w:tc>
        <w:tc>
          <w:tcPr>
            <w:tcW w:type="dxa" w:w="1728"/>
          </w:tcPr>
          <w:p>
            <w:r>
              <w:rPr>
                <w:rFonts w:ascii="Calibri" w:hAnsi="Calibri"/>
                <w:sz w:val="22"/>
              </w:rPr>
              <w:t>Base case: not proceeding; go/no-go decision targeted for July 2026 board meeting</w:t>
            </w:r>
          </w:p>
        </w:tc>
        <w:tc>
          <w:tcPr>
            <w:tcW w:type="dxa" w:w="1728"/>
          </w:tcPr>
          <w:p>
            <w:r>
              <w:rPr>
                <w:rFonts w:ascii="Calibri" w:hAnsi="Calibri"/>
                <w:sz w:val="22"/>
              </w:rPr>
              <w:t>↓ Confirmed exit June 30, 2026 via 8-K; up to $2.9B pre-tax charge in Q3</w:t>
            </w:r>
          </w:p>
        </w:tc>
        <w:tc>
          <w:tcPr>
            <w:tcW w:type="dxa" w:w="1728"/>
          </w:tcPr>
          <w:p>
            <w:r>
              <w:rPr>
                <w:rFonts w:ascii="Calibri" w:hAnsi="Calibri"/>
                <w:sz w:val="22"/>
              </w:rPr>
              <w:t>N/A (strategic)</w:t>
            </w:r>
          </w:p>
        </w:tc>
        <w:tc>
          <w:tcPr>
            <w:tcW w:type="dxa" w:w="1728"/>
          </w:tcPr>
          <w:p>
            <w:r>
              <w:rPr>
                <w:rFonts w:ascii="Calibri" w:hAnsi="Calibri"/>
                <w:sz w:val="22"/>
              </w:rPr>
              <w:t>↓ Confirmed no-go June 30, 2026 (8-K); charge excluded from adjusted EPS; capital to be redeployed to electronics</w:t>
            </w:r>
          </w:p>
        </w:tc>
      </w:tr>
      <w:tr>
        <w:tc>
          <w:tcPr>
            <w:tcW w:type="dxa" w:w="1728"/>
          </w:tcPr>
          <w:p>
            <w:r>
              <w:rPr>
                <w:rFonts w:ascii="Calibri" w:hAnsi="Calibri"/>
                <w:sz w:val="22"/>
              </w:rPr>
              <w:t>NEOM Green Hydrogen Project</w:t>
            </w:r>
          </w:p>
        </w:tc>
        <w:tc>
          <w:tcPr>
            <w:tcW w:type="dxa" w:w="1728"/>
          </w:tcPr>
          <w:p>
            <w:r>
              <w:rPr>
                <w:rFonts w:ascii="Calibri" w:hAnsi="Calibri"/>
                <w:sz w:val="22"/>
              </w:rPr>
              <w:t>First ammonia beginning of 2027 (modest slip from end-2026); Yara marketing agreement in progress</w:t>
            </w:r>
          </w:p>
        </w:tc>
        <w:tc>
          <w:tcPr>
            <w:tcW w:type="dxa" w:w="1728"/>
          </w:tcPr>
          <w:p>
            <w:r>
              <w:rPr>
                <w:rFonts w:ascii="Calibri" w:hAnsi="Calibri"/>
                <w:sz w:val="22"/>
              </w:rPr>
              <w:t>Yara agreement finalized June 30, 2026 (announced alongside LCEC exit)</w:t>
            </w:r>
          </w:p>
        </w:tc>
        <w:tc>
          <w:tcPr>
            <w:tcW w:type="dxa" w:w="1728"/>
          </w:tcPr>
          <w:p>
            <w:r>
              <w:rPr>
                <w:rFonts w:ascii="Calibri" w:hAnsi="Calibri"/>
                <w:sz w:val="22"/>
              </w:rPr>
              <w:t>N/A (strategic)</w:t>
            </w:r>
          </w:p>
        </w:tc>
        <w:tc>
          <w:tcPr>
            <w:tcW w:type="dxa" w:w="1728"/>
          </w:tcPr>
          <w:p>
            <w:r>
              <w:rPr>
                <w:rFonts w:ascii="Calibri" w:hAnsi="Calibri"/>
                <w:sz w:val="22"/>
              </w:rPr>
              <w:t>↑ Positive: Yara deal removes commercialization uncertainty; first ammonia timeline unchanged</w:t>
            </w:r>
          </w:p>
        </w:tc>
      </w:tr>
      <w:tr>
        <w:tc>
          <w:tcPr>
            <w:tcW w:type="dxa" w:w="1728"/>
          </w:tcPr>
          <w:p>
            <w:r>
              <w:rPr>
                <w:rFonts w:ascii="Calibri" w:hAnsi="Calibri"/>
                <w:sz w:val="22"/>
              </w:rPr>
              <w:t>Helium Headwind</w:t>
            </w:r>
          </w:p>
        </w:tc>
        <w:tc>
          <w:tcPr>
            <w:tcW w:type="dxa" w:w="1728"/>
          </w:tcPr>
          <w:p>
            <w:r>
              <w:rPr>
                <w:rFonts w:ascii="Calibri" w:hAnsi="Calibri"/>
                <w:sz w:val="22"/>
              </w:rPr>
              <w:t>~4% full-year EPS headwind maintained; pricing concessions for long-term volume agreements</w:t>
            </w:r>
          </w:p>
        </w:tc>
        <w:tc>
          <w:tcPr>
            <w:tcW w:type="dxa" w:w="1728"/>
          </w:tcPr>
          <w:p>
            <w:r>
              <w:rPr>
                <w:rFonts w:ascii="Calibri" w:hAnsi="Calibri"/>
                <w:sz w:val="22"/>
              </w:rPr>
              <w:t>—</w:t>
            </w:r>
          </w:p>
        </w:tc>
        <w:tc>
          <w:tcPr>
            <w:tcW w:type="dxa" w:w="1728"/>
          </w:tcPr>
          <w:p>
            <w:r>
              <w:rPr>
                <w:rFonts w:ascii="Calibri" w:hAnsi="Calibri"/>
                <w:sz w:val="22"/>
              </w:rPr>
              <w:t>N/A (embedded in EPS)</w:t>
            </w:r>
          </w:p>
        </w:tc>
        <w:tc>
          <w:tcPr>
            <w:tcW w:type="dxa" w:w="1728"/>
          </w:tcPr>
          <w:p>
            <w:r>
              <w:rPr>
                <w:rFonts w:ascii="Calibri" w:hAnsi="Calibri"/>
                <w:sz w:val="22"/>
              </w:rPr>
              <w:t>Unchanged; management explicitly declined to include spot market upside in guidance</w:t>
            </w:r>
          </w:p>
        </w:tc>
      </w:tr>
      <w:tr>
        <w:tc>
          <w:tcPr>
            <w:tcW w:type="dxa" w:w="1728"/>
          </w:tcPr>
          <w:p>
            <w:r>
              <w:rPr>
                <w:rFonts w:ascii="Calibri" w:hAnsi="Calibri"/>
                <w:sz w:val="22"/>
              </w:rPr>
              <w:t>Productivity Savings</w:t>
            </w:r>
          </w:p>
        </w:tc>
        <w:tc>
          <w:tcPr>
            <w:tcW w:type="dxa" w:w="1728"/>
          </w:tcPr>
          <w:p>
            <w:r>
              <w:rPr>
                <w:rFonts w:ascii="Calibri" w:hAnsi="Calibri"/>
                <w:sz w:val="22"/>
              </w:rPr>
              <w:t>~$100M FY2026 target; ~$50M achieved H1 (on track)</w:t>
            </w:r>
          </w:p>
        </w:tc>
        <w:tc>
          <w:tcPr>
            <w:tcW w:type="dxa" w:w="1728"/>
          </w:tcPr>
          <w:p>
            <w:r>
              <w:rPr>
                <w:rFonts w:ascii="Calibri" w:hAnsi="Calibri"/>
                <w:sz w:val="22"/>
              </w:rPr>
              <w:t>—</w:t>
            </w:r>
          </w:p>
        </w:tc>
        <w:tc>
          <w:tcPr>
            <w:tcW w:type="dxa" w:w="1728"/>
          </w:tcPr>
          <w:p>
            <w:r>
              <w:rPr>
                <w:rFonts w:ascii="Calibri" w:hAnsi="Calibri"/>
                <w:sz w:val="22"/>
              </w:rPr>
              <w:t>N/A (embedded in EPS)</w:t>
            </w:r>
          </w:p>
        </w:tc>
        <w:tc>
          <w:tcPr>
            <w:tcW w:type="dxa" w:w="1728"/>
          </w:tcPr>
          <w:p>
            <w:r>
              <w:rPr>
                <w:rFonts w:ascii="Calibri" w:hAnsi="Calibri"/>
                <w:sz w:val="22"/>
              </w:rPr>
              <w:t>On track; second half should see remaining ~$50M benefit</w:t>
            </w:r>
          </w:p>
        </w:tc>
      </w:tr>
    </w:tbl>
    <w:p>
      <w:r>
        <w:rPr>
          <w:rFonts w:ascii="Calibri" w:hAnsi="Calibri"/>
          <w:color w:val="525866"/>
          <w:sz w:val="22"/>
        </w:rPr>
        <w:t xml:space="preserve">The most significant post-earnings development was the </w:t>
      </w:r>
      <w:r>
        <w:rPr>
          <w:rFonts w:ascii="Calibri" w:hAnsi="Calibri"/>
          <w:b/>
          <w:color w:val="525866"/>
          <w:sz w:val="22"/>
        </w:rPr>
        <w:t>June 30, 2026 8-K announcing the LCEC project exit</w:t>
      </w:r>
      <w:r>
        <w:rPr>
          <w:rFonts w:ascii="Calibri" w:hAnsi="Calibri"/>
          <w:color w:val="525866"/>
          <w:sz w:val="22"/>
        </w:rPr>
        <w:t xml:space="preserve"> — a decision the market had been anticipating since management set the base case as "not proceeding" on the April 30 call. The announcement confirmed the no-go, disclosed a charge of up to $2.9B pre-tax (~$2.2B after-tax) to be recorded in Q3, and simultaneously announced the finalization of the Yara marketing and distribution agreement for NEOM renewable ammonia. The Bernstein conference (May 27) provided additional color on the Louisiana decision process and confirmed the July board meeting timeline, but did not change guidance. Management's tone at Bernstein was consistent with the Q2 call: cautious on macro (Europe chemicals, Asia underlying), constructive on electronics and U.S. refining, and disciplined on capital.</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remarkably stable since the Q2 print</w:t>
      </w:r>
      <w:r>
        <w:rPr>
          <w:rFonts w:ascii="Calibri" w:hAnsi="Calibri"/>
          <w:color w:val="525866"/>
          <w:sz w:val="22"/>
        </w:rPr>
        <w:t xml:space="preserve"> — Q3 EPS consensus has barely moved from the post-earnings baseline, tracking management's guidance midpoint. </w:t>
      </w:r>
      <w:r>
        <w:rPr>
          <w:rFonts w:ascii="Calibri" w:hAnsi="Calibri"/>
          <w:b/>
          <w:color w:val="525866"/>
          <w:sz w:val="22"/>
        </w:rPr>
        <w:t>The gap between consensus and guidance is minimal, suggesting the street is not pricing in a beat or a miss</w:t>
      </w:r>
      <w:r>
        <w:rPr>
          <w:rFonts w:ascii="Calibri" w:hAnsi="Calibri"/>
          <w:color w:val="525866"/>
          <w:sz w:val="22"/>
        </w:rPr>
        <w:t xml:space="preserve"> — any upside from electronics or refining volumes would be incremental.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Q3 FY2026</w:t>
            </w:r>
          </w:p>
        </w:tc>
        <w:tc>
          <w:tcPr>
            <w:tcW w:type="dxa" w:w="1080"/>
          </w:tcPr>
          <w:p>
            <w:r>
              <w:rPr>
                <w:rFonts w:ascii="Calibri" w:hAnsi="Calibri"/>
                <w:sz w:val="22"/>
              </w:rPr>
              <w:t>$3.34</w:t>
            </w:r>
          </w:p>
        </w:tc>
        <w:tc>
          <w:tcPr>
            <w:tcW w:type="dxa" w:w="1080"/>
          </w:tcPr>
          <w:p>
            <w:r>
              <w:rPr>
                <w:rFonts w:ascii="Calibri" w:hAnsi="Calibri"/>
                <w:sz w:val="22"/>
              </w:rPr>
              <w:t>$3.34</w:t>
            </w:r>
          </w:p>
        </w:tc>
        <w:tc>
          <w:tcPr>
            <w:tcW w:type="dxa" w:w="1080"/>
          </w:tcPr>
          <w:p>
            <w:r>
              <w:rPr>
                <w:rFonts w:ascii="Calibri" w:hAnsi="Calibri"/>
                <w:sz w:val="22"/>
              </w:rPr>
              <w:t>0.0%</w:t>
            </w:r>
          </w:p>
        </w:tc>
        <w:tc>
          <w:tcPr>
            <w:tcW w:type="dxa" w:w="1080"/>
          </w:tcPr>
          <w:p>
            <w:r>
              <w:rPr>
                <w:rFonts w:ascii="Calibri" w:hAnsi="Calibri"/>
                <w:sz w:val="22"/>
              </w:rPr>
              <w:t>$3.25–$3.35 (mid: $3.30)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midpoint</w:t>
            </w:r>
          </w:p>
        </w:tc>
      </w:tr>
      <w:tr>
        <w:tc>
          <w:tcPr>
            <w:tcW w:type="dxa" w:w="1080"/>
          </w:tcPr>
          <w:p>
            <w:r>
              <w:rPr>
                <w:rFonts w:ascii="Calibri" w:hAnsi="Calibri"/>
                <w:sz w:val="22"/>
              </w:rPr>
              <w:t>Revenue — Q3 FY2026</w:t>
            </w:r>
          </w:p>
        </w:tc>
        <w:tc>
          <w:tcPr>
            <w:tcW w:type="dxa" w:w="1080"/>
          </w:tcPr>
          <w:p>
            <w:r>
              <w:rPr>
                <w:rFonts w:ascii="Calibri" w:hAnsi="Calibri"/>
                <w:sz w:val="22"/>
              </w:rPr>
              <w:t>$3,171.6M</w:t>
            </w:r>
          </w:p>
        </w:tc>
        <w:tc>
          <w:tcPr>
            <w:tcW w:type="dxa" w:w="1080"/>
          </w:tcPr>
          <w:p>
            <w:r>
              <w:rPr>
                <w:rFonts w:ascii="Calibri" w:hAnsi="Calibri"/>
                <w:sz w:val="22"/>
              </w:rPr>
              <w:t>$3,191.9M</w:t>
            </w:r>
          </w:p>
        </w:tc>
        <w:tc>
          <w:tcPr>
            <w:tcW w:type="dxa" w:w="1080"/>
          </w:tcPr>
          <w:p>
            <w:r>
              <w:rPr>
                <w:rFonts w:ascii="Calibri" w:hAnsi="Calibri"/>
                <w:sz w:val="22"/>
              </w:rPr>
              <w:t>+0.6%</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$13.09</w:t>
            </w:r>
          </w:p>
        </w:tc>
        <w:tc>
          <w:tcPr>
            <w:tcW w:type="dxa" w:w="1080"/>
          </w:tcPr>
          <w:p>
            <w:r>
              <w:rPr>
                <w:rFonts w:ascii="Calibri" w:hAnsi="Calibri"/>
                <w:sz w:val="22"/>
              </w:rPr>
              <w:t>$13.09</w:t>
            </w:r>
          </w:p>
        </w:tc>
        <w:tc>
          <w:tcPr>
            <w:tcW w:type="dxa" w:w="1080"/>
          </w:tcPr>
          <w:p>
            <w:r>
              <w:rPr>
                <w:rFonts w:ascii="Calibri" w:hAnsi="Calibri"/>
                <w:sz w:val="22"/>
              </w:rPr>
              <w:t>0.0%</w:t>
            </w:r>
          </w:p>
        </w:tc>
        <w:tc>
          <w:tcPr>
            <w:tcW w:type="dxa" w:w="1080"/>
          </w:tcPr>
          <w:p>
            <w:r>
              <w:rPr>
                <w:rFonts w:ascii="Calibri" w:hAnsi="Calibri"/>
                <w:sz w:val="22"/>
              </w:rPr>
              <w:t>$13.00–$13.25 (mid: $13.13)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below midpoint</w:t>
            </w:r>
          </w:p>
        </w:tc>
      </w:tr>
      <w:tr>
        <w:tc>
          <w:tcPr>
            <w:tcW w:type="dxa" w:w="1080"/>
          </w:tcPr>
          <w:p>
            <w:r>
              <w:rPr>
                <w:rFonts w:ascii="Calibri" w:hAnsi="Calibri"/>
                <w:sz w:val="22"/>
              </w:rPr>
              <w:t>Revenue — FY2026</w:t>
            </w:r>
          </w:p>
        </w:tc>
        <w:tc>
          <w:tcPr>
            <w:tcW w:type="dxa" w:w="1080"/>
          </w:tcPr>
          <w:p>
            <w:r>
              <w:rPr>
                <w:rFonts w:ascii="Calibri" w:hAnsi="Calibri"/>
                <w:sz w:val="22"/>
              </w:rPr>
              <w:t>$3,068.0M (Q3 est. at time)</w:t>
            </w:r>
          </w:p>
        </w:tc>
        <w:tc>
          <w:tcPr>
            <w:tcW w:type="dxa" w:w="1080"/>
          </w:tcPr>
          <w:p>
            <w:r>
              <w:rPr>
                <w:rFonts w:ascii="Calibri" w:hAnsi="Calibri"/>
                <w:sz w:val="22"/>
              </w:rPr>
              <w:t>$3,191.9M (Q3) / $3,309.2M (Q4)</w:t>
            </w:r>
          </w:p>
        </w:tc>
        <w:tc>
          <w:tcPr>
            <w:tcW w:type="dxa" w:w="1080"/>
          </w:tcPr>
          <w:p>
            <w:r>
              <w:rPr>
                <w:rFonts w:ascii="Calibri" w:hAnsi="Calibri"/>
                <w:sz w:val="22"/>
              </w:rPr>
              <w:t>+0.6% (Q3)</w:t>
            </w:r>
          </w:p>
        </w:tc>
        <w:tc>
          <w:tcPr>
            <w:tcW w:type="dxa" w:w="1080"/>
          </w:tcPr>
          <w:p>
            <w:r>
              <w:rPr>
                <w:rFonts w:ascii="Calibri" w:hAnsi="Calibri"/>
                <w:sz w:val="22"/>
              </w:rPr>
              <w:t>No explicit FY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Income — Q3 FY2026</w:t>
            </w:r>
          </w:p>
        </w:tc>
        <w:tc>
          <w:tcPr>
            <w:tcW w:type="dxa" w:w="1080"/>
          </w:tcPr>
          <w:p>
            <w:r>
              <w:rPr>
                <w:rFonts w:ascii="Calibri" w:hAnsi="Calibri"/>
                <w:sz w:val="22"/>
              </w:rPr>
              <w:t>$797.2M</w:t>
            </w:r>
          </w:p>
        </w:tc>
        <w:tc>
          <w:tcPr>
            <w:tcW w:type="dxa" w:w="1080"/>
          </w:tcPr>
          <w:p>
            <w:r>
              <w:rPr>
                <w:rFonts w:ascii="Calibri" w:hAnsi="Calibri"/>
                <w:sz w:val="22"/>
              </w:rPr>
              <w:t>$802.3M</w:t>
            </w:r>
          </w:p>
        </w:tc>
        <w:tc>
          <w:tcPr>
            <w:tcW w:type="dxa" w:w="1080"/>
          </w:tcPr>
          <w:p>
            <w:r>
              <w:rPr>
                <w:rFonts w:ascii="Calibri" w:hAnsi="Calibri"/>
                <w:sz w:val="22"/>
              </w:rPr>
              <w:t>+0.6%</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essentially frozen since the Q2 print — the street took management's guidance at face value and has not revised materially in either direction. The slight upward drift in Q3 revenue (+0.6%) likely reflects modest FX and energy pass-through adjustments. The absence of estimate revision momentum (either up or down) means the print itself will be the catalyst: a beat on EPS or volume commentary would be the first meaningful signal since April 30. The LCEC charge does not affect adjusted EPS consensus but will dominate the GAAP reported line.</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APD has </w:t>
      </w:r>
      <w:r>
        <w:rPr>
          <w:rFonts w:ascii="Calibri" w:hAnsi="Calibri"/>
          <w:b/>
          <w:color w:val="525866"/>
          <w:sz w:val="22"/>
        </w:rPr>
        <w:t>underperformed both LIN (+2.0%) and the S&amp;P 500 (+1.5%) since the April 30 earnings print</w:t>
      </w:r>
      <w:r>
        <w:rPr>
          <w:rFonts w:ascii="Calibri" w:hAnsi="Calibri"/>
          <w:color w:val="525866"/>
          <w:sz w:val="22"/>
        </w:rPr>
        <w:t xml:space="preserve">, declining ~1.9% in total. The underperformance was driven by </w:t>
      </w:r>
      <w:r>
        <w:rPr>
          <w:rFonts w:ascii="Calibri" w:hAnsi="Calibri"/>
          <w:b/>
          <w:color w:val="525866"/>
          <w:sz w:val="22"/>
        </w:rPr>
        <w:t>multiple compression and macro uncertainty</w:t>
      </w:r>
      <w:r>
        <w:rPr>
          <w:rFonts w:ascii="Calibri" w:hAnsi="Calibri"/>
          <w:color w:val="525866"/>
          <w:sz w:val="22"/>
        </w:rPr>
        <w:t xml:space="preserve"> in May–June, before the June 30 LCEC announcement triggered a sharp ~8% single-day rally that partially reversed as the market digested the $2.9B charge implications.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APD vs. LIN vs. S&amp;P 500 (SPY) — Indexed to 100 at April 30, 2026 earnings date. Sector ETF: LIN (Linde plc) used as the primary industrial gases peer benchmark. Key events marked: Bernstein Conference (May 27), LCEC Exit Announcement (June 30).</w:t>
      </w:r>
    </w:p>
    <w:p>
      <w:r>
        <w:rPr>
          <w:rFonts w:ascii="Calibri" w:hAnsi="Calibri"/>
          <w:color w:val="525866"/>
          <w:sz w:val="22"/>
        </w:rPr>
        <w:t xml:space="preserve">APD opened the post-earnings period near its prior close (~$300) and drifted lower through May and June, underperforming LIN which held relatively flat. The divergence reflects two dynamics: (1) LIN's cleaner earnings story with no mega-project overhang, and (2) APD's continued uncertainty around the Louisiana project decision. The </w:t>
      </w:r>
      <w:r>
        <w:rPr>
          <w:rFonts w:ascii="Calibri" w:hAnsi="Calibri"/>
          <w:b/>
          <w:color w:val="525866"/>
          <w:sz w:val="22"/>
        </w:rPr>
        <w:t>June 30 LCEC announcement was a significant positive catalyst</w:t>
      </w:r>
      <w:r>
        <w:rPr>
          <w:rFonts w:ascii="Calibri" w:hAnsi="Calibri"/>
          <w:color w:val="525866"/>
          <w:sz w:val="22"/>
        </w:rPr>
        <w:t xml:space="preserve"> — the stock surged from ~$271 (June 29 close) to ~$293 on June 30 and continued to ~$314 by July 2, as the market interpreted the project exit as a capital discipline signal and a redeployment of resources toward higher-return electronics projects. However, the stock has since given back some of those gains, settling around $292–$294 as of late July, as investors weigh the $2.9B charge magnitude and await Q3 results. The sector ETF used is LIN (Linde plc), the most direct industrial gases peer and the best benchmark for APD's core business.</w:t>
      </w:r>
    </w:p>
    <w:p>
      <w:r>
        <w:br w:type="page"/>
      </w:r>
    </w:p>
    <w:p>
      <w:pPr>
        <w:pStyle w:val="Heading1"/>
        <w:pBdr>
          <w:bottom w:val="single" w:sz="4" w:space="1" w:color="FB9120"/>
        </w:pBdr>
      </w:pPr>
      <w:r>
        <w:rPr>
          <w:rFonts w:ascii="Calibri" w:hAnsi="Calibri"/>
          <w:b/>
          <w:color w:val="3B4259"/>
          <w:sz w:val="40"/>
        </w:rPr>
        <w:t>6. Peer Commentaries —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broadly constructive for APD's Q3 print</w:t>
      </w:r>
      <w:r>
        <w:rPr>
          <w:rFonts w:ascii="Calibri" w:hAnsi="Calibri"/>
          <w:color w:val="525866"/>
          <w:sz w:val="22"/>
        </w:rPr>
        <w:t xml:space="preserve"> — Linde's Q1 2026 results (reported May 1) and Ecolab's Q2 2026 results (reported July 28) both confirm the electronics supercycle is accelerating, U.S. refining hydrogen demand is strong, and helium is tightening. The </w:t>
      </w:r>
      <w:r>
        <w:rPr>
          <w:rFonts w:ascii="Calibri" w:hAnsi="Calibri"/>
          <w:b/>
          <w:color w:val="525866"/>
          <w:sz w:val="22"/>
        </w:rPr>
        <w:t>key risk read-through is Europe</w:t>
      </w:r>
      <w:r>
        <w:rPr>
          <w:rFonts w:ascii="Calibri" w:hAnsi="Calibri"/>
          <w:color w:val="525866"/>
          <w:sz w:val="22"/>
        </w:rPr>
        <w:t>, where both Linde and Dow flag continued industrial weakness and energy cost headwinds that could weigh on APD's European merchant volumes.</w:t>
      </w:r>
    </w:p>
    <w:p>
      <w:r>
        <w:rPr>
          <w:rFonts w:ascii="Calibri" w:hAnsi="Calibri"/>
          <w:b/>
          <w:color w:val="525866"/>
          <w:sz w:val="22"/>
        </w:rPr>
        <w:t xml:space="preserve">Note: </w:t>
      </w:r>
      <w:r>
        <w:rPr>
          <w:rFonts w:ascii="Calibri" w:hAnsi="Calibri"/>
          <w:i/>
          <w:color w:val="525866"/>
          <w:sz w:val="22"/>
        </w:rPr>
        <w:t>Only commentary about APD's current reporting quarter (Q3 FY2026, calendar April–June 2026) or post-Q2 earnings commentary about forward conditions is included below. Prior-quarter results commentary has been excluded.</w:t>
      </w:r>
    </w:p>
    <w:p>
      <w:pPr>
        <w:pStyle w:val="Heading2"/>
      </w:pPr>
      <w:r>
        <w:rPr>
          <w:rFonts w:ascii="Calibri" w:hAnsi="Calibri"/>
          <w:b/>
          <w:color w:val="3B4259"/>
          <w:sz w:val="28"/>
        </w:rPr>
        <w:t>Linde (LIN) — Q1 2026 Earnings Call (May 1, 2026)</w:t>
      </w:r>
    </w:p>
    <w:p>
      <w:r>
        <w:rPr>
          <w:rFonts w:ascii="Calibri" w:hAnsi="Calibri"/>
          <w:b/>
          <w:color w:val="525866"/>
          <w:sz w:val="22"/>
        </w:rPr>
        <w:t xml:space="preserve">Relevance: </w:t>
      </w:r>
      <w:r>
        <w:rPr>
          <w:rFonts w:ascii="Calibri" w:hAnsi="Calibri"/>
          <w:color w:val="525866"/>
          <w:sz w:val="22"/>
        </w:rPr>
        <w:t>Linde is APD's closest peer in industrial gases and the most direct read-through for pricing, volume, and end-market trends.</w:t>
      </w:r>
    </w:p>
    <w:p>
      <w:pPr>
        <w:pStyle w:val="ListBullet"/>
        <w:ind w:left="360" w:hanging="360"/>
      </w:pPr>
      <w:r>
        <w:rPr>
          <w:rFonts w:ascii="Calibri" w:hAnsi="Calibri"/>
          <w:b/>
          <w:color w:val="525866"/>
          <w:sz w:val="22"/>
        </w:rPr>
        <w:t xml:space="preserve">Electronics (+10% YoY): </w:t>
      </w:r>
      <w:r>
        <w:rPr>
          <w:rFonts w:ascii="Calibri" w:hAnsi="Calibri"/>
          <w:color w:val="525866"/>
          <w:sz w:val="22"/>
        </w:rPr>
        <w:t xml:space="preserve">"Electronics increased the most at 10%, primarily driven by continued investments in advanced chips to support AI." Growth heavily weighted toward U.S., China, and Korea. Linde investing &gt;$1B of project backlog in ultra-high purity plants for advanced fabs. </w:t>
      </w:r>
    </w:p>
    <w:p>
      <w:pPr>
        <w:pStyle w:val="ListBullet"/>
        <w:ind w:left="360" w:hanging="360"/>
      </w:pPr>
      <w:r>
        <w:rPr>
          <w:rFonts w:ascii="Calibri" w:hAnsi="Calibri"/>
          <w:b/>
          <w:color w:val="525866"/>
          <w:sz w:val="22"/>
        </w:rPr>
        <w:t xml:space="preserve">Read-through for APD: </w:t>
      </w:r>
      <w:r>
        <w:rPr>
          <w:rFonts w:ascii="Calibri" w:hAnsi="Calibri"/>
          <w:color w:val="525866"/>
          <w:sz w:val="22"/>
        </w:rPr>
        <w:t>Strongly positive. APD's Samsung Korea win and ~$1B Asia ASU/hydrogen backlog are directly aligned with this trend. If Linde saw 10% electronics growth in Q1, APD's Q3 (calendar Q2) electronics volumes should be similarly strong.</w:t>
      </w:r>
    </w:p>
    <w:p>
      <w:pPr>
        <w:pStyle w:val="ListBullet"/>
        <w:ind w:left="360" w:hanging="360"/>
      </w:pPr>
      <w:r>
        <w:rPr>
          <w:rFonts w:ascii="Calibri" w:hAnsi="Calibri"/>
          <w:b/>
          <w:color w:val="525866"/>
          <w:sz w:val="22"/>
        </w:rPr>
        <w:t xml:space="preserve">Helium — Tightening but disciplined: </w:t>
      </w:r>
      <w:r>
        <w:rPr>
          <w:rFonts w:ascii="Calibri" w:hAnsi="Calibri"/>
          <w:color w:val="525866"/>
          <w:sz w:val="22"/>
        </w:rPr>
        <w:t>"Helium was an oversupply for a few years through 2025, but recent events have created acute global shortages." Linde is 85–90% contracted, prioritizing long-term agreements over spot sales. "I don't anticipate significant spot sales this year since we're focused on securing long-term agreements." Pricing rising on average since the Iranian conflict.</w:t>
      </w:r>
    </w:p>
    <w:p>
      <w:pPr>
        <w:pStyle w:val="ListBullet"/>
        <w:ind w:left="360" w:hanging="360"/>
      </w:pPr>
      <w:r>
        <w:rPr>
          <w:rFonts w:ascii="Calibri" w:hAnsi="Calibri"/>
          <w:b/>
          <w:color w:val="525866"/>
          <w:sz w:val="22"/>
        </w:rPr>
        <w:t xml:space="preserve">Read-through for APD: </w:t>
      </w:r>
      <w:r>
        <w:rPr>
          <w:rFonts w:ascii="Calibri" w:hAnsi="Calibri"/>
          <w:color w:val="525866"/>
          <w:sz w:val="22"/>
        </w:rPr>
        <w:t>Neutral-to-positive. Confirms the market is tightening, but both companies are choosing volume security over spot pricing upside. APD's 4% headwind guidance is consistent with Linde's approach. Any spot market upside would be incremental to both.</w:t>
      </w:r>
    </w:p>
    <w:p>
      <w:pPr>
        <w:pStyle w:val="ListBullet"/>
        <w:ind w:left="360" w:hanging="360"/>
      </w:pPr>
      <w:r>
        <w:rPr>
          <w:rFonts w:ascii="Calibri" w:hAnsi="Calibri"/>
          <w:b/>
          <w:color w:val="525866"/>
          <w:sz w:val="22"/>
        </w:rPr>
        <w:t xml:space="preserve">U.S. Refining Hydrogen (strong): </w:t>
      </w:r>
      <w:r>
        <w:rPr>
          <w:rFonts w:ascii="Calibri" w:hAnsi="Calibri"/>
          <w:color w:val="525866"/>
          <w:sz w:val="22"/>
        </w:rPr>
        <w:t>"Americas was driven by higher activity for hydrogen and nitrogen in U.S. Gulf Coast refining." Linde expects this strength to continue throughout the year.</w:t>
      </w:r>
    </w:p>
    <w:p>
      <w:pPr>
        <w:pStyle w:val="ListBullet"/>
        <w:ind w:left="360" w:hanging="360"/>
      </w:pPr>
      <w:r>
        <w:rPr>
          <w:rFonts w:ascii="Calibri" w:hAnsi="Calibri"/>
          <w:b/>
          <w:color w:val="525866"/>
          <w:sz w:val="22"/>
        </w:rPr>
        <w:t xml:space="preserve">Read-through for APD: </w:t>
      </w:r>
      <w:r>
        <w:rPr>
          <w:rFonts w:ascii="Calibri" w:hAnsi="Calibri"/>
          <w:color w:val="525866"/>
          <w:sz w:val="22"/>
        </w:rPr>
        <w:t>Positive. APD's U.S. hydrogen pipeline is "running very strongly" per the Bernstein conference. Linde's confirmation of sustained Gulf Coast refining demand supports APD's on-site volume outlook.</w:t>
      </w:r>
    </w:p>
    <w:p>
      <w:pPr>
        <w:pStyle w:val="ListBullet"/>
        <w:ind w:left="360" w:hanging="360"/>
      </w:pPr>
      <w:r>
        <w:rPr>
          <w:rFonts w:ascii="Calibri" w:hAnsi="Calibri"/>
          <w:b/>
          <w:color w:val="525866"/>
          <w:sz w:val="22"/>
        </w:rPr>
        <w:t xml:space="preserve">Europe (weak, structural): </w:t>
      </w:r>
      <w:r>
        <w:rPr>
          <w:rFonts w:ascii="Calibri" w:hAnsi="Calibri"/>
          <w:color w:val="525866"/>
          <w:sz w:val="22"/>
        </w:rPr>
        <w:t>"EMEA continues to experience negative volumes, primarily from on-site customers shifting production to more competitive assets outside Continental Europe." Middle East conflict impacts on EMEA activity noted.</w:t>
      </w:r>
    </w:p>
    <w:p>
      <w:pPr>
        <w:pStyle w:val="ListBullet"/>
        <w:ind w:left="360" w:hanging="360"/>
      </w:pPr>
      <w:r>
        <w:rPr>
          <w:rFonts w:ascii="Calibri" w:hAnsi="Calibri"/>
          <w:b/>
          <w:color w:val="525866"/>
          <w:sz w:val="22"/>
        </w:rPr>
        <w:t xml:space="preserve">Read-through for APD: </w:t>
      </w:r>
      <w:r>
        <w:rPr>
          <w:rFonts w:ascii="Calibri" w:hAnsi="Calibri"/>
          <w:color w:val="525866"/>
          <w:sz w:val="22"/>
        </w:rPr>
        <w:t>Negative. APD has less European chemical exposure than Linde but is not immune. Management's caution on European chemicals in the second half is validated.</w:t>
      </w:r>
    </w:p>
    <w:p>
      <w:pPr>
        <w:pStyle w:val="ListBullet"/>
        <w:ind w:left="360" w:hanging="360"/>
      </w:pPr>
      <w:r>
        <w:rPr>
          <w:rFonts w:ascii="Calibri" w:hAnsi="Calibri"/>
          <w:b/>
          <w:color w:val="525866"/>
          <w:sz w:val="22"/>
        </w:rPr>
        <w:t xml:space="preserve">Aerospace/Manufacturing (strong): </w:t>
      </w:r>
      <w:r>
        <w:rPr>
          <w:rFonts w:ascii="Calibri" w:hAnsi="Calibri"/>
          <w:color w:val="525866"/>
          <w:sz w:val="22"/>
        </w:rPr>
        <w:t>"Half of the increase [in manufacturing] came from aerospace activity in United States, primarily supporting space vehicle production, testing and launch as this end use continues to see strong double-digit percent growth."</w:t>
      </w:r>
    </w:p>
    <w:p>
      <w:pPr>
        <w:pStyle w:val="ListBullet"/>
        <w:ind w:left="360" w:hanging="360"/>
      </w:pPr>
      <w:r>
        <w:rPr>
          <w:rFonts w:ascii="Calibri" w:hAnsi="Calibri"/>
          <w:b/>
          <w:color w:val="525866"/>
          <w:sz w:val="22"/>
        </w:rPr>
        <w:t xml:space="preserve">Read-through for APD: </w:t>
      </w:r>
      <w:r>
        <w:rPr>
          <w:rFonts w:ascii="Calibri" w:hAnsi="Calibri"/>
          <w:color w:val="525866"/>
          <w:sz w:val="22"/>
        </w:rPr>
        <w:t>Positive. APD cited better-than-expected helium volumes from space launches in Q2 and announced a new Florida ASU for NASA/commercial launches. Linde's double-digit aerospace growth confirms the trend is durable.</w:t>
      </w:r>
    </w:p>
    <w:p>
      <w:pPr>
        <w:pStyle w:val="ListBullet"/>
        <w:ind w:left="360" w:hanging="360"/>
      </w:pPr>
      <w:r>
        <w:rPr>
          <w:rFonts w:ascii="Calibri" w:hAnsi="Calibri"/>
          <w:b/>
          <w:color w:val="525866"/>
          <w:sz w:val="22"/>
        </w:rPr>
        <w:t xml:space="preserve">Full-year 2026 guidance raised: </w:t>
      </w:r>
      <w:r>
        <w:rPr>
          <w:rFonts w:ascii="Calibri" w:hAnsi="Calibri"/>
          <w:color w:val="525866"/>
          <w:sz w:val="22"/>
        </w:rPr>
        <w:t>Linde raised FY2026 EPS guidance to $17.60–$17.90 (7–9% growth), raised the bottom by $0.20 "from increased confidence in the overall business resiliency." Expects to raise margins above the traditional 40–60 bps range.</w:t>
      </w:r>
    </w:p>
    <w:p>
      <w:pPr>
        <w:pStyle w:val="ListBullet"/>
        <w:ind w:left="360" w:hanging="360"/>
      </w:pPr>
      <w:r>
        <w:rPr>
          <w:rFonts w:ascii="Calibri" w:hAnsi="Calibri"/>
          <w:b/>
          <w:color w:val="525866"/>
          <w:sz w:val="22"/>
        </w:rPr>
        <w:t xml:space="preserve">Read-through for APD: </w:t>
      </w:r>
      <w:r>
        <w:rPr>
          <w:rFonts w:ascii="Calibri" w:hAnsi="Calibri"/>
          <w:color w:val="525866"/>
          <w:sz w:val="22"/>
        </w:rPr>
        <w:t>Positive sentiment signal. Linde's confidence in business resiliency despite macro headwinds is a constructive read for APD's ability to deliver on its own 8–10% EPS growth guidance.</w:t>
      </w:r>
    </w:p>
    <w:p>
      <w:pPr>
        <w:pStyle w:val="Heading2"/>
      </w:pPr>
      <w:r>
        <w:rPr>
          <w:rFonts w:ascii="Calibri" w:hAnsi="Calibri"/>
          <w:b/>
          <w:color w:val="3B4259"/>
          <w:sz w:val="28"/>
        </w:rPr>
        <w:t>Ecolab (ECL) — Q2 2026 Earnings Call (July 28, 2026)</w:t>
      </w:r>
    </w:p>
    <w:p>
      <w:r>
        <w:rPr>
          <w:rFonts w:ascii="Calibri" w:hAnsi="Calibri"/>
          <w:b/>
          <w:color w:val="525866"/>
          <w:sz w:val="22"/>
        </w:rPr>
        <w:t xml:space="preserve">Relevance: </w:t>
      </w:r>
      <w:r>
        <w:rPr>
          <w:rFonts w:ascii="Calibri" w:hAnsi="Calibri"/>
          <w:color w:val="525866"/>
          <w:sz w:val="22"/>
        </w:rPr>
        <w:t>Ecolab's Global High Tech segment (microelectronics + data centers) is a direct read-through for semiconductor fab activity and AI infrastructure build-out, which drives APD's electronics gas demand.</w:t>
      </w:r>
    </w:p>
    <w:p>
      <w:pPr>
        <w:pStyle w:val="ListBullet"/>
        <w:ind w:left="360" w:hanging="360"/>
      </w:pPr>
      <w:r>
        <w:rPr>
          <w:rFonts w:ascii="Calibri" w:hAnsi="Calibri"/>
          <w:b/>
          <w:color w:val="525866"/>
          <w:sz w:val="22"/>
        </w:rPr>
        <w:t xml:space="preserve">Global High Tech +29% YoY (accelerating): </w:t>
      </w:r>
      <w:r>
        <w:rPr>
          <w:rFonts w:ascii="Calibri" w:hAnsi="Calibri"/>
          <w:color w:val="525866"/>
          <w:sz w:val="22"/>
        </w:rPr>
        <w:t>"Our Global High Tech segment experienced accelerated growth of 29%, driven by very strong demand across both microelectronics and data centers, fueled by the rapid build-out of AI infrastructure." Segment approaching $1.5B in annualized sales (up from ~$150M in 2021). Target raised to &gt;25% annual growth and $4B in sales by 2030.</w:t>
      </w:r>
    </w:p>
    <w:p>
      <w:pPr>
        <w:pStyle w:val="ListBullet"/>
        <w:ind w:left="360" w:hanging="360"/>
      </w:pPr>
      <w:r>
        <w:rPr>
          <w:rFonts w:ascii="Calibri" w:hAnsi="Calibri"/>
          <w:b/>
          <w:color w:val="525866"/>
          <w:sz w:val="22"/>
        </w:rPr>
        <w:t xml:space="preserve">Read-through for APD: </w:t>
      </w:r>
      <w:r>
        <w:rPr>
          <w:rFonts w:ascii="Calibri" w:hAnsi="Calibri"/>
          <w:color w:val="525866"/>
          <w:sz w:val="22"/>
        </w:rPr>
        <w:t>Strongly positive. Ecolab's 29% electronics growth in Q2 (calendar) is the most recent and most direct read-through for APD's Q3 FY2026 electronics volumes. The acceleration from Linde's 10% in Q1 to Ecolab's 29% in Q2 suggests the supercycle is intensifying, which is directly relevant to APD's Samsung Korea project and Asia ASU backlog.</w:t>
      </w:r>
    </w:p>
    <w:p>
      <w:pPr>
        <w:pStyle w:val="ListBullet"/>
        <w:ind w:left="360" w:hanging="360"/>
      </w:pPr>
      <w:r>
        <w:rPr>
          <w:rFonts w:ascii="Calibri" w:hAnsi="Calibri"/>
          <w:b/>
          <w:color w:val="525866"/>
          <w:sz w:val="22"/>
        </w:rPr>
        <w:t xml:space="preserve">Middle East headwind on volumes: </w:t>
      </w:r>
      <w:r>
        <w:rPr>
          <w:rFonts w:ascii="Calibri" w:hAnsi="Calibri"/>
          <w:color w:val="525866"/>
          <w:sz w:val="22"/>
        </w:rPr>
        <w:t>"Volumes grew by 1% in the second quarter, despite a nearly 1% headwind caused by customer operations disrupted by the conflict in the Middle East." Company expects 1% volume run rate for next few quarters.</w:t>
      </w:r>
    </w:p>
    <w:p>
      <w:pPr>
        <w:pStyle w:val="ListBullet"/>
        <w:ind w:left="360" w:hanging="360"/>
      </w:pPr>
      <w:r>
        <w:rPr>
          <w:rFonts w:ascii="Calibri" w:hAnsi="Calibri"/>
          <w:b/>
          <w:color w:val="525866"/>
          <w:sz w:val="22"/>
        </w:rPr>
        <w:t xml:space="preserve">Read-through for APD: </w:t>
      </w:r>
      <w:r>
        <w:rPr>
          <w:rFonts w:ascii="Calibri" w:hAnsi="Calibri"/>
          <w:color w:val="525866"/>
          <w:sz w:val="22"/>
        </w:rPr>
        <w:t>Consistent with APD's own caution. APD's management noted Middle East uncertainty in its second-half guidance. Ecolab's quantification of ~1% volume headwind from the conflict is a useful calibration.</w:t>
      </w:r>
    </w:p>
    <w:p>
      <w:pPr>
        <w:pStyle w:val="ListBullet"/>
        <w:ind w:left="360" w:hanging="360"/>
      </w:pPr>
      <w:r>
        <w:rPr>
          <w:rFonts w:ascii="Calibri" w:hAnsi="Calibri"/>
          <w:b/>
          <w:color w:val="525866"/>
          <w:sz w:val="22"/>
        </w:rPr>
        <w:t xml:space="preserve">Pricing strengthening: </w:t>
      </w:r>
      <w:r>
        <w:rPr>
          <w:rFonts w:ascii="Calibri" w:hAnsi="Calibri"/>
          <w:color w:val="525866"/>
          <w:sz w:val="22"/>
        </w:rPr>
        <w:t>Pricing at 4% in Q2, expected to reach 5–6% in H2 as energy surcharge benefits are fully realized. "Ecolab quickly implemented a global energy surcharge, supported by incremental customer value."</w:t>
      </w:r>
    </w:p>
    <w:p>
      <w:pPr>
        <w:pStyle w:val="ListBullet"/>
        <w:ind w:left="360" w:hanging="360"/>
      </w:pPr>
      <w:r>
        <w:rPr>
          <w:rFonts w:ascii="Calibri" w:hAnsi="Calibri"/>
          <w:b/>
          <w:color w:val="525866"/>
          <w:sz w:val="22"/>
        </w:rPr>
        <w:t xml:space="preserve">Read-through for APD: </w:t>
      </w:r>
      <w:r>
        <w:rPr>
          <w:rFonts w:ascii="Calibri" w:hAnsi="Calibri"/>
          <w:color w:val="525866"/>
          <w:sz w:val="22"/>
        </w:rPr>
        <w:t>Positive. APD's non-helium merchant pricing was up ~2% in Q2 (Americas and Europe). Ecolab's ability to push pricing higher in response to energy costs validates APD's pricing power narrative, though APD's pricing is more contractual and less surcharge-driven.</w:t>
      </w:r>
    </w:p>
    <w:p>
      <w:pPr>
        <w:pStyle w:val="Heading2"/>
      </w:pPr>
      <w:r>
        <w:rPr>
          <w:rFonts w:ascii="Calibri" w:hAnsi="Calibri"/>
          <w:b/>
          <w:color w:val="3B4259"/>
          <w:sz w:val="28"/>
        </w:rPr>
        <w:t>Dow (DOW) — Q2 2026 Earnings Call (July 23, 2026)</w:t>
      </w:r>
    </w:p>
    <w:p>
      <w:r>
        <w:rPr>
          <w:rFonts w:ascii="Calibri" w:hAnsi="Calibri"/>
          <w:b/>
          <w:color w:val="525866"/>
          <w:sz w:val="22"/>
        </w:rPr>
        <w:t xml:space="preserve">Relevance: </w:t>
      </w:r>
      <w:r>
        <w:rPr>
          <w:rFonts w:ascii="Calibri" w:hAnsi="Calibri"/>
          <w:color w:val="525866"/>
          <w:sz w:val="22"/>
        </w:rPr>
        <w:t>Dow is a major industrial chemicals company with significant exposure to the same end markets (refining, chemicals, Europe, Asia) and macro variables (energy costs, Middle East) as APD's merchant and on-site businesses.</w:t>
      </w:r>
    </w:p>
    <w:p>
      <w:pPr>
        <w:pStyle w:val="ListBullet"/>
        <w:ind w:left="360" w:hanging="360"/>
      </w:pPr>
      <w:r>
        <w:rPr>
          <w:rFonts w:ascii="Calibri" w:hAnsi="Calibri"/>
          <w:b/>
          <w:color w:val="525866"/>
          <w:sz w:val="22"/>
        </w:rPr>
        <w:t xml:space="preserve">Middle East / Strait of Hormuz (ongoing disruption): </w:t>
      </w:r>
      <w:r>
        <w:rPr>
          <w:rFonts w:ascii="Calibri" w:hAnsi="Calibri"/>
          <w:color w:val="525866"/>
          <w:sz w:val="22"/>
        </w:rPr>
        <w:t>"Traffic through the Strait of Hormuz remains below historical levels, continuing to disrupt global supply chains." Dow notes "renewed value placed on supply security, including both reliability and logistics in Europe."</w:t>
      </w:r>
    </w:p>
    <w:p>
      <w:pPr>
        <w:pStyle w:val="ListBullet"/>
        <w:ind w:left="360" w:hanging="360"/>
      </w:pPr>
      <w:r>
        <w:rPr>
          <w:rFonts w:ascii="Calibri" w:hAnsi="Calibri"/>
          <w:b/>
          <w:color w:val="525866"/>
          <w:sz w:val="22"/>
        </w:rPr>
        <w:t xml:space="preserve">Read-through for APD: </w:t>
      </w:r>
      <w:r>
        <w:rPr>
          <w:rFonts w:ascii="Calibri" w:hAnsi="Calibri"/>
          <w:color w:val="525866"/>
          <w:sz w:val="22"/>
        </w:rPr>
        <w:t>Consistent with APD's own commentary. The Strait of Hormuz disruption is a persistent headwind for European energy costs and logistics, which APD has flagged as a second-half risk. Dow's framing of supply security as a value driver is also consistent with APD's helium long-term agreement strategy.</w:t>
      </w:r>
    </w:p>
    <w:p>
      <w:pPr>
        <w:pStyle w:val="ListBullet"/>
        <w:ind w:left="360" w:hanging="360"/>
      </w:pPr>
      <w:r>
        <w:rPr>
          <w:rFonts w:ascii="Calibri" w:hAnsi="Calibri"/>
          <w:b/>
          <w:color w:val="525866"/>
          <w:sz w:val="22"/>
        </w:rPr>
        <w:t xml:space="preserve">Europe (structurally weak): </w:t>
      </w:r>
      <w:r>
        <w:rPr>
          <w:rFonts w:ascii="Calibri" w:hAnsi="Calibri"/>
          <w:color w:val="525866"/>
          <w:sz w:val="22"/>
        </w:rPr>
        <w:t>"In Europe. Deeper structural pressures like high operating and labour costs persist." Some constructive dynamics emerging from EU anti-dumping actions, but the overall environment remains challenged.</w:t>
      </w:r>
    </w:p>
    <w:p>
      <w:pPr>
        <w:pStyle w:val="ListBullet"/>
        <w:ind w:left="360" w:hanging="360"/>
      </w:pPr>
      <w:r>
        <w:rPr>
          <w:rFonts w:ascii="Calibri" w:hAnsi="Calibri"/>
          <w:b/>
          <w:color w:val="525866"/>
          <w:sz w:val="22"/>
        </w:rPr>
        <w:t xml:space="preserve">Read-through for APD: </w:t>
      </w:r>
      <w:r>
        <w:rPr>
          <w:rFonts w:ascii="Calibri" w:hAnsi="Calibri"/>
          <w:color w:val="525866"/>
          <w:sz w:val="22"/>
        </w:rPr>
        <w:t>Negative. Validates APD's caution on European chemicals volumes in H2. APD's European business is less chemical-heavy than Dow's, but the structural weakness in European industrial activity is a shared headwind.</w:t>
      </w:r>
    </w:p>
    <w:p>
      <w:pPr>
        <w:pStyle w:val="ListBullet"/>
        <w:ind w:left="360" w:hanging="360"/>
      </w:pPr>
      <w:r>
        <w:rPr>
          <w:rFonts w:ascii="Calibri" w:hAnsi="Calibri"/>
          <w:b/>
          <w:color w:val="525866"/>
          <w:sz w:val="22"/>
        </w:rPr>
        <w:t xml:space="preserve">Data center demand outpacing supply: </w:t>
      </w:r>
      <w:r>
        <w:rPr>
          <w:rFonts w:ascii="Calibri" w:hAnsi="Calibri"/>
          <w:color w:val="525866"/>
          <w:sz w:val="22"/>
        </w:rPr>
        <w:t>"Data center demand is outpacing supply." Dow is partnering with hyperscalers on thermal management, liquid cooling, and energy solutions. Double-digit growth in consumer electronics and industrial electronics.</w:t>
      </w:r>
    </w:p>
    <w:p>
      <w:pPr>
        <w:pStyle w:val="ListBullet"/>
        <w:ind w:left="360" w:hanging="360"/>
      </w:pPr>
      <w:r>
        <w:rPr>
          <w:rFonts w:ascii="Calibri" w:hAnsi="Calibri"/>
          <w:b/>
          <w:color w:val="525866"/>
          <w:sz w:val="22"/>
        </w:rPr>
        <w:t xml:space="preserve">Read-through for APD: </w:t>
      </w:r>
      <w:r>
        <w:rPr>
          <w:rFonts w:ascii="Calibri" w:hAnsi="Calibri"/>
          <w:color w:val="525866"/>
          <w:sz w:val="22"/>
        </w:rPr>
        <w:t>Positive. Corroborates the electronics supercycle narrative. APD's industrial gases (nitrogen, hydrogen, specialty gases) are essential inputs to the same semiconductor fabs and data centers that Dow is serving.</w:t>
      </w:r>
    </w:p>
    <w:p>
      <w:pPr>
        <w:pStyle w:val="ListBullet"/>
        <w:ind w:left="360" w:hanging="360"/>
      </w:pPr>
      <w:r>
        <w:rPr>
          <w:rFonts w:ascii="Calibri" w:hAnsi="Calibri"/>
          <w:b/>
          <w:color w:val="525866"/>
          <w:sz w:val="22"/>
        </w:rPr>
        <w:t xml:space="preserve">Americas resilient: </w:t>
      </w:r>
      <w:r>
        <w:rPr>
          <w:rFonts w:ascii="Calibri" w:hAnsi="Calibri"/>
          <w:color w:val="525866"/>
          <w:sz w:val="22"/>
        </w:rPr>
        <w:t>"In the Americas, consumers have remained steady. Economic activity is constructive, and spending has held up." U.S. ethane pricing expected to remain low due to ample supply.</w:t>
      </w:r>
    </w:p>
    <w:p>
      <w:pPr>
        <w:pStyle w:val="ListBullet"/>
        <w:ind w:left="360" w:hanging="360"/>
      </w:pPr>
      <w:r>
        <w:rPr>
          <w:rFonts w:ascii="Calibri" w:hAnsi="Calibri"/>
          <w:b/>
          <w:color w:val="525866"/>
          <w:sz w:val="22"/>
        </w:rPr>
        <w:t xml:space="preserve">Read-through for APD: </w:t>
      </w:r>
      <w:r>
        <w:rPr>
          <w:rFonts w:ascii="Calibri" w:hAnsi="Calibri"/>
          <w:color w:val="525866"/>
          <w:sz w:val="22"/>
        </w:rPr>
        <w:t>Positive. APD's U.S. on-site business (refining hydrogen, Gulf Coast) is the most stable part of its portfolio. Dow's constructive Americas view supports APD's expectation of continued strong U.S. volumes.</w:t>
      </w:r>
    </w:p>
    <w:p>
      <w:pPr>
        <w:pStyle w:val="ListBullet"/>
        <w:ind w:left="360" w:hanging="360"/>
      </w:pPr>
      <w:r>
        <w:rPr>
          <w:rFonts w:ascii="Calibri" w:hAnsi="Calibri"/>
          <w:b/>
          <w:color w:val="525866"/>
          <w:sz w:val="22"/>
        </w:rPr>
        <w:t xml:space="preserve">Asia Pacific mixed: </w:t>
      </w:r>
      <w:r>
        <w:rPr>
          <w:rFonts w:ascii="Calibri" w:hAnsi="Calibri"/>
          <w:color w:val="525866"/>
          <w:sz w:val="22"/>
        </w:rPr>
        <w:t>"Regional consumer demand remains soft with weakened retail sales in May, but industrial production and manufacturing activity have recently accelerated." China refinery operations normalizing.</w:t>
      </w:r>
    </w:p>
    <w:p>
      <w:pPr>
        <w:pStyle w:val="ListBullet"/>
        <w:ind w:left="360" w:hanging="360"/>
      </w:pPr>
      <w:r>
        <w:rPr>
          <w:rFonts w:ascii="Calibri" w:hAnsi="Calibri"/>
          <w:b/>
          <w:color w:val="525866"/>
          <w:sz w:val="22"/>
        </w:rPr>
        <w:t xml:space="preserve">Read-through for APD: </w:t>
      </w:r>
      <w:r>
        <w:rPr>
          <w:rFonts w:ascii="Calibri" w:hAnsi="Calibri"/>
          <w:color w:val="525866"/>
          <w:sz w:val="22"/>
        </w:rPr>
        <w:t>Mixed. APD's China coal gasification assets are running at high capacity (positive), but broader Chinese market conditions remain deflationary. Consistent with APD's own bifurcated view of China (coal gasification strong, broader market difficult).</w:t>
      </w:r>
    </w:p>
    <w:p>
      <w:pPr>
        <w:pStyle w:val="Heading2"/>
      </w:pPr>
      <w:r>
        <w:rPr>
          <w:rFonts w:ascii="Calibri" w:hAnsi="Calibri"/>
          <w:b/>
          <w:color w:val="3B4259"/>
          <w:sz w:val="28"/>
        </w:rPr>
        <w:t>APD Management — Bernstein Strategic Decisions Conference (May 27, 2026)</w:t>
      </w:r>
    </w:p>
    <w:p>
      <w:r>
        <w:rPr>
          <w:rFonts w:ascii="Calibri" w:hAnsi="Calibri"/>
          <w:b/>
          <w:color w:val="525866"/>
          <w:sz w:val="22"/>
        </w:rPr>
        <w:t xml:space="preserve">Relevance: </w:t>
      </w:r>
      <w:r>
        <w:rPr>
          <w:rFonts w:ascii="Calibri" w:hAnsi="Calibri"/>
          <w:color w:val="525866"/>
          <w:sz w:val="22"/>
        </w:rPr>
        <w:t>This is APD's own management commentary post-Q2 earnings, providing the most direct read on Q3 setup and strategic direction.</w:t>
      </w:r>
    </w:p>
    <w:p>
      <w:pPr>
        <w:pStyle w:val="ListBullet"/>
        <w:ind w:left="360" w:hanging="360"/>
      </w:pPr>
      <w:r>
        <w:rPr>
          <w:rFonts w:ascii="Calibri" w:hAnsi="Calibri"/>
          <w:b/>
          <w:color w:val="525866"/>
          <w:sz w:val="22"/>
        </w:rPr>
        <w:t xml:space="preserve">Q3 guidance conservatism explained: </w:t>
      </w:r>
      <w:r>
        <w:rPr>
          <w:rFonts w:ascii="Calibri" w:hAnsi="Calibri"/>
          <w:color w:val="525866"/>
          <w:sz w:val="22"/>
        </w:rPr>
        <w:t>CFO Schaeffer: "We had forecasted a quite significant turnaround in Q2 that, again, as Eduardo said, did get pushed to Q3 and even over to Q4." Also cautious on "the underlying in Asia" and "chemicals and the underlying in Europe." Turnarounds pushed to H2 will be a headwind.</w:t>
      </w:r>
    </w:p>
    <w:p>
      <w:pPr>
        <w:pStyle w:val="ListBullet"/>
        <w:ind w:left="360" w:hanging="360"/>
      </w:pPr>
      <w:r>
        <w:rPr>
          <w:rFonts w:ascii="Calibri" w:hAnsi="Calibri"/>
          <w:b/>
          <w:color w:val="525866"/>
          <w:sz w:val="22"/>
        </w:rPr>
        <w:t xml:space="preserve">Helium headwind confirmed at 4%: </w:t>
      </w:r>
      <w:r>
        <w:rPr>
          <w:rFonts w:ascii="Calibri" w:hAnsi="Calibri"/>
          <w:color w:val="525866"/>
          <w:sz w:val="22"/>
        </w:rPr>
        <w:t>"On helium, we're maintaining our 4% headwind. We've been able to shore up longer-term supply. So we won't see the large fluctuations that we've seen over the last couple of years. At helium, it's really showing up in getting more sustained growth on the volumes, but that comes with some concessions on pricing."</w:t>
      </w:r>
    </w:p>
    <w:p>
      <w:pPr>
        <w:pStyle w:val="ListBullet"/>
        <w:ind w:left="360" w:hanging="360"/>
      </w:pPr>
      <w:r>
        <w:rPr>
          <w:rFonts w:ascii="Calibri" w:hAnsi="Calibri"/>
          <w:b/>
          <w:color w:val="525866"/>
          <w:sz w:val="22"/>
        </w:rPr>
        <w:t xml:space="preserve">Electronics supercycle conviction: </w:t>
      </w:r>
      <w:r>
        <w:rPr>
          <w:rFonts w:ascii="Calibri" w:hAnsi="Calibri"/>
          <w:color w:val="525866"/>
          <w:sz w:val="22"/>
        </w:rPr>
        <w:t>CEO Menezes: "We are in the middle of the largest CapEx expenditure we've ever seen on the fab side." Samsung Korea site described as "probably the largest site globally for one company for semiconductors" — Phase 5 plant is "3x the size of Phase 1."</w:t>
      </w:r>
    </w:p>
    <w:p>
      <w:pPr>
        <w:pStyle w:val="ListBullet"/>
        <w:ind w:left="360" w:hanging="360"/>
      </w:pPr>
      <w:r>
        <w:rPr>
          <w:rFonts w:ascii="Calibri" w:hAnsi="Calibri"/>
          <w:b/>
          <w:color w:val="525866"/>
          <w:sz w:val="22"/>
        </w:rPr>
        <w:t xml:space="preserve">Capital discipline as strategic priority: </w:t>
      </w:r>
      <w:r>
        <w:rPr>
          <w:rFonts w:ascii="Calibri" w:hAnsi="Calibri"/>
          <w:color w:val="525866"/>
          <w:sz w:val="22"/>
        </w:rPr>
        <w:t>"I see the size of projects and our projects will be different to be smaller projects that we can execute reliably with a team that replicate that time after time." Shift away from mega-projects is structural, not tactical.</w:t>
      </w:r>
    </w:p>
    <w:p>
      <w:pPr>
        <w:pStyle w:val="ListBullet"/>
        <w:ind w:left="360" w:hanging="360"/>
      </w:pPr>
      <w:r>
        <w:rPr>
          <w:rFonts w:ascii="Calibri" w:hAnsi="Calibri"/>
          <w:b/>
          <w:color w:val="525866"/>
          <w:sz w:val="22"/>
        </w:rPr>
        <w:t xml:space="preserve">NEOM on track: </w:t>
      </w:r>
      <w:r>
        <w:rPr>
          <w:rFonts w:ascii="Calibri" w:hAnsi="Calibri"/>
          <w:color w:val="525866"/>
          <w:sz w:val="22"/>
        </w:rPr>
        <w:t>"We are basically done with the power generation side. So we have like close to 4 gigawatts of renewable power between wind and solar." First ammonia expected "at the beginning of next year."</w:t>
      </w:r>
    </w:p>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APD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Electronics / AI Capex</w:t>
            </w:r>
          </w:p>
        </w:tc>
        <w:tc>
          <w:tcPr>
            <w:tcW w:type="dxa" w:w="2160"/>
          </w:tcPr>
          <w:p>
            <w:r>
              <w:rPr>
                <w:rFonts w:ascii="Calibri" w:hAnsi="Calibri"/>
                <w:sz w:val="22"/>
              </w:rPr>
              <w:t>LIN +10% (Q1), ECL +29% (Q2)</w:t>
            </w:r>
          </w:p>
        </w:tc>
        <w:tc>
          <w:tcPr>
            <w:tcW w:type="dxa" w:w="2160"/>
          </w:tcPr>
          <w:p>
            <w:r>
              <w:rPr>
                <w:rFonts w:ascii="Calibri" w:hAnsi="Calibri"/>
                <w:sz w:val="22"/>
              </w:rPr>
              <w:t>APD Asia electronics volumes likely above conservative guide</w:t>
            </w:r>
          </w:p>
        </w:tc>
        <w:tc>
          <w:tcPr>
            <w:tcW w:type="dxa" w:w="2160"/>
          </w:tcPr>
          <w:p>
            <w:r>
              <w:rPr>
                <w:rFonts w:ascii="Calibri" w:hAnsi="Calibri"/>
                <w:b/>
                <w:color w:val="30A46C"/>
                <w:sz w:val="22"/>
              </w:rPr>
              <w:t>Positive</w:t>
            </w:r>
          </w:p>
        </w:tc>
      </w:tr>
      <w:tr>
        <w:tc>
          <w:tcPr>
            <w:tcW w:type="dxa" w:w="2160"/>
          </w:tcPr>
          <w:p>
            <w:r>
              <w:rPr>
                <w:rFonts w:ascii="Calibri" w:hAnsi="Calibri"/>
                <w:sz w:val="22"/>
              </w:rPr>
              <w:t>U.S. Refining Hydrogen</w:t>
            </w:r>
          </w:p>
        </w:tc>
        <w:tc>
          <w:tcPr>
            <w:tcW w:type="dxa" w:w="2160"/>
          </w:tcPr>
          <w:p>
            <w:r>
              <w:rPr>
                <w:rFonts w:ascii="Calibri" w:hAnsi="Calibri"/>
                <w:sz w:val="22"/>
              </w:rPr>
              <w:t>LIN: Americas H&amp;N strong; DOW: Americas resilient</w:t>
            </w:r>
          </w:p>
        </w:tc>
        <w:tc>
          <w:tcPr>
            <w:tcW w:type="dxa" w:w="2160"/>
          </w:tcPr>
          <w:p>
            <w:r>
              <w:rPr>
                <w:rFonts w:ascii="Calibri" w:hAnsi="Calibri"/>
                <w:sz w:val="22"/>
              </w:rPr>
              <w:t>APD Gulf Coast on-site volumes supported</w:t>
            </w:r>
          </w:p>
        </w:tc>
        <w:tc>
          <w:tcPr>
            <w:tcW w:type="dxa" w:w="2160"/>
          </w:tcPr>
          <w:p>
            <w:r>
              <w:rPr>
                <w:rFonts w:ascii="Calibri" w:hAnsi="Calibri"/>
                <w:b/>
                <w:color w:val="30A46C"/>
                <w:sz w:val="22"/>
              </w:rPr>
              <w:t>Positive</w:t>
            </w:r>
          </w:p>
        </w:tc>
      </w:tr>
      <w:tr>
        <w:tc>
          <w:tcPr>
            <w:tcW w:type="dxa" w:w="2160"/>
          </w:tcPr>
          <w:p>
            <w:r>
              <w:rPr>
                <w:rFonts w:ascii="Calibri" w:hAnsi="Calibri"/>
                <w:sz w:val="22"/>
              </w:rPr>
              <w:t>Aerospace / Space</w:t>
            </w:r>
          </w:p>
        </w:tc>
        <w:tc>
          <w:tcPr>
            <w:tcW w:type="dxa" w:w="2160"/>
          </w:tcPr>
          <w:p>
            <w:r>
              <w:rPr>
                <w:rFonts w:ascii="Calibri" w:hAnsi="Calibri"/>
                <w:sz w:val="22"/>
              </w:rPr>
              <w:t>LIN: double-digit aerospace growth in U.S.</w:t>
            </w:r>
          </w:p>
        </w:tc>
        <w:tc>
          <w:tcPr>
            <w:tcW w:type="dxa" w:w="2160"/>
          </w:tcPr>
          <w:p>
            <w:r>
              <w:rPr>
                <w:rFonts w:ascii="Calibri" w:hAnsi="Calibri"/>
                <w:sz w:val="22"/>
              </w:rPr>
              <w:t>APD helium volumes from launches likely above plan</w:t>
            </w:r>
          </w:p>
        </w:tc>
        <w:tc>
          <w:tcPr>
            <w:tcW w:type="dxa" w:w="2160"/>
          </w:tcPr>
          <w:p>
            <w:r>
              <w:rPr>
                <w:rFonts w:ascii="Calibri" w:hAnsi="Calibri"/>
                <w:b/>
                <w:color w:val="30A46C"/>
                <w:sz w:val="22"/>
              </w:rPr>
              <w:t>Positive</w:t>
            </w:r>
          </w:p>
        </w:tc>
      </w:tr>
      <w:tr>
        <w:tc>
          <w:tcPr>
            <w:tcW w:type="dxa" w:w="2160"/>
          </w:tcPr>
          <w:p>
            <w:r>
              <w:rPr>
                <w:rFonts w:ascii="Calibri" w:hAnsi="Calibri"/>
                <w:sz w:val="22"/>
              </w:rPr>
              <w:t>Helium Market</w:t>
            </w:r>
          </w:p>
        </w:tc>
        <w:tc>
          <w:tcPr>
            <w:tcW w:type="dxa" w:w="2160"/>
          </w:tcPr>
          <w:p>
            <w:r>
              <w:rPr>
                <w:rFonts w:ascii="Calibri" w:hAnsi="Calibri"/>
                <w:sz w:val="22"/>
              </w:rPr>
              <w:t>LIN: prioritizing long-term contracts over spot; pricing rising</w:t>
            </w:r>
          </w:p>
        </w:tc>
        <w:tc>
          <w:tcPr>
            <w:tcW w:type="dxa" w:w="2160"/>
          </w:tcPr>
          <w:p>
            <w:r>
              <w:rPr>
                <w:rFonts w:ascii="Calibri" w:hAnsi="Calibri"/>
                <w:sz w:val="22"/>
              </w:rPr>
              <w:t>Consistent with APD's 4% headwind; no spot upside in guidance</w:t>
            </w:r>
          </w:p>
        </w:tc>
        <w:tc>
          <w:tcPr>
            <w:tcW w:type="dxa" w:w="2160"/>
          </w:tcPr>
          <w:p>
            <w:r>
              <w:rPr>
                <w:rFonts w:ascii="Calibri" w:hAnsi="Calibri"/>
                <w:sz w:val="22"/>
              </w:rPr>
              <w:t>Neutral</w:t>
            </w:r>
          </w:p>
        </w:tc>
      </w:tr>
      <w:tr>
        <w:tc>
          <w:tcPr>
            <w:tcW w:type="dxa" w:w="2160"/>
          </w:tcPr>
          <w:p>
            <w:r>
              <w:rPr>
                <w:rFonts w:ascii="Calibri" w:hAnsi="Calibri"/>
                <w:sz w:val="22"/>
              </w:rPr>
              <w:t>Europe Industrial</w:t>
            </w:r>
          </w:p>
        </w:tc>
        <w:tc>
          <w:tcPr>
            <w:tcW w:type="dxa" w:w="2160"/>
          </w:tcPr>
          <w:p>
            <w:r>
              <w:rPr>
                <w:rFonts w:ascii="Calibri" w:hAnsi="Calibri"/>
                <w:sz w:val="22"/>
              </w:rPr>
              <w:t>LIN: EMEA negative volumes; DOW: structural weakness persists</w:t>
            </w:r>
          </w:p>
        </w:tc>
        <w:tc>
          <w:tcPr>
            <w:tcW w:type="dxa" w:w="2160"/>
          </w:tcPr>
          <w:p>
            <w:r>
              <w:rPr>
                <w:rFonts w:ascii="Calibri" w:hAnsi="Calibri"/>
                <w:sz w:val="22"/>
              </w:rPr>
              <w:t>Validates APD's European caution; limited downside surprise</w:t>
            </w:r>
          </w:p>
        </w:tc>
        <w:tc>
          <w:tcPr>
            <w:tcW w:type="dxa" w:w="2160"/>
          </w:tcPr>
          <w:p>
            <w:r>
              <w:rPr>
                <w:rFonts w:ascii="Calibri" w:hAnsi="Calibri"/>
                <w:b/>
                <w:color w:val="E5484D"/>
                <w:sz w:val="22"/>
              </w:rPr>
              <w:t>Neutral / Negative</w:t>
            </w:r>
          </w:p>
        </w:tc>
      </w:tr>
      <w:tr>
        <w:tc>
          <w:tcPr>
            <w:tcW w:type="dxa" w:w="2160"/>
          </w:tcPr>
          <w:p>
            <w:r>
              <w:rPr>
                <w:rFonts w:ascii="Calibri" w:hAnsi="Calibri"/>
                <w:sz w:val="22"/>
              </w:rPr>
              <w:t>Middle East / Energy Costs</w:t>
            </w:r>
          </w:p>
        </w:tc>
        <w:tc>
          <w:tcPr>
            <w:tcW w:type="dxa" w:w="2160"/>
          </w:tcPr>
          <w:p>
            <w:r>
              <w:rPr>
                <w:rFonts w:ascii="Calibri" w:hAnsi="Calibri"/>
                <w:sz w:val="22"/>
              </w:rPr>
              <w:t>DOW: Hormuz disruption ongoing; ECL: ~1% volume headwind</w:t>
            </w:r>
          </w:p>
        </w:tc>
        <w:tc>
          <w:tcPr>
            <w:tcW w:type="dxa" w:w="2160"/>
          </w:tcPr>
          <w:p>
            <w:r>
              <w:rPr>
                <w:rFonts w:ascii="Calibri" w:hAnsi="Calibri"/>
                <w:sz w:val="22"/>
              </w:rPr>
              <w:t>APD's European energy cost headwind likely persists in Q3</w:t>
            </w:r>
          </w:p>
        </w:tc>
        <w:tc>
          <w:tcPr>
            <w:tcW w:type="dxa" w:w="2160"/>
          </w:tcPr>
          <w:p>
            <w:r>
              <w:rPr>
                <w:rFonts w:ascii="Calibri" w:hAnsi="Calibri"/>
                <w:b/>
                <w:color w:val="E5484D"/>
                <w:sz w:val="22"/>
              </w:rPr>
              <w:t>Negative</w:t>
            </w:r>
          </w:p>
        </w:tc>
      </w:tr>
      <w:tr>
        <w:tc>
          <w:tcPr>
            <w:tcW w:type="dxa" w:w="2160"/>
          </w:tcPr>
          <w:p>
            <w:r>
              <w:rPr>
                <w:rFonts w:ascii="Calibri" w:hAnsi="Calibri"/>
                <w:sz w:val="22"/>
              </w:rPr>
              <w:t>Pricing Power</w:t>
            </w:r>
          </w:p>
        </w:tc>
        <w:tc>
          <w:tcPr>
            <w:tcW w:type="dxa" w:w="2160"/>
          </w:tcPr>
          <w:p>
            <w:r>
              <w:rPr>
                <w:rFonts w:ascii="Calibri" w:hAnsi="Calibri"/>
                <w:sz w:val="22"/>
              </w:rPr>
              <w:t>ECL: pricing 4% in Q2, targeting 5–6% H2; LIN: price +2% YoY</w:t>
            </w:r>
          </w:p>
        </w:tc>
        <w:tc>
          <w:tcPr>
            <w:tcW w:type="dxa" w:w="2160"/>
          </w:tcPr>
          <w:p>
            <w:r>
              <w:rPr>
                <w:rFonts w:ascii="Calibri" w:hAnsi="Calibri"/>
                <w:sz w:val="22"/>
              </w:rPr>
              <w:t>APD's non-helium merchant pricing trajectory supported</w:t>
            </w:r>
          </w:p>
        </w:tc>
        <w:tc>
          <w:tcPr>
            <w:tcW w:type="dxa" w:w="2160"/>
          </w:tcPr>
          <w:p>
            <w:r>
              <w:rPr>
                <w:rFonts w:ascii="Calibri" w:hAnsi="Calibri"/>
                <w:b/>
                <w:color w:val="30A46C"/>
                <w:sz w:val="22"/>
              </w:rPr>
              <w:t>Positive</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June 30 LCEC project exit announcement</w:t>
      </w:r>
      <w:r>
        <w:rPr>
          <w:rFonts w:ascii="Calibri" w:hAnsi="Calibri"/>
          <w:color w:val="525866"/>
          <w:sz w:val="22"/>
        </w:rPr>
        <w:t xml:space="preserve"> is the most material development since the April 30 earnings call — it removes the single biggest strategic overhang, triggers a large Q3 GAAP charge, and simultaneously confirms the Yara/NEOM commercialization agreement. The net effect on the Q3 adjusted print is neutral, but the strategic signal is significantly positive for capital discipline.</w:t>
      </w:r>
    </w:p>
    <w:p>
      <w:pPr>
        <w:pStyle w:val="ListBullet"/>
        <w:ind w:left="360" w:hanging="360"/>
      </w:pPr>
      <w:r>
        <w:rPr>
          <w:rFonts w:ascii="Calibri" w:hAnsi="Calibri"/>
          <w:b/>
          <w:color w:val="525866"/>
          <w:sz w:val="22"/>
        </w:rPr>
        <w:t xml:space="preserve">June 30, 2026 — LCEC Project Exit (8-K): </w:t>
      </w:r>
      <w:r>
        <w:rPr>
          <w:rFonts w:ascii="Calibri" w:hAnsi="Calibri"/>
          <w:color w:val="525866"/>
          <w:sz w:val="22"/>
        </w:rPr>
        <w:t xml:space="preserve">APD announced it will not proceed with the Louisiana Clean Energy Complex (LCEC) project, citing "expected financial returns not meeting stringent return criteria." Will record pre-tax charges of up to $2.9B (~$2.2B after-tax) in Q3 FY2026, primarily for asset write-downs and contract termination costs. Also discontinuing the Casa Grande, AZ zero-carbon liquid hydrogen facility and other smaller clean energy distribution projects. </w:t>
      </w:r>
    </w:p>
    <w:p>
      <w:pPr>
        <w:pStyle w:val="ListBullet"/>
        <w:ind w:left="360" w:hanging="360"/>
      </w:pPr>
      <w:r>
        <w:rPr>
          <w:rFonts w:ascii="Calibri" w:hAnsi="Calibri"/>
          <w:b/>
          <w:color w:val="525866"/>
          <w:sz w:val="22"/>
        </w:rPr>
        <w:t xml:space="preserve">Implication: </w:t>
      </w:r>
      <w:r>
        <w:rPr>
          <w:rFonts w:ascii="Calibri" w:hAnsi="Calibri"/>
          <w:color w:val="525866"/>
          <w:sz w:val="22"/>
        </w:rPr>
        <w:t>Large GAAP charge in Q3 but excluded from adjusted EPS. Capital redeployment to electronics (Samsung) is the primary alternative. Removes the largest source of investor uncertainty about APD's capital allocation. Estimated cancellation costs "subject to further refinement and may ultimately differ materially."</w:t>
      </w:r>
    </w:p>
    <w:p>
      <w:pPr>
        <w:pStyle w:val="ListBullet"/>
        <w:ind w:left="360" w:hanging="360"/>
      </w:pPr>
      <w:r>
        <w:rPr>
          <w:rFonts w:ascii="Calibri" w:hAnsi="Calibri"/>
          <w:b/>
          <w:color w:val="525866"/>
          <w:sz w:val="22"/>
        </w:rPr>
        <w:t xml:space="preserve">June 30, 2026 — Yara/NEOM Marketing Agreement Finalized: </w:t>
      </w:r>
      <w:r>
        <w:rPr>
          <w:rFonts w:ascii="Calibri" w:hAnsi="Calibri"/>
          <w:color w:val="525866"/>
          <w:sz w:val="22"/>
        </w:rPr>
        <w:t>Simultaneously with the LCEC announcement, APD confirmed it is finalizing a marketing and distribution agreement with Yara International for renewable ammonia from the NEOM Green Hydrogen Project. Yara's global supply chain will sell and deliver ammonia from "the world's first large-scale renewable ammonia plant."</w:t>
      </w:r>
    </w:p>
    <w:p>
      <w:pPr>
        <w:pStyle w:val="ListBullet"/>
        <w:ind w:left="360" w:hanging="360"/>
      </w:pPr>
      <w:r>
        <w:rPr>
          <w:rFonts w:ascii="Calibri" w:hAnsi="Calibri"/>
          <w:b/>
          <w:color w:val="525866"/>
          <w:sz w:val="22"/>
        </w:rPr>
        <w:t xml:space="preserve">Implication: </w:t>
      </w:r>
      <w:r>
        <w:rPr>
          <w:rFonts w:ascii="Calibri" w:hAnsi="Calibri"/>
          <w:color w:val="525866"/>
          <w:sz w:val="22"/>
        </w:rPr>
        <w:t>Removes the key commercialization risk for NEOM. APD's 30-year fixed-price ammonia purchase agreement is now backed by a credible global distributor. First ammonia still targeted for beginning of 2027.</w:t>
      </w:r>
    </w:p>
    <w:p>
      <w:pPr>
        <w:pStyle w:val="ListBullet"/>
        <w:ind w:left="360" w:hanging="360"/>
      </w:pPr>
      <w:r>
        <w:rPr>
          <w:rFonts w:ascii="Calibri" w:hAnsi="Calibri"/>
          <w:b/>
          <w:color w:val="525866"/>
          <w:sz w:val="22"/>
        </w:rPr>
        <w:t xml:space="preserve">April 30, 2026 — Samsung South Korea Electronics Win Announced: </w:t>
      </w:r>
      <w:r>
        <w:rPr>
          <w:rFonts w:ascii="Calibri" w:hAnsi="Calibri"/>
          <w:color w:val="525866"/>
          <w:sz w:val="22"/>
        </w:rPr>
        <w:t>APD announced it will build, own, and operate multiple production facilities and specialty gas supply systems for Samsung's new advanced fab in South Korea (Phase 5). Described as the "largest investment APD has ever made in electronics." Phase 5 volumes ~3x larger than Phase 1. Multi-phase construction over ~4 years.</w:t>
      </w:r>
    </w:p>
    <w:p>
      <w:pPr>
        <w:pStyle w:val="ListBullet"/>
        <w:ind w:left="360" w:hanging="360"/>
      </w:pPr>
      <w:r>
        <w:rPr>
          <w:rFonts w:ascii="Calibri" w:hAnsi="Calibri"/>
          <w:b/>
          <w:color w:val="525866"/>
          <w:sz w:val="22"/>
        </w:rPr>
        <w:t xml:space="preserve">Implication: </w:t>
      </w:r>
      <w:r>
        <w:rPr>
          <w:rFonts w:ascii="Calibri" w:hAnsi="Calibri"/>
          <w:color w:val="525866"/>
          <w:sz w:val="22"/>
        </w:rPr>
        <w:t>Confirms APD's position in the semiconductor supercycle. Backlog expected to grow by $1.5–$2B in the next 6 months including this project. Provides a clear capital redeployment destination if LCEC proceeds are freed up.</w:t>
      </w:r>
    </w:p>
    <w:p>
      <w:pPr>
        <w:pStyle w:val="ListBullet"/>
        <w:ind w:left="360" w:hanging="360"/>
      </w:pPr>
      <w:r>
        <w:rPr>
          <w:rFonts w:ascii="Calibri" w:hAnsi="Calibri"/>
          <w:b/>
          <w:color w:val="525866"/>
          <w:sz w:val="22"/>
        </w:rPr>
        <w:t xml:space="preserve">April 30, 2026 — Florida ASU Investment for Space Launches: </w:t>
      </w:r>
      <w:r>
        <w:rPr>
          <w:rFonts w:ascii="Calibri" w:hAnsi="Calibri"/>
          <w:color w:val="525866"/>
          <w:sz w:val="22"/>
        </w:rPr>
        <w:t>APD announced a new air separation unit investment in Florida to increase participation with NASA and commercial launch customers. Aerospace volumes (launches, engine testing, manufacturing) have been growing strongly.</w:t>
      </w:r>
    </w:p>
    <w:p>
      <w:pPr>
        <w:pStyle w:val="ListBullet"/>
        <w:ind w:left="360" w:hanging="360"/>
      </w:pPr>
      <w:r>
        <w:rPr>
          <w:rFonts w:ascii="Calibri" w:hAnsi="Calibri"/>
          <w:b/>
          <w:color w:val="525866"/>
          <w:sz w:val="22"/>
        </w:rPr>
        <w:t xml:space="preserve">Implication: </w:t>
      </w:r>
      <w:r>
        <w:rPr>
          <w:rFonts w:ascii="Calibri" w:hAnsi="Calibri"/>
          <w:color w:val="525866"/>
          <w:sz w:val="22"/>
        </w:rPr>
        <w:t>Incremental growth in a high-margin, long-term contracted segment. Supports the helium volume growth narrative (space launches consume liquid helium).</w:t>
      </w:r>
    </w:p>
    <w:p>
      <w:pPr>
        <w:pStyle w:val="ListBullet"/>
        <w:ind w:left="360" w:hanging="360"/>
      </w:pPr>
      <w:r>
        <w:rPr>
          <w:rFonts w:ascii="Calibri" w:hAnsi="Calibri"/>
          <w:b/>
          <w:color w:val="525866"/>
          <w:sz w:val="22"/>
        </w:rPr>
        <w:t xml:space="preserve">May 27, 2026 — Bernstein Strategic Decisions Conference: </w:t>
      </w:r>
      <w:r>
        <w:rPr>
          <w:rFonts w:ascii="Calibri" w:hAnsi="Calibri"/>
          <w:color w:val="525866"/>
          <w:sz w:val="22"/>
        </w:rPr>
        <w:t>CEO Menezes and CFO Schaeffer presented at Bernstein. Key messages: (1) Q3 guidance conservatism explained by turnaround timing shifts and macro uncertainty; (2) helium 4% headwind maintained; (3) electronics supercycle conviction reinforced; (4) capital discipline as structural priority; (5) LCEC board decision targeted for July. No guidance changes.</w:t>
      </w:r>
    </w:p>
    <w:p>
      <w:pPr>
        <w:pStyle w:val="ListBullet"/>
        <w:ind w:left="360" w:hanging="360"/>
      </w:pPr>
      <w:r>
        <w:rPr>
          <w:rFonts w:ascii="Calibri" w:hAnsi="Calibri"/>
          <w:b/>
          <w:color w:val="525866"/>
          <w:sz w:val="22"/>
        </w:rPr>
        <w:t xml:space="preserve">Implication: </w:t>
      </w:r>
      <w:r>
        <w:rPr>
          <w:rFonts w:ascii="Calibri" w:hAnsi="Calibri"/>
          <w:color w:val="525866"/>
          <w:sz w:val="22"/>
        </w:rPr>
        <w:t>Consistent with Q2 earnings call messaging. No incremental positive or negative surprise. Confirmed the July board meeting as the LCEC decision catalyst.</w:t>
      </w:r>
    </w:p>
    <w:p>
      <w:pPr>
        <w:pStyle w:val="ListBullet"/>
        <w:ind w:left="360" w:hanging="360"/>
      </w:pPr>
      <w:r>
        <w:rPr>
          <w:rFonts w:ascii="Calibri" w:hAnsi="Calibri"/>
          <w:b/>
          <w:color w:val="525866"/>
          <w:sz w:val="22"/>
        </w:rPr>
        <w:t xml:space="preserve">Ongoing — Iran Conflict / Strait of Hormuz: </w:t>
      </w:r>
      <w:r>
        <w:rPr>
          <w:rFonts w:ascii="Calibri" w:hAnsi="Calibri"/>
          <w:color w:val="525866"/>
          <w:sz w:val="22"/>
        </w:rPr>
        <w:t>The Iran conflict (beginning late February 2026) continues to create indirect effects: European energy price inflation, logistics disruption (Jeddah airport congestion, container availability), and helium supply chain complexity. APD's NEOM and Jazan projects on Saudi Arabia's West Coast are described as "a little far from the areas of conflict."</w:t>
      </w:r>
    </w:p>
    <w:p>
      <w:pPr>
        <w:pStyle w:val="ListBullet"/>
        <w:ind w:left="360" w:hanging="360"/>
      </w:pPr>
      <w:r>
        <w:rPr>
          <w:rFonts w:ascii="Calibri" w:hAnsi="Calibri"/>
          <w:b/>
          <w:color w:val="525866"/>
          <w:sz w:val="22"/>
        </w:rPr>
        <w:t xml:space="preserve">Implication: </w:t>
      </w:r>
      <w:r>
        <w:rPr>
          <w:rFonts w:ascii="Calibri" w:hAnsi="Calibri"/>
          <w:color w:val="525866"/>
          <w:sz w:val="22"/>
        </w:rPr>
        <w:t>Persistent but manageable headwind. European energy costs remain elevated, which pressures merchant margins. Helium logistics remain complex but APD's cavern storage provides buffer. Management has not changed guidance based on this factor.</w:t>
      </w:r>
    </w:p>
    <w:p>
      <w:pPr>
        <w:pStyle w:val="ListBullet"/>
        <w:ind w:left="360" w:hanging="360"/>
      </w:pPr>
      <w:r>
        <w:rPr>
          <w:rFonts w:ascii="Calibri" w:hAnsi="Calibri"/>
          <w:i/>
          <w:color w:val="525866"/>
          <w:sz w:val="22"/>
        </w:rPr>
        <w:t>No analyst rating changes found in the period (April 30 – July 29,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April 30 earnings call is minimal — a single open-market sale by the CFO shortly after the Q2 print.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Melissa N. Schaeffer</w:t>
            </w:r>
          </w:p>
        </w:tc>
        <w:tc>
          <w:tcPr>
            <w:tcW w:type="dxa" w:w="1440"/>
          </w:tcPr>
          <w:p>
            <w:r>
              <w:rPr>
                <w:rFonts w:ascii="Calibri" w:hAnsi="Calibri"/>
                <w:sz w:val="22"/>
              </w:rPr>
              <w:t>EVP &amp; CFO</w:t>
            </w:r>
          </w:p>
        </w:tc>
        <w:tc>
          <w:tcPr>
            <w:tcW w:type="dxa" w:w="1440"/>
          </w:tcPr>
          <w:p>
            <w:r>
              <w:rPr>
                <w:rFonts w:ascii="Calibri" w:hAnsi="Calibri"/>
                <w:sz w:val="22"/>
              </w:rPr>
              <w:t>Open Market Sale</w:t>
            </w:r>
          </w:p>
        </w:tc>
        <w:tc>
          <w:tcPr>
            <w:tcW w:type="dxa" w:w="1440"/>
          </w:tcPr>
          <w:p>
            <w:r>
              <w:rPr>
                <w:rFonts w:ascii="Calibri" w:hAnsi="Calibri"/>
                <w:sz w:val="22"/>
              </w:rPr>
              <w:t>2,714 shares</w:t>
            </w:r>
          </w:p>
        </w:tc>
        <w:tc>
          <w:tcPr>
            <w:tcW w:type="dxa" w:w="1440"/>
          </w:tcPr>
          <w:p>
            <w:r>
              <w:rPr>
                <w:rFonts w:ascii="Calibri" w:hAnsi="Calibri"/>
                <w:sz w:val="22"/>
              </w:rPr>
              <w:t>May 1, 2026 (filed May 4, 2026)</w:t>
            </w:r>
          </w:p>
        </w:tc>
        <w:tc>
          <w:tcPr>
            <w:tcW w:type="dxa" w:w="1440"/>
          </w:tcPr>
          <w:p>
            <w:r>
              <w:rPr>
                <w:rFonts w:ascii="Calibri" w:hAnsi="Calibri"/>
                <w:sz w:val="22"/>
              </w:rPr>
              <w:t>Discretionary sale; no 10b5-1 plan indicated. Sold at ~$301/share (day after Q2 earnings). Retained 14,212 shares post-sale.</w:t>
            </w:r>
          </w:p>
        </w:tc>
      </w:tr>
    </w:tbl>
    <w:p>
      <w:r>
        <w:rPr>
          <w:rFonts w:ascii="Calibri" w:hAnsi="Calibri"/>
          <w:color w:val="525866"/>
          <w:sz w:val="22"/>
        </w:rPr>
        <w:t xml:space="preserve">The CFO's sale of 2,714 shares on May 1 (the day after the Q2 earnings call) is the only insider transaction disclosed in the period. The sale is relatively small in the context of her remaining 14,212-share position and occurred at approximately $301/share, near the post-earnings open. There is no 10b5-1 plan indicated, making this a discretionary sale. The timing — immediately post-earnings — is common for executives selling after a blackout period lifts, and the size is not unusual. </w:t>
      </w:r>
    </w:p>
    <w:p>
      <w:r>
        <w:rPr>
          <w:rFonts w:ascii="Calibri" w:hAnsi="Calibri"/>
          <w:i/>
          <w:color w:val="525866"/>
          <w:sz w:val="22"/>
        </w:rPr>
        <w:t>No open-market purchases were recorded in the period, and no other officers or directors filed Form 4 transactions. The absence of clustered buying ahead of the Q3 print is not a negative signal given the LCEC charge uncertainty, but the lack of any insider buying is also not a positive catalyst.</w:t>
      </w:r>
    </w:p>
    <w:p>
      <w:r>
        <w:rPr>
          <w:rFonts w:ascii="Calibri" w:hAnsi="Calibri"/>
          <w:i/>
          <w:color w:val="525866"/>
          <w:sz w:val="22"/>
        </w:rPr>
        <w:t>Source: SEC Form 4 filings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