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Air Products and Chemicals (APD)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Air Products and Chemicals, Inc.</w:t>
            </w:r>
          </w:p>
        </w:tc>
      </w:tr>
      <w:tr>
        <w:tc>
          <w:tcPr>
            <w:tcW w:type="dxa" w:w="4320"/>
          </w:tcPr>
          <w:p>
            <w:r>
              <w:rPr>
                <w:rFonts w:ascii="Calibri" w:hAnsi="Calibri"/>
                <w:b/>
                <w:sz w:val="22"/>
              </w:rPr>
              <w:t>Ticker</w:t>
            </w:r>
          </w:p>
        </w:tc>
        <w:tc>
          <w:tcPr>
            <w:tcW w:type="dxa" w:w="4320"/>
          </w:tcPr>
          <w:p>
            <w:r>
              <w:rPr>
                <w:rFonts w:ascii="Calibri" w:hAnsi="Calibri"/>
                <w:sz w:val="22"/>
              </w:rPr>
              <w:t>APD (NYSE)</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8:00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30, 2026 (Q2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but not clean — consensus is a manageable bar, the core industrial gas business is executing well, but the quarter will be dominated by a </w:t>
      </w:r>
      <w:r>
        <w:rPr>
          <w:rFonts w:ascii="Calibri" w:hAnsi="Calibri"/>
          <w:b/>
          <w:color w:val="525866"/>
          <w:sz w:val="22"/>
        </w:rPr>
        <w:t>~$2.9B pre-tax charge</w:t>
      </w:r>
      <w:r>
        <w:rPr>
          <w:rFonts w:ascii="Calibri" w:hAnsi="Calibri"/>
          <w:color w:val="525866"/>
          <w:sz w:val="22"/>
        </w:rPr>
        <w:t xml:space="preserve"> from project exits that will obscure underlying progress; the single biggest swing factor is whether management raises the adjusted full-year EPS ceiling above $13.25.</w:t>
      </w:r>
    </w:p>
    <w:p>
      <w:r>
        <w:rPr>
          <w:rFonts w:ascii="Calibri" w:hAnsi="Calibri"/>
          <w:color w:val="525866"/>
          <w:sz w:val="22"/>
        </w:rPr>
        <w:t xml:space="preserve">Heading into Q3 FY2026, the adjusted EPS bar of ~$3.34 (consensus) sits comfortably within management's guided range of $3.25–$3.35, implying 5–8% year-over-year growth — a step-down from the 19% delivered in Q2 but one that was explicitly telegraphed and reflects a planned maintenance turnaround that was pushed from Q2 into Q3/Q4. </w:t>
      </w:r>
      <w:r>
        <w:rPr>
          <w:rFonts w:ascii="Calibri" w:hAnsi="Calibri"/>
          <w:b/>
          <w:color w:val="525866"/>
          <w:sz w:val="22"/>
        </w:rPr>
        <w:t>Management's posture has shifted decisively toward capital discipline and portfolio simplification</w:t>
      </w:r>
      <w:r>
        <w:rPr>
          <w:rFonts w:ascii="Calibri" w:hAnsi="Calibri"/>
          <w:color w:val="525866"/>
          <w:sz w:val="22"/>
        </w:rPr>
        <w:t xml:space="preserve">: the June 26 board decision to exit the Louisiana Clean Energy Complex (LCEC), Casa Grande, and other smaller clean energy projects — publicly disclosed June 30 — removes the largest overhang on the stock and reframes APD as a focused industrial gas compounder. Estimate revisions have been remarkably stable since the April 30 print, with Q3 EPS consensus barely moving from $3.33 to $3.34, suggesting the street has high conviction in the guided range and is not pricing in meaningful upside or downside from the base business. The stock has rallied ~8% since the June 30 disclosure (from ~$271 to ~$294), already pricing in much of the strategic clarity, which limits the upside from a simple in-line print. </w:t>
      </w:r>
      <w:r>
        <w:rPr>
          <w:rFonts w:ascii="Calibri" w:hAnsi="Calibri"/>
          <w:b/>
          <w:color w:val="525866"/>
          <w:sz w:val="22"/>
        </w:rPr>
        <w:t>The wildcard is the NEOM update</w:t>
      </w:r>
      <w:r>
        <w:rPr>
          <w:rFonts w:ascii="Calibri" w:hAnsi="Calibri"/>
          <w:color w:val="525866"/>
          <w:sz w:val="22"/>
        </w:rPr>
        <w:t>: management is finalizing a marketing and distribution agreement with Yara for renewable ammonia, and any concrete timeline or commercial terms disclosed on the call could be a meaningful catalyst, while any further slip in the first-ammonia timeline (currently guided to early 2027) would be a headwind.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low-to-fair bar — the guided range midpoint of $3.30 is essentially in line with the $3.34 consensus, leaving little room for a large beat but also limited downside risk. </w:t>
      </w:r>
      <w:r>
        <w:rPr>
          <w:rFonts w:ascii="Calibri" w:hAnsi="Calibri"/>
          <w:b/>
          <w:color w:val="525866"/>
          <w:sz w:val="22"/>
        </w:rPr>
        <w:t>Adjusted EPS is the primary swing factor</w:t>
      </w:r>
      <w:r>
        <w:rPr>
          <w:rFonts w:ascii="Calibri" w:hAnsi="Calibri"/>
          <w:color w:val="525866"/>
          <w:sz w:val="22"/>
        </w:rPr>
        <w:t>; operating margin is the secondary metric to watch given the ongoing productivity program and energy pass-through dynamics.</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Actual (Q3 FY2025)</w:t>
            </w:r>
          </w:p>
        </w:tc>
        <w:tc>
          <w:tcPr>
            <w:tcW w:type="dxa" w:w="1234"/>
            <w:shd w:val="clear" w:color="auto" w:fill="3B4259"/>
          </w:tcPr>
          <w:p>
            <w:r>
              <w:rPr>
                <w:rFonts w:ascii="Calibri" w:hAnsi="Calibri"/>
                <w:b/>
                <w:color w:val="FFFFFF"/>
                <w:sz w:val="22"/>
              </w:rPr>
              <w:t>Consensus Estimate (Q3 FY2026)</w:t>
            </w:r>
          </w:p>
        </w:tc>
        <w:tc>
          <w:tcPr>
            <w:tcW w:type="dxa" w:w="1234"/>
            <w:shd w:val="clear" w:color="auto" w:fill="3B4259"/>
          </w:tcPr>
          <w:p>
            <w:r>
              <w:rPr>
                <w:rFonts w:ascii="Calibri" w:hAnsi="Calibri"/>
                <w:b/>
                <w:color w:val="FFFFFF"/>
                <w:sz w:val="22"/>
              </w:rPr>
              <w:t>YoY Change (vs. Q3 FY2025)</w:t>
            </w:r>
          </w:p>
        </w:tc>
        <w:tc>
          <w:tcPr>
            <w:tcW w:type="dxa" w:w="1234"/>
            <w:shd w:val="clear" w:color="auto" w:fill="3B4259"/>
          </w:tcPr>
          <w:p>
            <w:r>
              <w:rPr>
                <w:rFonts w:ascii="Calibri" w:hAnsi="Calibri"/>
                <w:b/>
                <w:color w:val="FFFFFF"/>
                <w:sz w:val="22"/>
              </w:rPr>
              <w:t>Management Guidance (Q3 FY2026)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EPS (Diluted Operating)</w:t>
            </w:r>
          </w:p>
        </w:tc>
        <w:tc>
          <w:tcPr>
            <w:tcW w:type="dxa" w:w="1234"/>
          </w:tcPr>
          <w:p>
            <w:r>
              <w:rPr>
                <w:rFonts w:ascii="Calibri" w:hAnsi="Calibri"/>
                <w:sz w:val="22"/>
              </w:rPr>
              <w:t>$3.20</w:t>
            </w:r>
          </w:p>
        </w:tc>
        <w:tc>
          <w:tcPr>
            <w:tcW w:type="dxa" w:w="1234"/>
          </w:tcPr>
          <w:p>
            <w:r>
              <w:rPr>
                <w:rFonts w:ascii="Calibri" w:hAnsi="Calibri"/>
                <w:sz w:val="22"/>
              </w:rPr>
              <w:t>$3.09</w:t>
            </w:r>
          </w:p>
        </w:tc>
        <w:tc>
          <w:tcPr>
            <w:tcW w:type="dxa" w:w="1234"/>
          </w:tcPr>
          <w:p>
            <w:r>
              <w:rPr>
                <w:rFonts w:ascii="Calibri" w:hAnsi="Calibri"/>
                <w:sz w:val="22"/>
              </w:rPr>
              <w:t>$3.34</w:t>
            </w:r>
          </w:p>
        </w:tc>
        <w:tc>
          <w:tcPr>
            <w:tcW w:type="dxa" w:w="1234"/>
          </w:tcPr>
          <w:p>
            <w:r>
              <w:rPr>
                <w:rFonts w:ascii="Calibri" w:hAnsi="Calibri"/>
                <w:sz w:val="22"/>
              </w:rPr>
              <w:t>+8.1%</w:t>
            </w:r>
          </w:p>
        </w:tc>
        <w:tc>
          <w:tcPr>
            <w:tcW w:type="dxa" w:w="1234"/>
          </w:tcPr>
          <w:p>
            <w:r>
              <w:rPr>
                <w:rFonts w:ascii="Calibri" w:hAnsi="Calibri"/>
                <w:sz w:val="22"/>
              </w:rPr>
              <w:t>$3.25–$3.35</w:t>
            </w:r>
          </w:p>
        </w:tc>
        <w:tc>
          <w:tcPr>
            <w:tcW w:type="dxa" w:w="1234"/>
          </w:tcPr>
          <w:p>
            <w:r>
              <w:rPr>
                <w:rFonts w:ascii="Calibri" w:hAnsi="Calibri"/>
                <w:sz w:val="22"/>
              </w:rPr>
              <w:t>+1.2% vs. $3.30 midpoint</w:t>
            </w:r>
          </w:p>
        </w:tc>
      </w:tr>
      <w:tr>
        <w:tc>
          <w:tcPr>
            <w:tcW w:type="dxa" w:w="1234"/>
          </w:tcPr>
          <w:p>
            <w:r>
              <w:rPr>
                <w:rFonts w:ascii="Calibri" w:hAnsi="Calibri"/>
                <w:sz w:val="22"/>
              </w:rPr>
              <w:t>Revenue (Sales)</w:t>
            </w:r>
          </w:p>
        </w:tc>
        <w:tc>
          <w:tcPr>
            <w:tcW w:type="dxa" w:w="1234"/>
          </w:tcPr>
          <w:p>
            <w:r>
              <w:rPr>
                <w:rFonts w:ascii="Calibri" w:hAnsi="Calibri"/>
                <w:sz w:val="22"/>
              </w:rPr>
              <w:t>$3,172M</w:t>
            </w:r>
          </w:p>
        </w:tc>
        <w:tc>
          <w:tcPr>
            <w:tcW w:type="dxa" w:w="1234"/>
          </w:tcPr>
          <w:p>
            <w:r>
              <w:rPr>
                <w:rFonts w:ascii="Calibri" w:hAnsi="Calibri"/>
                <w:sz w:val="22"/>
              </w:rPr>
              <w:t>$3,023M</w:t>
            </w:r>
          </w:p>
        </w:tc>
        <w:tc>
          <w:tcPr>
            <w:tcW w:type="dxa" w:w="1234"/>
          </w:tcPr>
          <w:p>
            <w:r>
              <w:rPr>
                <w:rFonts w:ascii="Calibri" w:hAnsi="Calibri"/>
                <w:sz w:val="22"/>
              </w:rPr>
              <w:t>$3,192M</w:t>
            </w:r>
          </w:p>
        </w:tc>
        <w:tc>
          <w:tcPr>
            <w:tcW w:type="dxa" w:w="1234"/>
          </w:tcPr>
          <w:p>
            <w:r>
              <w:rPr>
                <w:rFonts w:ascii="Calibri" w:hAnsi="Calibri"/>
                <w:sz w:val="22"/>
              </w:rPr>
              <w:t>+5.6%</w:t>
            </w:r>
          </w:p>
        </w:tc>
        <w:tc>
          <w:tcPr>
            <w:tcW w:type="dxa" w:w="1234"/>
          </w:tcPr>
          <w:p>
            <w:r>
              <w:rPr>
                <w:rFonts w:ascii="Calibri" w:hAnsi="Calibri"/>
                <w:sz w:val="22"/>
              </w:rPr>
              <w:t>No explicit revenue guidance</w:t>
            </w:r>
          </w:p>
        </w:tc>
        <w:tc>
          <w:tcPr>
            <w:tcW w:type="dxa" w:w="1234"/>
          </w:tcPr>
          <w:p>
            <w:r>
              <w:rPr>
                <w:rFonts w:ascii="Calibri" w:hAnsi="Calibri"/>
                <w:sz w:val="22"/>
              </w:rPr>
              <w:t>N/A</w:t>
            </w:r>
          </w:p>
        </w:tc>
      </w:tr>
      <w:tr>
        <w:tc>
          <w:tcPr>
            <w:tcW w:type="dxa" w:w="1234"/>
          </w:tcPr>
          <w:p>
            <w:r>
              <w:rPr>
                <w:rFonts w:ascii="Calibri" w:hAnsi="Calibri"/>
                <w:sz w:val="22"/>
              </w:rPr>
              <w:t>Operating Income Margin (Adjusted)</w:t>
            </w:r>
          </w:p>
        </w:tc>
        <w:tc>
          <w:tcPr>
            <w:tcW w:type="dxa" w:w="1234"/>
          </w:tcPr>
          <w:p>
            <w:r>
              <w:rPr>
                <w:rFonts w:ascii="Calibri" w:hAnsi="Calibri"/>
                <w:sz w:val="22"/>
              </w:rPr>
              <w:t>23.7%</w:t>
            </w:r>
          </w:p>
        </w:tc>
        <w:tc>
          <w:tcPr>
            <w:tcW w:type="dxa" w:w="1234"/>
          </w:tcPr>
          <w:p>
            <w:r>
              <w:rPr>
                <w:rFonts w:ascii="Calibri" w:hAnsi="Calibri"/>
                <w:sz w:val="22"/>
              </w:rPr>
              <w:t>24.5%</w:t>
            </w:r>
          </w:p>
        </w:tc>
        <w:tc>
          <w:tcPr>
            <w:tcW w:type="dxa" w:w="1234"/>
          </w:tcPr>
          <w:p>
            <w:r>
              <w:rPr>
                <w:rFonts w:ascii="Calibri" w:hAnsi="Calibri"/>
                <w:sz w:val="22"/>
              </w:rPr>
              <w:t>25.2%</w:t>
            </w:r>
          </w:p>
        </w:tc>
        <w:tc>
          <w:tcPr>
            <w:tcW w:type="dxa" w:w="1234"/>
          </w:tcPr>
          <w:p>
            <w:r>
              <w:rPr>
                <w:rFonts w:ascii="Calibri" w:hAnsi="Calibri"/>
                <w:sz w:val="22"/>
              </w:rPr>
              <w:t>+70 bps</w:t>
            </w:r>
          </w:p>
        </w:tc>
        <w:tc>
          <w:tcPr>
            <w:tcW w:type="dxa" w:w="1234"/>
          </w:tcPr>
          <w:p>
            <w:r>
              <w:rPr>
                <w:rFonts w:ascii="Calibri" w:hAnsi="Calibri"/>
                <w:sz w:val="22"/>
              </w:rPr>
              <w:t>No explicit margin guidance</w:t>
            </w:r>
          </w:p>
        </w:tc>
        <w:tc>
          <w:tcPr>
            <w:tcW w:type="dxa" w:w="1234"/>
          </w:tcPr>
          <w:p>
            <w:r>
              <w:rPr>
                <w:rFonts w:ascii="Calibri" w:hAnsi="Calibri"/>
                <w:sz w:val="22"/>
              </w:rPr>
              <w:t>N/A</w:t>
            </w:r>
          </w:p>
        </w:tc>
      </w:tr>
      <w:tr>
        <w:tc>
          <w:tcPr>
            <w:tcW w:type="dxa" w:w="1234"/>
          </w:tcPr>
          <w:p>
            <w:r>
              <w:rPr>
                <w:rFonts w:ascii="Calibri" w:hAnsi="Calibri"/>
                <w:sz w:val="22"/>
              </w:rPr>
              <w:t>Capital Expenditures (Additions to Plant &amp; Equipment)</w:t>
            </w:r>
          </w:p>
        </w:tc>
        <w:tc>
          <w:tcPr>
            <w:tcW w:type="dxa" w:w="1234"/>
          </w:tcPr>
          <w:p>
            <w:r>
              <w:rPr>
                <w:rFonts w:ascii="Calibri" w:hAnsi="Calibri"/>
                <w:sz w:val="22"/>
              </w:rPr>
              <w:t>$1,108M</w:t>
            </w:r>
          </w:p>
        </w:tc>
        <w:tc>
          <w:tcPr>
            <w:tcW w:type="dxa" w:w="1234"/>
          </w:tcPr>
          <w:p>
            <w:r>
              <w:rPr>
                <w:rFonts w:ascii="Calibri" w:hAnsi="Calibri"/>
                <w:sz w:val="22"/>
              </w:rPr>
              <w:t>$1,496M</w:t>
            </w:r>
          </w:p>
        </w:tc>
        <w:tc>
          <w:tcPr>
            <w:tcW w:type="dxa" w:w="1234"/>
          </w:tcPr>
          <w:p>
            <w:r>
              <w:rPr>
                <w:rFonts w:ascii="Calibri" w:hAnsi="Calibri"/>
                <w:sz w:val="22"/>
              </w:rPr>
              <w:t>$962M</w:t>
            </w:r>
          </w:p>
        </w:tc>
        <w:tc>
          <w:tcPr>
            <w:tcW w:type="dxa" w:w="1234"/>
          </w:tcPr>
          <w:p>
            <w:r>
              <w:rPr>
                <w:rFonts w:ascii="Calibri" w:hAnsi="Calibri"/>
                <w:sz w:val="22"/>
              </w:rPr>
              <w:t>-35.7%</w:t>
            </w:r>
          </w:p>
        </w:tc>
        <w:tc>
          <w:tcPr>
            <w:tcW w:type="dxa" w:w="1234"/>
          </w:tcPr>
          <w:p>
            <w:r>
              <w:rPr>
                <w:rFonts w:ascii="Calibri" w:hAnsi="Calibri"/>
                <w:sz w:val="22"/>
              </w:rPr>
              <w:t>~$4B full year</w:t>
            </w:r>
          </w:p>
        </w:tc>
        <w:tc>
          <w:tcPr>
            <w:tcW w:type="dxa" w:w="1234"/>
          </w:tcPr>
          <w:p>
            <w:r>
              <w:rPr>
                <w:rFonts w:ascii="Calibri" w:hAnsi="Calibri"/>
                <w:sz w:val="22"/>
              </w:rPr>
              <w:t>On track</w:t>
            </w:r>
          </w:p>
        </w:tc>
      </w:tr>
    </w:tbl>
    <w:p>
      <w:r>
        <w:rPr>
          <w:rFonts w:ascii="Calibri" w:hAnsi="Calibri"/>
          <w:b/>
          <w:color w:val="525866"/>
          <w:sz w:val="22"/>
        </w:rPr>
        <w:t xml:space="preserve">Sources: </w:t>
      </w:r>
      <w:r>
        <w:rPr>
          <w:rFonts w:ascii="Calibri" w:hAnsi="Calibri"/>
          <w:color w:val="525866"/>
          <w:sz w:val="22"/>
        </w:rPr>
        <w:t>Adjusted EPS, Revenue, Operating Margin, and CapEx from Visible Alpha Consensus and Actuals Data (https://insights.visiblealpha.com/mex/APD/NMV/IS; https://insights.visiblealpha.com/mex/APD/NMV/SG; https://insights.visiblealpha.com/mex/APD/NMV/CF). Q3 FY2025 Adjusted EPS actual of $3.09 per VA actuals. Management Q3 FY2026 guidance of $3.25–$3.35 from Q2 FY2026 earnings call (April 30,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 (Mar 2026)</w:t>
            </w:r>
          </w:p>
        </w:tc>
        <w:tc>
          <w:tcPr>
            <w:tcW w:type="dxa" w:w="1728"/>
          </w:tcPr>
          <w:p>
            <w:r>
              <w:rPr>
                <w:rFonts w:ascii="Calibri" w:hAnsi="Calibri"/>
                <w:sz w:val="22"/>
              </w:rPr>
              <w:t>$3.20</w:t>
            </w:r>
          </w:p>
        </w:tc>
        <w:tc>
          <w:tcPr>
            <w:tcW w:type="dxa" w:w="1728"/>
          </w:tcPr>
          <w:p>
            <w:r>
              <w:rPr>
                <w:rFonts w:ascii="Calibri" w:hAnsi="Calibri"/>
                <w:sz w:val="22"/>
              </w:rPr>
              <w:t>$3.06</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Q1 FY2026 (Dec 2025)</w:t>
            </w:r>
          </w:p>
        </w:tc>
        <w:tc>
          <w:tcPr>
            <w:tcW w:type="dxa" w:w="1728"/>
          </w:tcPr>
          <w:p>
            <w:r>
              <w:rPr>
                <w:rFonts w:ascii="Calibri" w:hAnsi="Calibri"/>
                <w:sz w:val="22"/>
              </w:rPr>
              <w:t>$3.16</w:t>
            </w:r>
          </w:p>
        </w:tc>
        <w:tc>
          <w:tcPr>
            <w:tcW w:type="dxa" w:w="1728"/>
          </w:tcPr>
          <w:p>
            <w:r>
              <w:rPr>
                <w:rFonts w:ascii="Calibri" w:hAnsi="Calibri"/>
                <w:sz w:val="22"/>
              </w:rPr>
              <w:t>$3.05</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Q4 FY2025 (Sep 2025)</w:t>
            </w:r>
          </w:p>
        </w:tc>
        <w:tc>
          <w:tcPr>
            <w:tcW w:type="dxa" w:w="1728"/>
          </w:tcPr>
          <w:p>
            <w:r>
              <w:rPr>
                <w:rFonts w:ascii="Calibri" w:hAnsi="Calibri"/>
                <w:sz w:val="22"/>
              </w:rPr>
              <w:t>$3.39</w:t>
            </w:r>
          </w:p>
        </w:tc>
        <w:tc>
          <w:tcPr>
            <w:tcW w:type="dxa" w:w="1728"/>
          </w:tcPr>
          <w:p>
            <w:r>
              <w:rPr>
                <w:rFonts w:ascii="Calibri" w:hAnsi="Calibri"/>
                <w:sz w:val="22"/>
              </w:rPr>
              <w:t>$3.37</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FY2025 (Jun 2025)</w:t>
            </w:r>
          </w:p>
        </w:tc>
        <w:tc>
          <w:tcPr>
            <w:tcW w:type="dxa" w:w="1728"/>
          </w:tcPr>
          <w:p>
            <w:r>
              <w:rPr>
                <w:rFonts w:ascii="Calibri" w:hAnsi="Calibri"/>
                <w:sz w:val="22"/>
              </w:rPr>
              <w:t>$3.09</w:t>
            </w:r>
          </w:p>
        </w:tc>
        <w:tc>
          <w:tcPr>
            <w:tcW w:type="dxa" w:w="1728"/>
          </w:tcPr>
          <w:p>
            <w:r>
              <w:rPr>
                <w:rFonts w:ascii="Calibri" w:hAnsi="Calibri"/>
                <w:sz w:val="22"/>
              </w:rPr>
              <w:t>$2.99</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Q2 FY2025 (Mar 2025)</w:t>
            </w:r>
          </w:p>
        </w:tc>
        <w:tc>
          <w:tcPr>
            <w:tcW w:type="dxa" w:w="1728"/>
          </w:tcPr>
          <w:p>
            <w:r>
              <w:rPr>
                <w:rFonts w:ascii="Calibri" w:hAnsi="Calibri"/>
                <w:sz w:val="22"/>
              </w:rPr>
              <w:t>$2.69</w:t>
            </w:r>
          </w:p>
        </w:tc>
        <w:tc>
          <w:tcPr>
            <w:tcW w:type="dxa" w:w="1728"/>
          </w:tcPr>
          <w:p>
            <w:r>
              <w:rPr>
                <w:rFonts w:ascii="Calibri" w:hAnsi="Calibri"/>
                <w:sz w:val="22"/>
              </w:rPr>
              <w:t>$2.83</w:t>
            </w:r>
          </w:p>
        </w:tc>
        <w:tc>
          <w:tcPr>
            <w:tcW w:type="dxa" w:w="1728"/>
          </w:tcPr>
          <w:p>
            <w:r>
              <w:rPr>
                <w:rFonts w:ascii="Calibri" w:hAnsi="Calibri"/>
                <w:sz w:val="22"/>
              </w:rPr>
              <w:t>-4.9%</w:t>
            </w:r>
          </w:p>
        </w:tc>
        <w:tc>
          <w:tcPr>
            <w:tcW w:type="dxa" w:w="1728"/>
          </w:tcPr>
          <w:p>
            <w:r>
              <w:rPr>
                <w:rFonts w:ascii="Calibri" w:hAnsi="Calibri"/>
                <w:b/>
                <w:color w:val="E5484D"/>
                <w:sz w:val="22"/>
              </w:rPr>
              <w:t>Miss</w:t>
            </w:r>
          </w:p>
        </w:tc>
      </w:tr>
      <w:tr>
        <w:tc>
          <w:tcPr>
            <w:tcW w:type="dxa" w:w="1728"/>
          </w:tcPr>
          <w:p>
            <w:r>
              <w:rPr>
                <w:rFonts w:ascii="Calibri" w:hAnsi="Calibri"/>
                <w:sz w:val="22"/>
              </w:rPr>
              <w:t>Q1 FY2025 (Dec 2024)</w:t>
            </w:r>
          </w:p>
        </w:tc>
        <w:tc>
          <w:tcPr>
            <w:tcW w:type="dxa" w:w="1728"/>
          </w:tcPr>
          <w:p>
            <w:r>
              <w:rPr>
                <w:rFonts w:ascii="Calibri" w:hAnsi="Calibri"/>
                <w:sz w:val="22"/>
              </w:rPr>
              <w:t>$2.86</w:t>
            </w:r>
          </w:p>
        </w:tc>
        <w:tc>
          <w:tcPr>
            <w:tcW w:type="dxa" w:w="1728"/>
          </w:tcPr>
          <w:p>
            <w:r>
              <w:rPr>
                <w:rFonts w:ascii="Calibri" w:hAnsi="Calibri"/>
                <w:sz w:val="22"/>
              </w:rPr>
              <w:t>$2.86</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Q4 FY2024 (Sep 2024)</w:t>
            </w:r>
          </w:p>
        </w:tc>
        <w:tc>
          <w:tcPr>
            <w:tcW w:type="dxa" w:w="1728"/>
          </w:tcPr>
          <w:p>
            <w:r>
              <w:rPr>
                <w:rFonts w:ascii="Calibri" w:hAnsi="Calibri"/>
                <w:sz w:val="22"/>
              </w:rPr>
              <w:t>$3.56</w:t>
            </w:r>
          </w:p>
        </w:tc>
        <w:tc>
          <w:tcPr>
            <w:tcW w:type="dxa" w:w="1728"/>
          </w:tcPr>
          <w:p>
            <w:r>
              <w:rPr>
                <w:rFonts w:ascii="Calibri" w:hAnsi="Calibri"/>
                <w:sz w:val="22"/>
              </w:rPr>
              <w:t>$3.49</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FY2024 (Jun 2024)</w:t>
            </w:r>
          </w:p>
        </w:tc>
        <w:tc>
          <w:tcPr>
            <w:tcW w:type="dxa" w:w="1728"/>
          </w:tcPr>
          <w:p>
            <w:r>
              <w:rPr>
                <w:rFonts w:ascii="Calibri" w:hAnsi="Calibri"/>
                <w:sz w:val="22"/>
              </w:rPr>
              <w:t>N/A — not in VA actuals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Revenue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 (Mar 2026)</w:t>
            </w:r>
          </w:p>
        </w:tc>
        <w:tc>
          <w:tcPr>
            <w:tcW w:type="dxa" w:w="1728"/>
          </w:tcPr>
          <w:p>
            <w:r>
              <w:rPr>
                <w:rFonts w:ascii="Calibri" w:hAnsi="Calibri"/>
                <w:sz w:val="22"/>
              </w:rPr>
              <w:t>$3,172M</w:t>
            </w:r>
          </w:p>
        </w:tc>
        <w:tc>
          <w:tcPr>
            <w:tcW w:type="dxa" w:w="1728"/>
          </w:tcPr>
          <w:p>
            <w:r>
              <w:rPr>
                <w:rFonts w:ascii="Calibri" w:hAnsi="Calibri"/>
                <w:sz w:val="22"/>
              </w:rPr>
              <w:t>$3,068M</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Q1 FY2026 (Dec 2025)</w:t>
            </w:r>
          </w:p>
        </w:tc>
        <w:tc>
          <w:tcPr>
            <w:tcW w:type="dxa" w:w="1728"/>
          </w:tcPr>
          <w:p>
            <w:r>
              <w:rPr>
                <w:rFonts w:ascii="Calibri" w:hAnsi="Calibri"/>
                <w:sz w:val="22"/>
              </w:rPr>
              <w:t>$3,103M</w:t>
            </w:r>
          </w:p>
        </w:tc>
        <w:tc>
          <w:tcPr>
            <w:tcW w:type="dxa" w:w="1728"/>
          </w:tcPr>
          <w:p>
            <w:r>
              <w:rPr>
                <w:rFonts w:ascii="Calibri" w:hAnsi="Calibri"/>
                <w:sz w:val="22"/>
              </w:rPr>
              <w:t>$3,043M</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FY2025 (Sep 2025)</w:t>
            </w:r>
          </w:p>
        </w:tc>
        <w:tc>
          <w:tcPr>
            <w:tcW w:type="dxa" w:w="1728"/>
          </w:tcPr>
          <w:p>
            <w:r>
              <w:rPr>
                <w:rFonts w:ascii="Calibri" w:hAnsi="Calibri"/>
                <w:sz w:val="22"/>
              </w:rPr>
              <w:t>$3,167M</w:t>
            </w:r>
          </w:p>
        </w:tc>
        <w:tc>
          <w:tcPr>
            <w:tcW w:type="dxa" w:w="1728"/>
          </w:tcPr>
          <w:p>
            <w:r>
              <w:rPr>
                <w:rFonts w:ascii="Calibri" w:hAnsi="Calibri"/>
                <w:sz w:val="22"/>
              </w:rPr>
              <w:t>$3,140M</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FY2025 (Jun 2025)</w:t>
            </w:r>
          </w:p>
        </w:tc>
        <w:tc>
          <w:tcPr>
            <w:tcW w:type="dxa" w:w="1728"/>
          </w:tcPr>
          <w:p>
            <w:r>
              <w:rPr>
                <w:rFonts w:ascii="Calibri" w:hAnsi="Calibri"/>
                <w:sz w:val="22"/>
              </w:rPr>
              <w:t>$3,023M</w:t>
            </w:r>
          </w:p>
        </w:tc>
        <w:tc>
          <w:tcPr>
            <w:tcW w:type="dxa" w:w="1728"/>
          </w:tcPr>
          <w:p>
            <w:r>
              <w:rPr>
                <w:rFonts w:ascii="Calibri" w:hAnsi="Calibri"/>
                <w:sz w:val="22"/>
              </w:rPr>
              <w:t>$2,974M</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Q2 FY2025 (Mar 2025)</w:t>
            </w:r>
          </w:p>
        </w:tc>
        <w:tc>
          <w:tcPr>
            <w:tcW w:type="dxa" w:w="1728"/>
          </w:tcPr>
          <w:p>
            <w:r>
              <w:rPr>
                <w:rFonts w:ascii="Calibri" w:hAnsi="Calibri"/>
                <w:sz w:val="22"/>
              </w:rPr>
              <w:t>$2,916M</w:t>
            </w:r>
          </w:p>
        </w:tc>
        <w:tc>
          <w:tcPr>
            <w:tcW w:type="dxa" w:w="1728"/>
          </w:tcPr>
          <w:p>
            <w:r>
              <w:rPr>
                <w:rFonts w:ascii="Calibri" w:hAnsi="Calibri"/>
                <w:sz w:val="22"/>
              </w:rPr>
              <w:t>$2,935M</w:t>
            </w:r>
          </w:p>
        </w:tc>
        <w:tc>
          <w:tcPr>
            <w:tcW w:type="dxa" w:w="1728"/>
          </w:tcPr>
          <w:p>
            <w:r>
              <w:rPr>
                <w:rFonts w:ascii="Calibri" w:hAnsi="Calibri"/>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Q1 FY2025 (Dec 2024)</w:t>
            </w:r>
          </w:p>
        </w:tc>
        <w:tc>
          <w:tcPr>
            <w:tcW w:type="dxa" w:w="1728"/>
          </w:tcPr>
          <w:p>
            <w:r>
              <w:rPr>
                <w:rFonts w:ascii="Calibri" w:hAnsi="Calibri"/>
                <w:sz w:val="22"/>
              </w:rPr>
              <w:t>$2,932M</w:t>
            </w:r>
          </w:p>
        </w:tc>
        <w:tc>
          <w:tcPr>
            <w:tcW w:type="dxa" w:w="1728"/>
          </w:tcPr>
          <w:p>
            <w:r>
              <w:rPr>
                <w:rFonts w:ascii="Calibri" w:hAnsi="Calibri"/>
                <w:sz w:val="22"/>
              </w:rPr>
              <w:t>$2,937M</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Q4 FY2024 (Sep 2024)</w:t>
            </w:r>
          </w:p>
        </w:tc>
        <w:tc>
          <w:tcPr>
            <w:tcW w:type="dxa" w:w="1728"/>
          </w:tcPr>
          <w:p>
            <w:r>
              <w:rPr>
                <w:rFonts w:ascii="Calibri" w:hAnsi="Calibri"/>
                <w:sz w:val="22"/>
              </w:rPr>
              <w:t>$3,188M</w:t>
            </w:r>
          </w:p>
        </w:tc>
        <w:tc>
          <w:tcPr>
            <w:tcW w:type="dxa" w:w="1728"/>
          </w:tcPr>
          <w:p>
            <w:r>
              <w:rPr>
                <w:rFonts w:ascii="Calibri" w:hAnsi="Calibri"/>
                <w:sz w:val="22"/>
              </w:rPr>
              <w:t>$3,249M</w:t>
            </w:r>
          </w:p>
        </w:tc>
        <w:tc>
          <w:tcPr>
            <w:tcW w:type="dxa" w:w="1728"/>
          </w:tcPr>
          <w:p>
            <w:r>
              <w:rPr>
                <w:rFonts w:ascii="Calibri" w:hAnsi="Calibri"/>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Q3 FY2024 (Jun 2024)</w:t>
            </w:r>
          </w:p>
        </w:tc>
        <w:tc>
          <w:tcPr>
            <w:tcW w:type="dxa" w:w="1728"/>
          </w:tcPr>
          <w:p>
            <w:r>
              <w:rPr>
                <w:rFonts w:ascii="Calibri" w:hAnsi="Calibri"/>
                <w:sz w:val="22"/>
              </w:rPr>
              <w:t>N/A — not in VA actuals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APD has beaten adjusted EPS in 5 of the last 7 reported quarters, with the sole miss in Q2 FY2025 coinciding with the period of peak mega-project uncertainty and management transition; the recent streak of beats (Q3 FY2025 through Q2 FY2026) reflects the new team’s more conservative guidance-setting approach, which is a positive setup for Q3 FY2026. Revenue beats have been more consistent in recent quarters as well, with 4 consecutive beats heading into this print.</w:t>
      </w:r>
    </w:p>
    <w:p>
      <w:r>
        <w:rPr>
          <w:rFonts w:ascii="Calibri" w:hAnsi="Calibri"/>
          <w:b/>
          <w:color w:val="525866"/>
          <w:sz w:val="22"/>
        </w:rPr>
        <w:t xml:space="preserve">Source: </w:t>
      </w:r>
      <w:r>
        <w:rPr>
          <w:rFonts w:ascii="Calibri" w:hAnsi="Calibri"/>
          <w:color w:val="525866"/>
          <w:sz w:val="22"/>
        </w:rPr>
        <w:t>Visible Alpha Consensus and Actuals Data (https://insights.visiblealpha.com/mex/APD/NMV/IS; https://insights.visiblealpha.com/mex/APD/NMV/SG).</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stable since the April 30 earnings call, with no formal revision to the EPS range; however, the </w:t>
      </w:r>
      <w:r>
        <w:rPr>
          <w:rFonts w:ascii="Calibri" w:hAnsi="Calibri"/>
          <w:b/>
          <w:color w:val="525866"/>
          <w:sz w:val="22"/>
        </w:rPr>
        <w:t>June 30 project-exit announcement represents a material strategic shift</w:t>
      </w:r>
      <w:r>
        <w:rPr>
          <w:rFonts w:ascii="Calibri" w:hAnsi="Calibri"/>
          <w:color w:val="525866"/>
          <w:sz w:val="22"/>
        </w:rPr>
        <w:t xml:space="preserve"> that effectively removes the Louisiana and Casa Grande overhangs and resets the capital allocation narrative heading into Q3.</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30, 2026)</w:t>
            </w:r>
          </w:p>
        </w:tc>
        <w:tc>
          <w:tcPr>
            <w:tcW w:type="dxa" w:w="1728"/>
            <w:shd w:val="clear" w:color="auto" w:fill="3B4259"/>
          </w:tcPr>
          <w:p>
            <w:r>
              <w:rPr>
                <w:rFonts w:ascii="Calibri" w:hAnsi="Calibri"/>
                <w:b/>
                <w:color w:val="FFFFFF"/>
                <w:sz w:val="22"/>
              </w:rPr>
              <w:t>Revised Guidance (Post-Earnings Event)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Adjusted EPS</w:t>
            </w:r>
          </w:p>
        </w:tc>
        <w:tc>
          <w:tcPr>
            <w:tcW w:type="dxa" w:w="1728"/>
          </w:tcPr>
          <w:p>
            <w:r>
              <w:rPr>
                <w:rFonts w:ascii="Calibri" w:hAnsi="Calibri"/>
                <w:sz w:val="22"/>
              </w:rPr>
              <w:t>$3.25–$3.35 (5–8% YoY growth)</w:t>
            </w:r>
          </w:p>
        </w:tc>
        <w:tc>
          <w:tcPr>
            <w:tcW w:type="dxa" w:w="1728"/>
          </w:tcPr>
          <w:p>
            <w:r>
              <w:rPr>
                <w:rFonts w:ascii="Calibri" w:hAnsi="Calibri"/>
                <w:sz w:val="22"/>
              </w:rPr>
              <w:t>Unchanged</w:t>
            </w:r>
          </w:p>
        </w:tc>
        <w:tc>
          <w:tcPr>
            <w:tcW w:type="dxa" w:w="1728"/>
          </w:tcPr>
          <w:p>
            <w:r>
              <w:rPr>
                <w:rFonts w:ascii="Calibri" w:hAnsi="Calibri"/>
                <w:sz w:val="22"/>
              </w:rPr>
              <w:t>$3.34</w:t>
            </w:r>
          </w:p>
        </w:tc>
        <w:tc>
          <w:tcPr>
            <w:tcW w:type="dxa" w:w="1728"/>
          </w:tcPr>
          <w:p>
            <w:r>
              <w:rPr>
                <w:rFonts w:ascii="Calibri" w:hAnsi="Calibri"/>
                <w:sz w:val="22"/>
              </w:rPr>
              <w:t>No formal revision; guidance confirmed at Bernstein Conference (May 27, 2026)</w:t>
            </w:r>
          </w:p>
        </w:tc>
      </w:tr>
      <w:tr>
        <w:tc>
          <w:tcPr>
            <w:tcW w:type="dxa" w:w="1728"/>
          </w:tcPr>
          <w:p>
            <w:r>
              <w:rPr>
                <w:rFonts w:ascii="Calibri" w:hAnsi="Calibri"/>
                <w:sz w:val="22"/>
              </w:rPr>
              <w:t>FY2026 Adjusted EPS</w:t>
            </w:r>
          </w:p>
        </w:tc>
        <w:tc>
          <w:tcPr>
            <w:tcW w:type="dxa" w:w="1728"/>
          </w:tcPr>
          <w:p>
            <w:r>
              <w:rPr>
                <w:rFonts w:ascii="Calibri" w:hAnsi="Calibri"/>
                <w:sz w:val="22"/>
              </w:rPr>
              <w:t>$13.00–$13.25 (8–10% YoY growth)</w:t>
            </w:r>
          </w:p>
        </w:tc>
        <w:tc>
          <w:tcPr>
            <w:tcW w:type="dxa" w:w="1728"/>
          </w:tcPr>
          <w:p>
            <w:r>
              <w:rPr>
                <w:rFonts w:ascii="Calibri" w:hAnsi="Calibri"/>
                <w:sz w:val="22"/>
              </w:rPr>
              <w:t>Unchanged (adjusted basis)</w:t>
            </w:r>
          </w:p>
        </w:tc>
        <w:tc>
          <w:tcPr>
            <w:tcW w:type="dxa" w:w="1728"/>
          </w:tcPr>
          <w:p>
            <w:r>
              <w:rPr>
                <w:rFonts w:ascii="Calibri" w:hAnsi="Calibri"/>
                <w:sz w:val="22"/>
              </w:rPr>
              <w:t>$13.22</w:t>
            </w:r>
          </w:p>
        </w:tc>
        <w:tc>
          <w:tcPr>
            <w:tcW w:type="dxa" w:w="1728"/>
          </w:tcPr>
          <w:p>
            <w:r>
              <w:rPr>
                <w:rFonts w:ascii="Calibri" w:hAnsi="Calibri"/>
                <w:sz w:val="22"/>
              </w:rPr>
              <w:t>Adjusted guidance unchanged; GAAP results will include ~$2.9B pre-tax / ~$2.2B after-tax charge in Q3 from project exits (disclosed June 30, 2026 via 8-K)</w:t>
            </w:r>
          </w:p>
        </w:tc>
      </w:tr>
      <w:tr>
        <w:tc>
          <w:tcPr>
            <w:tcW w:type="dxa" w:w="1728"/>
          </w:tcPr>
          <w:p>
            <w:r>
              <w:rPr>
                <w:rFonts w:ascii="Calibri" w:hAnsi="Calibri"/>
                <w:sz w:val="22"/>
              </w:rPr>
              <w:t>FY2026 Capital Expenditures</w:t>
            </w:r>
          </w:p>
        </w:tc>
        <w:tc>
          <w:tcPr>
            <w:tcW w:type="dxa" w:w="1728"/>
          </w:tcPr>
          <w:p>
            <w:r>
              <w:rPr>
                <w:rFonts w:ascii="Calibri" w:hAnsi="Calibri"/>
                <w:sz w:val="22"/>
              </w:rPr>
              <w:t>~$4.0B (reduction of &gt;$1B vs. FY2025)</w:t>
            </w:r>
          </w:p>
        </w:tc>
        <w:tc>
          <w:tcPr>
            <w:tcW w:type="dxa" w:w="1728"/>
          </w:tcPr>
          <w:p>
            <w:r>
              <w:rPr>
                <w:rFonts w:ascii="Calibri" w:hAnsi="Calibri"/>
                <w:sz w:val="22"/>
              </w:rPr>
              <w:t>Unchanged</w:t>
            </w:r>
          </w:p>
        </w:tc>
        <w:tc>
          <w:tcPr>
            <w:tcW w:type="dxa" w:w="1728"/>
          </w:tcPr>
          <w:p>
            <w:r>
              <w:rPr>
                <w:rFonts w:ascii="Calibri" w:hAnsi="Calibri"/>
                <w:sz w:val="22"/>
              </w:rPr>
              <w:t>$4.32B (FY consensus)</w:t>
            </w:r>
          </w:p>
        </w:tc>
        <w:tc>
          <w:tcPr>
            <w:tcW w:type="dxa" w:w="1728"/>
          </w:tcPr>
          <w:p>
            <w:r>
              <w:rPr>
                <w:rFonts w:ascii="Calibri" w:hAnsi="Calibri"/>
                <w:sz w:val="22"/>
              </w:rPr>
              <w:t>Project exits may accelerate CapEx reduction; cash costs from exits estimated ≤$925M</w:t>
            </w:r>
          </w:p>
        </w:tc>
      </w:tr>
      <w:tr>
        <w:tc>
          <w:tcPr>
            <w:tcW w:type="dxa" w:w="1728"/>
          </w:tcPr>
          <w:p>
            <w:r>
              <w:rPr>
                <w:rFonts w:ascii="Calibri" w:hAnsi="Calibri"/>
                <w:sz w:val="22"/>
              </w:rPr>
              <w:t>Louisiana Clean Energy Complex (LCEC)</w:t>
            </w:r>
          </w:p>
        </w:tc>
        <w:tc>
          <w:tcPr>
            <w:tcW w:type="dxa" w:w="1728"/>
          </w:tcPr>
          <w:p>
            <w:r>
              <w:rPr>
                <w:rFonts w:ascii="Calibri" w:hAnsi="Calibri"/>
                <w:sz w:val="22"/>
              </w:rPr>
              <w:t>Base case: not proceeding; go/no-go decision targeted for July 2026 board meeting</w:t>
            </w:r>
          </w:p>
        </w:tc>
        <w:tc>
          <w:tcPr>
            <w:tcW w:type="dxa" w:w="1728"/>
          </w:tcPr>
          <w:p>
            <w:r>
              <w:rPr>
                <w:rFonts w:ascii="Calibri" w:hAnsi="Calibri"/>
                <w:sz w:val="22"/>
              </w:rPr>
              <w:t>↓ Formally exited — June 26, 2026 board decision; disclosed June 30, 2026 via 8-K/press release</w:t>
            </w:r>
          </w:p>
        </w:tc>
        <w:tc>
          <w:tcPr>
            <w:tcW w:type="dxa" w:w="1728"/>
          </w:tcPr>
          <w:p>
            <w:r>
              <w:rPr>
                <w:rFonts w:ascii="Calibri" w:hAnsi="Calibri"/>
                <w:sz w:val="22"/>
              </w:rPr>
              <w:t>N/A</w:t>
            </w:r>
          </w:p>
        </w:tc>
        <w:tc>
          <w:tcPr>
            <w:tcW w:type="dxa" w:w="1728"/>
          </w:tcPr>
          <w:p>
            <w:r>
              <w:rPr>
                <w:rFonts w:ascii="Calibri" w:hAnsi="Calibri"/>
                <w:sz w:val="22"/>
              </w:rPr>
              <w:t>↓ Decision effective June 26, 2026 (board meeting); public disclosure June 30, 2026. Returns did not meet return criteria. Pre-tax charge ≤$2.9B recorded in Q3 FY2026</w:t>
            </w:r>
          </w:p>
        </w:tc>
      </w:tr>
      <w:tr>
        <w:tc>
          <w:tcPr>
            <w:tcW w:type="dxa" w:w="1728"/>
          </w:tcPr>
          <w:p>
            <w:r>
              <w:rPr>
                <w:rFonts w:ascii="Calibri" w:hAnsi="Calibri"/>
                <w:sz w:val="22"/>
              </w:rPr>
              <w:t>Casa Grande &amp; Other Clean Energy Projects</w:t>
            </w:r>
          </w:p>
        </w:tc>
        <w:tc>
          <w:tcPr>
            <w:tcW w:type="dxa" w:w="1728"/>
          </w:tcPr>
          <w:p>
            <w:r>
              <w:rPr>
                <w:rFonts w:ascii="Calibri" w:hAnsi="Calibri"/>
                <w:sz w:val="22"/>
              </w:rPr>
              <w:t>Under review</w:t>
            </w:r>
          </w:p>
        </w:tc>
        <w:tc>
          <w:tcPr>
            <w:tcW w:type="dxa" w:w="1728"/>
          </w:tcPr>
          <w:p>
            <w:r>
              <w:rPr>
                <w:rFonts w:ascii="Calibri" w:hAnsi="Calibri"/>
                <w:sz w:val="22"/>
              </w:rPr>
              <w:t>↓ Exited — June 26, 2026 board decision; disclosed June 30, 2026</w:t>
            </w:r>
          </w:p>
        </w:tc>
        <w:tc>
          <w:tcPr>
            <w:tcW w:type="dxa" w:w="1728"/>
          </w:tcPr>
          <w:p>
            <w:r>
              <w:rPr>
                <w:rFonts w:ascii="Calibri" w:hAnsi="Calibri"/>
                <w:sz w:val="22"/>
              </w:rPr>
              <w:t>N/A</w:t>
            </w:r>
          </w:p>
        </w:tc>
        <w:tc>
          <w:tcPr>
            <w:tcW w:type="dxa" w:w="1728"/>
          </w:tcPr>
          <w:p>
            <w:r>
              <w:rPr>
                <w:rFonts w:ascii="Calibri" w:hAnsi="Calibri"/>
                <w:sz w:val="22"/>
              </w:rPr>
              <w:t>Cited challenging commercial conditions and slower-than-expected hydrogen-for-mobility market development</w:t>
            </w:r>
          </w:p>
        </w:tc>
      </w:tr>
      <w:tr>
        <w:tc>
          <w:tcPr>
            <w:tcW w:type="dxa" w:w="1728"/>
          </w:tcPr>
          <w:p>
            <w:r>
              <w:rPr>
                <w:rFonts w:ascii="Calibri" w:hAnsi="Calibri"/>
                <w:sz w:val="22"/>
              </w:rPr>
              <w:t>NEOM Green Hydrogen Project</w:t>
            </w:r>
          </w:p>
        </w:tc>
        <w:tc>
          <w:tcPr>
            <w:tcW w:type="dxa" w:w="1728"/>
          </w:tcPr>
          <w:p>
            <w:r>
              <w:rPr>
                <w:rFonts w:ascii="Calibri" w:hAnsi="Calibri"/>
                <w:sz w:val="22"/>
              </w:rPr>
              <w:t>First ammonia guided to beginning of 2027; Yara marketing agreement in progress</w:t>
            </w:r>
          </w:p>
        </w:tc>
        <w:tc>
          <w:tcPr>
            <w:tcW w:type="dxa" w:w="1728"/>
          </w:tcPr>
          <w:p>
            <w:r>
              <w:rPr>
                <w:rFonts w:ascii="Calibri" w:hAnsi="Calibri"/>
                <w:sz w:val="22"/>
              </w:rPr>
              <w:t>Yara agreement finalizing (disclosed June 30, 2026); NEOM unaffected by project exits</w:t>
            </w:r>
          </w:p>
        </w:tc>
        <w:tc>
          <w:tcPr>
            <w:tcW w:type="dxa" w:w="1728"/>
          </w:tcPr>
          <w:p>
            <w:r>
              <w:rPr>
                <w:rFonts w:ascii="Calibri" w:hAnsi="Calibri"/>
                <w:sz w:val="22"/>
              </w:rPr>
              <w:t>N/A</w:t>
            </w:r>
          </w:p>
        </w:tc>
        <w:tc>
          <w:tcPr>
            <w:tcW w:type="dxa" w:w="1728"/>
          </w:tcPr>
          <w:p>
            <w:r>
              <w:rPr>
                <w:rFonts w:ascii="Calibri" w:hAnsi="Calibri"/>
                <w:sz w:val="22"/>
              </w:rPr>
              <w:t>Renewable power side essentially complete; substation energized; next step is connecting solar park and commissioning with own renewable power</w:t>
            </w:r>
          </w:p>
        </w:tc>
      </w:tr>
      <w:tr>
        <w:tc>
          <w:tcPr>
            <w:tcW w:type="dxa" w:w="1728"/>
          </w:tcPr>
          <w:p>
            <w:r>
              <w:rPr>
                <w:rFonts w:ascii="Calibri" w:hAnsi="Calibri"/>
                <w:sz w:val="22"/>
              </w:rPr>
              <w:t>Helium Headwind (FY2026 EPS drag)</w:t>
            </w:r>
          </w:p>
        </w:tc>
        <w:tc>
          <w:tcPr>
            <w:tcW w:type="dxa" w:w="1728"/>
          </w:tcPr>
          <w:p>
            <w:r>
              <w:rPr>
                <w:rFonts w:ascii="Calibri" w:hAnsi="Calibri"/>
                <w:sz w:val="22"/>
              </w:rPr>
              <w:t>~4% EPS headwind maintained for full year</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Includes pricing concessions made in exchange for long-term volume agreements; management declined to include spot market upside in guidance</w:t>
            </w:r>
          </w:p>
        </w:tc>
      </w:tr>
    </w:tbl>
    <w:p>
      <w:r>
        <w:rPr>
          <w:rFonts w:ascii="Calibri" w:hAnsi="Calibri"/>
          <w:b/>
          <w:color w:val="525866"/>
          <w:sz w:val="22"/>
        </w:rPr>
        <w:t xml:space="preserve">Note on June 26 vs. June 30 Dates: </w:t>
      </w:r>
      <w:r>
        <w:rPr>
          <w:rFonts w:ascii="Calibri" w:hAnsi="Calibri"/>
          <w:color w:val="525866"/>
          <w:sz w:val="22"/>
        </w:rPr>
        <w:t xml:space="preserve">The board decision to exit the Louisiana Clean Energy Complex, Casa Grande, and other smaller clean energy projects was made on </w:t>
      </w:r>
      <w:r>
        <w:rPr>
          <w:rFonts w:ascii="Calibri" w:hAnsi="Calibri"/>
          <w:b/>
          <w:color w:val="525866"/>
          <w:sz w:val="22"/>
        </w:rPr>
        <w:t>June 26, 2026</w:t>
      </w:r>
      <w:r>
        <w:rPr>
          <w:rFonts w:ascii="Calibri" w:hAnsi="Calibri"/>
          <w:color w:val="525866"/>
          <w:sz w:val="22"/>
        </w:rPr>
        <w:t xml:space="preserve"> (the effective decision date). The public disclosure — via 8-K filing and press release — occurred on </w:t>
      </w:r>
      <w:r>
        <w:rPr>
          <w:rFonts w:ascii="Calibri" w:hAnsi="Calibri"/>
          <w:b/>
          <w:color w:val="525866"/>
          <w:sz w:val="22"/>
        </w:rPr>
        <w:t>June 30, 2026</w:t>
      </w:r>
      <w:r>
        <w:rPr>
          <w:rFonts w:ascii="Calibri" w:hAnsi="Calibri"/>
          <w:color w:val="525866"/>
          <w:sz w:val="22"/>
        </w:rPr>
        <w:t>. The pre-tax charge of up to $2.9B will be recorded in the fiscal Q3 2026 financial statements (quarter ended June 30, 2026). The NEOM project and the Yara marketing/distribution agreement are explicitly stated to be independent of these project exits.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April 30 print — Q3 EPS consensus has moved only +$0.01 (from $3.33 to $3.34) and FY2026 EPS is essentially flat — suggesting the street has high conviction in management’s guided range and is not pricing in incremental upside from the project exits or NEOM update. </w:t>
      </w:r>
      <w:r>
        <w:rPr>
          <w:rFonts w:ascii="Calibri" w:hAnsi="Calibri"/>
          <w:b/>
          <w:color w:val="525866"/>
          <w:sz w:val="22"/>
        </w:rPr>
        <w:t>The gap between consensus and the guidance midpoint is minimal</w:t>
      </w:r>
      <w:r>
        <w:rPr>
          <w:rFonts w:ascii="Calibri" w:hAnsi="Calibri"/>
          <w:color w:val="525866"/>
          <w:sz w:val="22"/>
        </w:rPr>
        <w:t>, leaving the Q3 print as a binary event around whether management raises the FY ceiling.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Q3 FY2026</w:t>
            </w:r>
          </w:p>
        </w:tc>
        <w:tc>
          <w:tcPr>
            <w:tcW w:type="dxa" w:w="1080"/>
          </w:tcPr>
          <w:p>
            <w:r>
              <w:rPr>
                <w:rFonts w:ascii="Calibri" w:hAnsi="Calibri"/>
                <w:sz w:val="22"/>
              </w:rPr>
              <w:t>$3.33</w:t>
            </w:r>
          </w:p>
        </w:tc>
        <w:tc>
          <w:tcPr>
            <w:tcW w:type="dxa" w:w="1080"/>
          </w:tcPr>
          <w:p>
            <w:r>
              <w:rPr>
                <w:rFonts w:ascii="Calibri" w:hAnsi="Calibri"/>
                <w:sz w:val="22"/>
              </w:rPr>
              <w:t>$3.34</w:t>
            </w:r>
          </w:p>
        </w:tc>
        <w:tc>
          <w:tcPr>
            <w:tcW w:type="dxa" w:w="1080"/>
          </w:tcPr>
          <w:p>
            <w:r>
              <w:rPr>
                <w:rFonts w:ascii="Calibri" w:hAnsi="Calibri"/>
                <w:sz w:val="22"/>
              </w:rPr>
              <w:t>+0.3%</w:t>
            </w:r>
          </w:p>
        </w:tc>
        <w:tc>
          <w:tcPr>
            <w:tcW w:type="dxa" w:w="1080"/>
          </w:tcPr>
          <w:p>
            <w:r>
              <w:rPr>
                <w:rFonts w:ascii="Calibri" w:hAnsi="Calibri"/>
                <w:sz w:val="22"/>
              </w:rPr>
              <w:t>$3.25–$3.35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+1.2% vs. $3.30 midpoint</w:t>
            </w:r>
          </w:p>
        </w:tc>
      </w:tr>
      <w:tr>
        <w:tc>
          <w:tcPr>
            <w:tcW w:type="dxa" w:w="1080"/>
          </w:tcPr>
          <w:p>
            <w:r>
              <w:rPr>
                <w:rFonts w:ascii="Calibri" w:hAnsi="Calibri"/>
                <w:sz w:val="22"/>
              </w:rPr>
              <w:t>Adj. EPS — FY2026</w:t>
            </w:r>
          </w:p>
        </w:tc>
        <w:tc>
          <w:tcPr>
            <w:tcW w:type="dxa" w:w="1080"/>
          </w:tcPr>
          <w:p>
            <w:r>
              <w:rPr>
                <w:rFonts w:ascii="Calibri" w:hAnsi="Calibri"/>
                <w:sz w:val="22"/>
              </w:rPr>
              <w:t>$13.22</w:t>
            </w:r>
          </w:p>
        </w:tc>
        <w:tc>
          <w:tcPr>
            <w:tcW w:type="dxa" w:w="1080"/>
          </w:tcPr>
          <w:p>
            <w:r>
              <w:rPr>
                <w:rFonts w:ascii="Calibri" w:hAnsi="Calibri"/>
                <w:sz w:val="22"/>
              </w:rPr>
              <w:t>$13.22</w:t>
            </w:r>
          </w:p>
        </w:tc>
        <w:tc>
          <w:tcPr>
            <w:tcW w:type="dxa" w:w="1080"/>
          </w:tcPr>
          <w:p>
            <w:r>
              <w:rPr>
                <w:rFonts w:ascii="Calibri" w:hAnsi="Calibri"/>
                <w:sz w:val="22"/>
              </w:rPr>
              <w:t>0.0%</w:t>
            </w:r>
          </w:p>
        </w:tc>
        <w:tc>
          <w:tcPr>
            <w:tcW w:type="dxa" w:w="1080"/>
          </w:tcPr>
          <w:p>
            <w:r>
              <w:rPr>
                <w:rFonts w:ascii="Calibri" w:hAnsi="Calibri"/>
                <w:sz w:val="22"/>
              </w:rPr>
              <w:t>$13.00–$13.25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+1.7% vs. $13.125 midpoint</w:t>
            </w:r>
          </w:p>
        </w:tc>
      </w:tr>
      <w:tr>
        <w:tc>
          <w:tcPr>
            <w:tcW w:type="dxa" w:w="1080"/>
          </w:tcPr>
          <w:p>
            <w:r>
              <w:rPr>
                <w:rFonts w:ascii="Calibri" w:hAnsi="Calibri"/>
                <w:sz w:val="22"/>
              </w:rPr>
              <w:t>Revenue — Q3 FY2026</w:t>
            </w:r>
          </w:p>
        </w:tc>
        <w:tc>
          <w:tcPr>
            <w:tcW w:type="dxa" w:w="1080"/>
          </w:tcPr>
          <w:p>
            <w:r>
              <w:rPr>
                <w:rFonts w:ascii="Calibri" w:hAnsi="Calibri"/>
                <w:sz w:val="22"/>
              </w:rPr>
              <w:t>$3,182M</w:t>
            </w:r>
          </w:p>
        </w:tc>
        <w:tc>
          <w:tcPr>
            <w:tcW w:type="dxa" w:w="1080"/>
          </w:tcPr>
          <w:p>
            <w:r>
              <w:rPr>
                <w:rFonts w:ascii="Calibri" w:hAnsi="Calibri"/>
                <w:sz w:val="22"/>
              </w:rPr>
              <w:t>$3,192M</w:t>
            </w:r>
          </w:p>
        </w:tc>
        <w:tc>
          <w:tcPr>
            <w:tcW w:type="dxa" w:w="1080"/>
          </w:tcPr>
          <w:p>
            <w:r>
              <w:rPr>
                <w:rFonts w:ascii="Calibri" w:hAnsi="Calibri"/>
                <w:sz w:val="22"/>
              </w:rPr>
              <w:t>+0.3%</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$12,770M</w:t>
            </w:r>
          </w:p>
        </w:tc>
        <w:tc>
          <w:tcPr>
            <w:tcW w:type="dxa" w:w="1080"/>
          </w:tcPr>
          <w:p>
            <w:r>
              <w:rPr>
                <w:rFonts w:ascii="Calibri" w:hAnsi="Calibri"/>
                <w:sz w:val="22"/>
              </w:rPr>
              <w:t>$12,786M</w:t>
            </w:r>
          </w:p>
        </w:tc>
        <w:tc>
          <w:tcPr>
            <w:tcW w:type="dxa" w:w="1080"/>
          </w:tcPr>
          <w:p>
            <w:r>
              <w:rPr>
                <w:rFonts w:ascii="Calibri" w:hAnsi="Calibri"/>
                <w:sz w:val="22"/>
              </w:rPr>
              <w:t>+0.1%</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near-zero estimate drift since the April 30 print is notable: despite the June 30 project-exit announcement (a major strategic event), the street did not revise adjusted EPS estimates, confirming that the charges are treated as non-recurring and excluded from the adjusted EPS framework. The consensus sitting just above the guidance midpoint on both Q3 and FY2026 EPS suggests the street is pricing in a modest beat — consistent with the pattern of the last three quarters — but not a material upside surprise.</w:t>
      </w:r>
    </w:p>
    <w:p>
      <w:r>
        <w:rPr>
          <w:rFonts w:ascii="Calibri" w:hAnsi="Calibri"/>
          <w:b/>
          <w:color w:val="525866"/>
          <w:sz w:val="22"/>
        </w:rPr>
        <w:t xml:space="preserve">Source: </w:t>
      </w:r>
      <w:r>
        <w:rPr>
          <w:rFonts w:ascii="Calibri" w:hAnsi="Calibri"/>
          <w:color w:val="525866"/>
          <w:sz w:val="22"/>
        </w:rPr>
        <w:t>Visible Alpha Consensus and Actuals Data — revision history (weekly, May 8 – Jul 29, 2026) and point-in-time as-of May 7, 2026 (https://insights.visiblealpha.com/mex/APD/NMV/IS; https://insights.visiblealpha.com/mex/APD/NMV/SG).</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APD has </w:t>
      </w:r>
      <w:r>
        <w:rPr>
          <w:rFonts w:ascii="Calibri" w:hAnsi="Calibri"/>
          <w:b/>
          <w:color w:val="525866"/>
          <w:sz w:val="22"/>
        </w:rPr>
        <w:t>underperformed XLB and the S&amp;P 500 since the April 30 earnings date on a net basis</w:t>
      </w:r>
      <w:r>
        <w:rPr>
          <w:rFonts w:ascii="Calibri" w:hAnsi="Calibri"/>
          <w:color w:val="525866"/>
          <w:sz w:val="22"/>
        </w:rPr>
        <w:t xml:space="preserve"> (-1.9% vs. XLB +0.5% and SPY +1.5%), but the trajectory is bifurcated: the stock sold off ~10% from late April through late June as the Louisiana project uncertainty lingered, then surged ~8% on June 30 when the project exits were disclosed, recovering most of the lost ground. Multiple expansion has been modest (EV/EBITDA +3.2% over 1 month), suggesting the recent rally is more sentiment/clarity-driven than earnings-revision-driven.</w:t>
      </w:r>
    </w:p>
    <w:p>
      <w:r>
        <w:rPr>
          <w:rFonts w:ascii="Calibri" w:hAnsi="Calibri"/>
          <w:b/>
          <w:color w:val="525866"/>
          <w:sz w:val="22"/>
        </w:rPr>
        <w:t xml:space="preserve">Sector ETF: </w:t>
      </w:r>
      <w:r>
        <w:rPr>
          <w:rFonts w:ascii="Calibri" w:hAnsi="Calibri"/>
          <w:color w:val="525866"/>
          <w:sz w:val="22"/>
        </w:rPr>
        <w:t>XLB (Materials Select Sector SPDR Fund) — appropriate for APD given its classification as a specialty chemicals / industrial gases company within the Materials sector.</w:t>
      </w:r>
    </w:p>
    <w:p>
      <w:r>
        <w:rPr>
          <w:rFonts w:ascii="Calibri" w:hAnsi="Calibri"/>
          <w:color w:val="525866"/>
          <w:sz w:val="22"/>
        </w:rPr>
        <w:t>Indexed Performance Since Last Earnings (April 30, 2026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 / Event</w:t>
            </w:r>
          </w:p>
        </w:tc>
        <w:tc>
          <w:tcPr>
            <w:tcW w:type="dxa" w:w="1728"/>
            <w:shd w:val="clear" w:color="auto" w:fill="3B4259"/>
          </w:tcPr>
          <w:p>
            <w:r>
              <w:rPr>
                <w:rFonts w:ascii="Calibri" w:hAnsi="Calibri"/>
                <w:b/>
                <w:color w:val="FFFFFF"/>
                <w:sz w:val="22"/>
              </w:rPr>
              <w:t>APD (Indexed)</w:t>
            </w:r>
          </w:p>
        </w:tc>
        <w:tc>
          <w:tcPr>
            <w:tcW w:type="dxa" w:w="1728"/>
            <w:shd w:val="clear" w:color="auto" w:fill="3B4259"/>
          </w:tcPr>
          <w:p>
            <w:r>
              <w:rPr>
                <w:rFonts w:ascii="Calibri" w:hAnsi="Calibri"/>
                <w:b/>
                <w:color w:val="FFFFFF"/>
                <w:sz w:val="22"/>
              </w:rPr>
              <w:t>XLB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30, 2026 (Last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Q2 FY2026 earnings beat; FY guidance raised</w:t>
            </w:r>
          </w:p>
        </w:tc>
      </w:tr>
      <w:tr>
        <w:tc>
          <w:tcPr>
            <w:tcW w:type="dxa" w:w="1728"/>
          </w:tcPr>
          <w:p>
            <w:r>
              <w:rPr>
                <w:rFonts w:ascii="Calibri" w:hAnsi="Calibri"/>
                <w:sz w:val="22"/>
              </w:rPr>
              <w:t>May 27, 2026</w:t>
            </w:r>
          </w:p>
        </w:tc>
        <w:tc>
          <w:tcPr>
            <w:tcW w:type="dxa" w:w="1728"/>
          </w:tcPr>
          <w:p>
            <w:r>
              <w:rPr>
                <w:rFonts w:ascii="Calibri" w:hAnsi="Calibri"/>
                <w:sz w:val="22"/>
              </w:rPr>
              <w:t>95.2</w:t>
            </w:r>
          </w:p>
        </w:tc>
        <w:tc>
          <w:tcPr>
            <w:tcW w:type="dxa" w:w="1728"/>
          </w:tcPr>
          <w:p>
            <w:r>
              <w:rPr>
                <w:rFonts w:ascii="Calibri" w:hAnsi="Calibri"/>
                <w:sz w:val="22"/>
              </w:rPr>
              <w:t>99.4</w:t>
            </w:r>
          </w:p>
        </w:tc>
        <w:tc>
          <w:tcPr>
            <w:tcW w:type="dxa" w:w="1728"/>
          </w:tcPr>
          <w:p>
            <w:r>
              <w:rPr>
                <w:rFonts w:ascii="Calibri" w:hAnsi="Calibri"/>
                <w:sz w:val="22"/>
              </w:rPr>
              <w:t>104.4</w:t>
            </w:r>
          </w:p>
        </w:tc>
        <w:tc>
          <w:tcPr>
            <w:tcW w:type="dxa" w:w="1728"/>
          </w:tcPr>
          <w:p>
            <w:r>
              <w:rPr>
                <w:rFonts w:ascii="Calibri" w:hAnsi="Calibri"/>
                <w:sz w:val="22"/>
              </w:rPr>
              <w:t>Bernstein Conference — Louisiana update; guidance confirmed</w:t>
            </w:r>
          </w:p>
        </w:tc>
      </w:tr>
      <w:tr>
        <w:tc>
          <w:tcPr>
            <w:tcW w:type="dxa" w:w="1728"/>
          </w:tcPr>
          <w:p>
            <w:r>
              <w:rPr>
                <w:rFonts w:ascii="Calibri" w:hAnsi="Calibri"/>
                <w:sz w:val="22"/>
              </w:rPr>
              <w:t>Jun 26, 2026 (Decision Date)</w:t>
            </w:r>
          </w:p>
        </w:tc>
        <w:tc>
          <w:tcPr>
            <w:tcW w:type="dxa" w:w="1728"/>
          </w:tcPr>
          <w:p>
            <w:r>
              <w:rPr>
                <w:rFonts w:ascii="Calibri" w:hAnsi="Calibri"/>
                <w:sz w:val="22"/>
              </w:rPr>
              <w:t>92.6</w:t>
            </w:r>
          </w:p>
        </w:tc>
        <w:tc>
          <w:tcPr>
            <w:tcW w:type="dxa" w:w="1728"/>
          </w:tcPr>
          <w:p>
            <w:r>
              <w:rPr>
                <w:rFonts w:ascii="Calibri" w:hAnsi="Calibri"/>
                <w:sz w:val="22"/>
              </w:rPr>
              <w:t>100.3</w:t>
            </w:r>
          </w:p>
        </w:tc>
        <w:tc>
          <w:tcPr>
            <w:tcW w:type="dxa" w:w="1728"/>
          </w:tcPr>
          <w:p>
            <w:r>
              <w:rPr>
                <w:rFonts w:ascii="Calibri" w:hAnsi="Calibri"/>
                <w:sz w:val="22"/>
              </w:rPr>
              <w:t>101.4</w:t>
            </w:r>
          </w:p>
        </w:tc>
        <w:tc>
          <w:tcPr>
            <w:tcW w:type="dxa" w:w="1728"/>
          </w:tcPr>
          <w:p>
            <w:r>
              <w:rPr>
                <w:rFonts w:ascii="Calibri" w:hAnsi="Calibri"/>
                <w:sz w:val="22"/>
              </w:rPr>
              <w:t>Board decision to exit LCEC, Casa Grande (not yet public)</w:t>
            </w:r>
          </w:p>
        </w:tc>
      </w:tr>
      <w:tr>
        <w:tc>
          <w:tcPr>
            <w:tcW w:type="dxa" w:w="1728"/>
          </w:tcPr>
          <w:p>
            <w:r>
              <w:rPr>
                <w:rFonts w:ascii="Calibri" w:hAnsi="Calibri"/>
                <w:sz w:val="22"/>
              </w:rPr>
              <w:t>Jun 29, 2026</w:t>
            </w:r>
          </w:p>
        </w:tc>
        <w:tc>
          <w:tcPr>
            <w:tcW w:type="dxa" w:w="1728"/>
          </w:tcPr>
          <w:p>
            <w:r>
              <w:rPr>
                <w:rFonts w:ascii="Calibri" w:hAnsi="Calibri"/>
                <w:sz w:val="22"/>
              </w:rPr>
              <w:t>90.4</w:t>
            </w:r>
          </w:p>
        </w:tc>
        <w:tc>
          <w:tcPr>
            <w:tcW w:type="dxa" w:w="1728"/>
          </w:tcPr>
          <w:p>
            <w:r>
              <w:rPr>
                <w:rFonts w:ascii="Calibri" w:hAnsi="Calibri"/>
                <w:sz w:val="22"/>
              </w:rPr>
              <w:t>98.4</w:t>
            </w:r>
          </w:p>
        </w:tc>
        <w:tc>
          <w:tcPr>
            <w:tcW w:type="dxa" w:w="1728"/>
          </w:tcPr>
          <w:p>
            <w:r>
              <w:rPr>
                <w:rFonts w:ascii="Calibri" w:hAnsi="Calibri"/>
                <w:sz w:val="22"/>
              </w:rPr>
              <w:t>103.1</w:t>
            </w:r>
          </w:p>
        </w:tc>
        <w:tc>
          <w:tcPr>
            <w:tcW w:type="dxa" w:w="1728"/>
          </w:tcPr>
          <w:p>
            <w:r>
              <w:rPr>
                <w:rFonts w:ascii="Calibri" w:hAnsi="Calibri"/>
                <w:sz w:val="22"/>
              </w:rPr>
              <w:t>Pre-disclosure low</w:t>
            </w:r>
          </w:p>
        </w:tc>
      </w:tr>
      <w:tr>
        <w:tc>
          <w:tcPr>
            <w:tcW w:type="dxa" w:w="1728"/>
          </w:tcPr>
          <w:p>
            <w:r>
              <w:rPr>
                <w:rFonts w:ascii="Calibri" w:hAnsi="Calibri"/>
                <w:sz w:val="22"/>
              </w:rPr>
              <w:t>Jun 30, 2026 (Disclosure Date)</w:t>
            </w:r>
          </w:p>
        </w:tc>
        <w:tc>
          <w:tcPr>
            <w:tcW w:type="dxa" w:w="1728"/>
          </w:tcPr>
          <w:p>
            <w:r>
              <w:rPr>
                <w:rFonts w:ascii="Calibri" w:hAnsi="Calibri"/>
                <w:sz w:val="22"/>
              </w:rPr>
              <w:t>97.7</w:t>
            </w:r>
          </w:p>
        </w:tc>
        <w:tc>
          <w:tcPr>
            <w:tcW w:type="dxa" w:w="1728"/>
          </w:tcPr>
          <w:p>
            <w:r>
              <w:rPr>
                <w:rFonts w:ascii="Calibri" w:hAnsi="Calibri"/>
                <w:sz w:val="22"/>
              </w:rPr>
              <w:t>98.7</w:t>
            </w:r>
          </w:p>
        </w:tc>
        <w:tc>
          <w:tcPr>
            <w:tcW w:type="dxa" w:w="1728"/>
          </w:tcPr>
          <w:p>
            <w:r>
              <w:rPr>
                <w:rFonts w:ascii="Calibri" w:hAnsi="Calibri"/>
                <w:sz w:val="22"/>
              </w:rPr>
              <w:t>103.9</w:t>
            </w:r>
          </w:p>
        </w:tc>
        <w:tc>
          <w:tcPr>
            <w:tcW w:type="dxa" w:w="1728"/>
          </w:tcPr>
          <w:p>
            <w:r>
              <w:rPr>
                <w:rFonts w:ascii="Calibri" w:hAnsi="Calibri"/>
                <w:sz w:val="22"/>
              </w:rPr>
              <w:t>8-K / press release: project exits + Yara NEOM agreement update</w:t>
            </w:r>
          </w:p>
        </w:tc>
      </w:tr>
      <w:tr>
        <w:tc>
          <w:tcPr>
            <w:tcW w:type="dxa" w:w="1728"/>
          </w:tcPr>
          <w:p>
            <w:r>
              <w:rPr>
                <w:rFonts w:ascii="Calibri" w:hAnsi="Calibri"/>
                <w:sz w:val="22"/>
              </w:rPr>
              <w:t>Jul 2, 2026</w:t>
            </w:r>
          </w:p>
        </w:tc>
        <w:tc>
          <w:tcPr>
            <w:tcW w:type="dxa" w:w="1728"/>
          </w:tcPr>
          <w:p>
            <w:r>
              <w:rPr>
                <w:rFonts w:ascii="Calibri" w:hAnsi="Calibri"/>
                <w:sz w:val="22"/>
              </w:rPr>
              <w:t>104.7</w:t>
            </w:r>
          </w:p>
        </w:tc>
        <w:tc>
          <w:tcPr>
            <w:tcW w:type="dxa" w:w="1728"/>
          </w:tcPr>
          <w:p>
            <w:r>
              <w:rPr>
                <w:rFonts w:ascii="Calibri" w:hAnsi="Calibri"/>
                <w:sz w:val="22"/>
              </w:rPr>
              <w:t>101.1</w:t>
            </w:r>
          </w:p>
        </w:tc>
        <w:tc>
          <w:tcPr>
            <w:tcW w:type="dxa" w:w="1728"/>
          </w:tcPr>
          <w:p>
            <w:r>
              <w:rPr>
                <w:rFonts w:ascii="Calibri" w:hAnsi="Calibri"/>
                <w:sz w:val="22"/>
              </w:rPr>
              <w:t>103.6</w:t>
            </w:r>
          </w:p>
        </w:tc>
        <w:tc>
          <w:tcPr>
            <w:tcW w:type="dxa" w:w="1728"/>
          </w:tcPr>
          <w:p>
            <w:r>
              <w:rPr>
                <w:rFonts w:ascii="Calibri" w:hAnsi="Calibri"/>
                <w:sz w:val="22"/>
              </w:rPr>
              <w:t>Post-disclosure rally peak</w:t>
            </w:r>
          </w:p>
        </w:tc>
      </w:tr>
      <w:tr>
        <w:tc>
          <w:tcPr>
            <w:tcW w:type="dxa" w:w="1728"/>
          </w:tcPr>
          <w:p>
            <w:r>
              <w:rPr>
                <w:rFonts w:ascii="Calibri" w:hAnsi="Calibri"/>
                <w:sz w:val="22"/>
              </w:rPr>
              <w:t>Jul 29, 2026 (Today)</w:t>
            </w:r>
          </w:p>
        </w:tc>
        <w:tc>
          <w:tcPr>
            <w:tcW w:type="dxa" w:w="1728"/>
          </w:tcPr>
          <w:p>
            <w:r>
              <w:rPr>
                <w:rFonts w:ascii="Calibri" w:hAnsi="Calibri"/>
                <w:sz w:val="22"/>
              </w:rPr>
              <w:t>98.1</w:t>
            </w:r>
          </w:p>
        </w:tc>
        <w:tc>
          <w:tcPr>
            <w:tcW w:type="dxa" w:w="1728"/>
          </w:tcPr>
          <w:p>
            <w:r>
              <w:rPr>
                <w:rFonts w:ascii="Calibri" w:hAnsi="Calibri"/>
                <w:sz w:val="22"/>
              </w:rPr>
              <w:t>100.5</w:t>
            </w:r>
          </w:p>
        </w:tc>
        <w:tc>
          <w:tcPr>
            <w:tcW w:type="dxa" w:w="1728"/>
          </w:tcPr>
          <w:p>
            <w:r>
              <w:rPr>
                <w:rFonts w:ascii="Calibri" w:hAnsi="Calibri"/>
                <w:sz w:val="22"/>
              </w:rPr>
              <w:t>101.5</w:t>
            </w:r>
          </w:p>
        </w:tc>
        <w:tc>
          <w:tcPr>
            <w:tcW w:type="dxa" w:w="1728"/>
          </w:tcPr>
          <w:p>
            <w:r>
              <w:rPr>
                <w:rFonts w:ascii="Calibri" w:hAnsi="Calibri"/>
                <w:sz w:val="22"/>
              </w:rPr>
              <w:t>Pre-earnings positioning</w:t>
            </w:r>
          </w:p>
        </w:tc>
      </w:tr>
    </w:tbl>
    <w:p>
      <w:r>
        <w:rPr>
          <w:rFonts w:ascii="Calibri" w:hAnsi="Calibri"/>
          <w:b/>
          <w:color w:val="525866"/>
          <w:sz w:val="22"/>
        </w:rPr>
        <w:t xml:space="preserve">Performance Summary (Apr 30 – Jul 29, 2026): </w:t>
      </w:r>
      <w:r>
        <w:rPr>
          <w:rFonts w:ascii="Calibri" w:hAnsi="Calibri"/>
          <w:color w:val="525866"/>
          <w:sz w:val="22"/>
        </w:rPr>
        <w:t>APD -1.9% | XLB +0.5% | SPY +1.5%. The stock’s underperformance vs. the market is entirely attributable to the May–June drawdown as Louisiana uncertainty peaked; the June 30 disclosure triggered a sharp re-rating (+8% in two sessions) that has since partially faded as the market awaits Q3 results. The 1-month performance of +8.5% (vs. XLB +0.5%) reflects the post-disclosure re-rating and is the dominant driver of recent returns — not estimate revisions, which have been flat.</w:t>
      </w:r>
    </w:p>
    <w:p>
      <w:r>
        <w:rPr>
          <w:rFonts w:ascii="Calibri" w:hAnsi="Calibri"/>
          <w:b/>
          <w:color w:val="525866"/>
          <w:sz w:val="22"/>
        </w:rPr>
        <w:t xml:space="preserve">Source: </w:t>
      </w:r>
      <w:r>
        <w:rPr>
          <w:rFonts w:ascii="Calibri" w:hAnsi="Calibri"/>
          <w:color w:val="525866"/>
          <w:sz w:val="22"/>
        </w:rPr>
        <w:t>Stock Price Data — Yahoo Finance (APD, XLB, SPY daily closes, Apr 30 – Jul 29, 2026). Valuation decomposition from Implied internal analytics (EV/EBITDA NTM).</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June 26/30 project-exit decision is the most consequential development since last earnings</w:t>
      </w:r>
      <w:r>
        <w:rPr>
          <w:rFonts w:ascii="Calibri" w:hAnsi="Calibri"/>
          <w:color w:val="525866"/>
          <w:sz w:val="22"/>
        </w:rPr>
        <w:t xml:space="preserve"> — it removes the largest capital allocation overhang, triggers a ~$2.9B pre-tax charge in Q3, and reframes APD as a focused industrial gas compounder; the NEOM/Yara agreement update is the next most important item to watch on the July 30 call.</w:t>
      </w:r>
    </w:p>
    <w:p>
      <w:pPr>
        <w:pStyle w:val="ListBullet"/>
        <w:ind w:left="360" w:hanging="360"/>
      </w:pPr>
      <w:r>
        <w:rPr>
          <w:rFonts w:ascii="Calibri" w:hAnsi="Calibri"/>
          <w:b/>
          <w:color w:val="525866"/>
          <w:sz w:val="22"/>
        </w:rPr>
        <w:t xml:space="preserve">June 26, 2026 (effective) / June 30, 2026 (disclosed) — </w:t>
      </w:r>
      <w:r>
        <w:rPr>
          <w:rFonts w:ascii="Calibri" w:hAnsi="Calibri"/>
          <w:color w:val="525866"/>
          <w:sz w:val="22"/>
        </w:rPr>
        <w:t xml:space="preserve">Board decision to exit Louisiana Clean Energy Complex (LCEC), Casa Grande green hydrogen facility (AZ), and other smaller clean energy distribution projects. Decision effective June 26 (board meeting); publicly disclosed via 8-K and press release on June 30. Pre-tax charge of up to $2.9B (~$2.2B after-tax) to be recorded in Q3 FY2026; cash costs estimated ≤$925M. LCEC exit driven by returns not meeting criteria; Casa Grande and others cited challenging commercial conditions and slower-than-expected hydrogen-for-mobility market. </w:t>
      </w:r>
      <w:r>
        <w:rPr>
          <w:rFonts w:ascii="Calibri" w:hAnsi="Calibri"/>
          <w:b/>
          <w:color w:val="525866"/>
          <w:sz w:val="22"/>
        </w:rPr>
        <w:t xml:space="preserve">Implication: </w:t>
      </w:r>
      <w:r>
        <w:rPr>
          <w:rFonts w:ascii="Calibri" w:hAnsi="Calibri"/>
          <w:color w:val="525866"/>
          <w:sz w:val="22"/>
        </w:rPr>
        <w:t>Removes the single largest overhang on the stock; capital redeployment toward electronics (Samsung) and traditional industrial gas projects now the primary narrative.</w:t>
      </w:r>
    </w:p>
    <w:p>
      <w:pPr>
        <w:pStyle w:val="ListBullet"/>
        <w:ind w:left="360" w:hanging="360"/>
      </w:pPr>
      <w:r>
        <w:rPr>
          <w:rFonts w:ascii="Calibri" w:hAnsi="Calibri"/>
          <w:b/>
          <w:color w:val="525866"/>
          <w:sz w:val="22"/>
        </w:rPr>
        <w:t xml:space="preserve">June 30, 2026 — </w:t>
      </w:r>
      <w:r>
        <w:rPr>
          <w:rFonts w:ascii="Calibri" w:hAnsi="Calibri"/>
          <w:color w:val="525866"/>
          <w:sz w:val="22"/>
        </w:rPr>
        <w:t xml:space="preserve">NEOM Green Hydrogen Project update: APD announced it is finalizing a marketing and distribution agreement with Yara International for renewable ammonia from NEOM. Agreement is independent of the project exits. Renewable power side (close to 4 GW wind/solar) essentially complete; substation energized using grid power; next step is connecting solar park and commissioning with own renewable power. First ammonia guided to beginning of 2027. </w:t>
      </w:r>
      <w:r>
        <w:rPr>
          <w:rFonts w:ascii="Calibri" w:hAnsi="Calibri"/>
          <w:b/>
          <w:color w:val="525866"/>
          <w:sz w:val="22"/>
        </w:rPr>
        <w:t xml:space="preserve">Implication: </w:t>
      </w:r>
      <w:r>
        <w:rPr>
          <w:rFonts w:ascii="Calibri" w:hAnsi="Calibri"/>
          <w:color w:val="525866"/>
          <w:sz w:val="22"/>
        </w:rPr>
        <w:t>Yara agreement, if finalized, would provide commercial offtake clarity for NEOM ammonia — a key remaining uncertainty. Any concrete terms or timeline on the July 30 call would be a positive catalyst.</w:t>
      </w:r>
    </w:p>
    <w:p>
      <w:pPr>
        <w:pStyle w:val="ListBullet"/>
        <w:ind w:left="360" w:hanging="360"/>
      </w:pPr>
      <w:r>
        <w:rPr>
          <w:rFonts w:ascii="Calibri" w:hAnsi="Calibri"/>
          <w:b/>
          <w:color w:val="525866"/>
          <w:sz w:val="22"/>
        </w:rPr>
        <w:t xml:space="preserve">May 27, 2026 — </w:t>
      </w:r>
      <w:r>
        <w:rPr>
          <w:rFonts w:ascii="Calibri" w:hAnsi="Calibri"/>
          <w:color w:val="525866"/>
          <w:sz w:val="22"/>
        </w:rPr>
        <w:t xml:space="preserve">Bernstein Strategic Decisions Conference. CEO Eduardo Menezes confirmed Q3 FY2026 EPS guidance of 5–8% growth and FY2026 guidance of 8–10% growth. Louisiana project update: board had not yet reviewed EPC bids; final decision targeted for July board meeting. Helium 4% headwind maintained. Electronics described as “booming” with Samsung Korea project (Phase 5, ~3x Phase 1 size) highlighted as largest-ever electronics investment. </w:t>
      </w:r>
      <w:r>
        <w:rPr>
          <w:rFonts w:ascii="Calibri" w:hAnsi="Calibri"/>
          <w:b/>
          <w:color w:val="525866"/>
          <w:sz w:val="22"/>
        </w:rPr>
        <w:t xml:space="preserve">Implication: </w:t>
      </w:r>
      <w:r>
        <w:rPr>
          <w:rFonts w:ascii="Calibri" w:hAnsi="Calibri"/>
          <w:color w:val="525866"/>
          <w:sz w:val="22"/>
        </w:rPr>
        <w:t>Confirmed guidance and strategic direction; no incremental surprises.</w:t>
      </w:r>
    </w:p>
    <w:p>
      <w:pPr>
        <w:pStyle w:val="ListBullet"/>
        <w:ind w:left="360" w:hanging="360"/>
      </w:pPr>
      <w:r>
        <w:rPr>
          <w:rFonts w:ascii="Calibri" w:hAnsi="Calibri"/>
          <w:b/>
          <w:color w:val="525866"/>
          <w:sz w:val="22"/>
        </w:rPr>
        <w:t xml:space="preserve">April 30, 2026 — </w:t>
      </w:r>
      <w:r>
        <w:rPr>
          <w:rFonts w:ascii="Calibri" w:hAnsi="Calibri"/>
          <w:color w:val="525866"/>
          <w:sz w:val="22"/>
        </w:rPr>
        <w:t xml:space="preserve">Q2 FY2026 earnings: Adjusted EPS of $3.20 (+19% YoY), beating top end of guidance. FY2026 EPS guidance raised to $13.00–$13.25. Samsung South Korea electronics project announced (largest-ever electronics investment). Florida ASU for space launch customers announced. Total project backlog $9B; traditional industrial gas backlog ~$2.5B. </w:t>
      </w:r>
      <w:r>
        <w:rPr>
          <w:rFonts w:ascii="Calibri" w:hAnsi="Calibri"/>
          <w:b/>
          <w:color w:val="525866"/>
          <w:sz w:val="22"/>
        </w:rPr>
        <w:t xml:space="preserve">Implication: </w:t>
      </w:r>
      <w:r>
        <w:rPr>
          <w:rFonts w:ascii="Calibri" w:hAnsi="Calibri"/>
          <w:color w:val="525866"/>
          <w:sz w:val="22"/>
        </w:rPr>
        <w:t>Set a high bar for Q3 execution; management’s conservative second-half guidance (5–8% Q3 growth vs. 19% in Q2) was the key debate point.</w:t>
      </w:r>
    </w:p>
    <w:p>
      <w:pPr>
        <w:pStyle w:val="ListBullet"/>
        <w:ind w:left="360" w:hanging="360"/>
      </w:pPr>
      <w:r>
        <w:rPr>
          <w:rFonts w:ascii="Calibri" w:hAnsi="Calibri"/>
          <w:b/>
          <w:color w:val="525866"/>
          <w:sz w:val="22"/>
        </w:rPr>
        <w:t xml:space="preserve">Ongoing — </w:t>
      </w:r>
      <w:r>
        <w:rPr>
          <w:rFonts w:ascii="Calibri" w:hAnsi="Calibri"/>
          <w:color w:val="525866"/>
          <w:sz w:val="22"/>
        </w:rPr>
        <w:t xml:space="preserve">Helium supply disruption from Qatar (Iran/Hormuz conflict, ongoing since late February 2026). APD’s own Qatar connection (Carter 3) has been down since December 2025 (pre-conflict); maintenance expected to complete around midyear. Binding constraint is now logistics/shipping availability, not plant readiness. APD drawing from U.S. cavern storage and maximizing Kansas liquefaction. </w:t>
      </w:r>
      <w:r>
        <w:rPr>
          <w:rFonts w:ascii="Calibri" w:hAnsi="Calibri"/>
          <w:b/>
          <w:color w:val="525866"/>
          <w:sz w:val="22"/>
        </w:rPr>
        <w:t xml:space="preserve">Implication: </w:t>
      </w:r>
      <w:r>
        <w:rPr>
          <w:rFonts w:ascii="Calibri" w:hAnsi="Calibri"/>
          <w:color w:val="525866"/>
          <w:sz w:val="22"/>
        </w:rPr>
        <w:t>4% EPS headwind maintained; any earlier-than-expected Qatar supply restoration would be upside to guidance but management has explicitly excluded spot market upside from guidance.</w:t>
      </w:r>
    </w:p>
    <w:p>
      <w:pPr>
        <w:pStyle w:val="ListBullet"/>
        <w:ind w:left="360" w:hanging="360"/>
      </w:pPr>
      <w:r>
        <w:rPr>
          <w:rFonts w:ascii="Calibri" w:hAnsi="Calibri"/>
          <w:b/>
          <w:color w:val="525866"/>
          <w:sz w:val="22"/>
        </w:rPr>
        <w:t xml:space="preserve">Ongoing — </w:t>
      </w:r>
      <w:r>
        <w:rPr>
          <w:rFonts w:ascii="Calibri" w:hAnsi="Calibri"/>
          <w:color w:val="525866"/>
          <w:sz w:val="22"/>
        </w:rPr>
        <w:t xml:space="preserve">Electronics supercycle: AI-driven semiconductor CapEx at record levels through 2030. APD executing ~$1B in Asia ASU/hydrogen projects for semiconductor/memory customers; backlog expected to grow $1.5–2.0B in next six months. Helium volumes to large Asia electronics customers expected to more than double 2026–2030. </w:t>
      </w:r>
      <w:r>
        <w:rPr>
          <w:rFonts w:ascii="Calibri" w:hAnsi="Calibri"/>
          <w:b/>
          <w:color w:val="525866"/>
          <w:sz w:val="22"/>
        </w:rPr>
        <w:t xml:space="preserve">Implication: </w:t>
      </w:r>
      <w:r>
        <w:rPr>
          <w:rFonts w:ascii="Calibri" w:hAnsi="Calibri"/>
          <w:color w:val="525866"/>
          <w:sz w:val="22"/>
        </w:rPr>
        <w:t>Most important medium-term growth driver; Samsung Phase 5 win is the largest single project in company history.</w:t>
      </w:r>
    </w:p>
    <w:p>
      <w:pPr>
        <w:pStyle w:val="ListBullet"/>
        <w:ind w:left="360" w:hanging="360"/>
      </w:pPr>
      <w:r>
        <w:rPr>
          <w:rFonts w:ascii="Calibri" w:hAnsi="Calibri"/>
          <w:b/>
          <w:color w:val="525866"/>
          <w:sz w:val="22"/>
        </w:rPr>
        <w:t xml:space="preserve">Ongoing — </w:t>
      </w:r>
      <w:r>
        <w:rPr>
          <w:rFonts w:ascii="Calibri" w:hAnsi="Calibri"/>
          <w:color w:val="525866"/>
          <w:sz w:val="22"/>
        </w:rPr>
        <w:t xml:space="preserve">Productivity program on track: ~$50M savings achieved in first two quarters of FY2026 (H1), on track for $100M full-year target. Headcount reduced &gt;10% since 2023. Program expected to conclude in FY2027. </w:t>
      </w:r>
      <w:r>
        <w:rPr>
          <w:rFonts w:ascii="Calibri" w:hAnsi="Calibri"/>
          <w:b/>
          <w:color w:val="525866"/>
          <w:sz w:val="22"/>
        </w:rPr>
        <w:t xml:space="preserve">Implication: </w:t>
      </w:r>
      <w:r>
        <w:rPr>
          <w:rFonts w:ascii="Calibri" w:hAnsi="Calibri"/>
          <w:color w:val="525866"/>
          <w:sz w:val="22"/>
        </w:rPr>
        <w:t>Structural cost reduction supports margin expansion toward 30% by 2030 target.</w:t>
      </w:r>
    </w:p>
    <w:p>
      <w:pPr>
        <w:pStyle w:val="ListBullet"/>
        <w:ind w:left="360" w:hanging="360"/>
      </w:pPr>
      <w:r>
        <w:rPr>
          <w:rFonts w:ascii="Calibri" w:hAnsi="Calibri"/>
          <w:b/>
          <w:color w:val="525866"/>
          <w:sz w:val="22"/>
        </w:rPr>
        <w:t xml:space="preserve">Ongoing — </w:t>
      </w:r>
      <w:r>
        <w:rPr>
          <w:rFonts w:ascii="Calibri" w:hAnsi="Calibri"/>
          <w:color w:val="525866"/>
          <w:sz w:val="22"/>
        </w:rPr>
        <w:t xml:space="preserve">Middle East geopolitical risk (Iran conflict, Strait of Hormuz closure). European energy prices elevated; chemical industry in Europe facing feedstock challenges. U.S. Gulf Coast hydrogen pipeline running at record levels. China coal gasification oxygen volumes rising as LNG costs increase. </w:t>
      </w:r>
      <w:r>
        <w:rPr>
          <w:rFonts w:ascii="Calibri" w:hAnsi="Calibri"/>
          <w:b/>
          <w:color w:val="525866"/>
          <w:sz w:val="22"/>
        </w:rPr>
        <w:t xml:space="preserve">Implication: </w:t>
      </w:r>
      <w:r>
        <w:rPr>
          <w:rFonts w:ascii="Calibri" w:hAnsi="Calibri"/>
          <w:color w:val="525866"/>
          <w:sz w:val="22"/>
        </w:rPr>
        <w:t>Net mixed for APD: U.S. and China on-site volumes benefit; European merchant volumes face headwinds.</w:t>
      </w:r>
    </w:p>
    <w:p>
      <w:r>
        <w:br w:type="page"/>
      </w:r>
    </w:p>
    <w:p>
      <w:pPr>
        <w:pStyle w:val="Heading2"/>
      </w:pPr>
      <w:r>
        <w:rPr>
          <w:rFonts w:ascii="Calibri" w:hAnsi="Calibri"/>
          <w:b/>
          <w:color w:val="3B4259"/>
          <w:sz w:val="28"/>
        </w:rPr>
        <w:t>7. Peer Commentaries / Read-Throughs (Last 60 Days)</w:t>
      </w:r>
    </w:p>
    <w:p>
      <w:r>
        <w:rPr>
          <w:rFonts w:ascii="Calibri" w:hAnsi="Calibri"/>
          <w:b/>
          <w:color w:val="525866"/>
          <w:sz w:val="22"/>
        </w:rPr>
        <w:t xml:space="preserve">Key Takeaway: </w:t>
      </w:r>
      <w:r>
        <w:rPr>
          <w:rFonts w:ascii="Calibri" w:hAnsi="Calibri"/>
          <w:color w:val="525866"/>
          <w:sz w:val="22"/>
        </w:rPr>
        <w:t xml:space="preserve">Peer commentary is broadly constructive for APD’s Q3 FY2026 print — </w:t>
      </w:r>
      <w:r>
        <w:rPr>
          <w:rFonts w:ascii="Calibri" w:hAnsi="Calibri"/>
          <w:b/>
          <w:color w:val="525866"/>
          <w:sz w:val="22"/>
        </w:rPr>
        <w:t>electronics is the standout positive read-through</w:t>
      </w:r>
      <w:r>
        <w:rPr>
          <w:rFonts w:ascii="Calibri" w:hAnsi="Calibri"/>
          <w:color w:val="525866"/>
          <w:sz w:val="22"/>
        </w:rPr>
        <w:t xml:space="preserve"> (Air Liquide and Linde both flagging “booming” demand driven by AI), U.S. Gulf Coast refining and chemicals volumes are strong, and merchant pricing is accelerating; the primary headwind read-through is Europe, where both peers confirm continued volume weakness and production shifts away from the continent.</w:t>
      </w:r>
    </w:p>
    <w:p>
      <w:r>
        <w:rPr>
          <w:rFonts w:ascii="Calibri" w:hAnsi="Calibri"/>
          <w:b/>
          <w:color w:val="525866"/>
          <w:sz w:val="22"/>
        </w:rPr>
        <w:t xml:space="preserve">Note on Peer Selection: </w:t>
      </w:r>
      <w:r>
        <w:rPr>
          <w:rFonts w:ascii="Calibri" w:hAnsi="Calibri"/>
          <w:color w:val="525866"/>
          <w:sz w:val="22"/>
        </w:rPr>
        <w:t>Only commentary about the peer’s current reporting period (i.e., the quarter ending June 30, 2026) or commentary issued after the peer’s last earnings is included. Linde (LIN) reported Q1 2026 (calendar quarter ending March 31, 2026) on May 1, 2026 — its Q2 2026 (calendar quarter ending June 30, 2026) earnings are scheduled for July 31, 2026. Air Liquide (AI FP) reported Q2 2026 (calendar quarter ending June 30, 2026) on July 28, 2026. Both peers’ commentaries are directly relevant to APD’s Q3 FY2026 (April–June 2026) period.</w:t>
      </w:r>
    </w:p>
    <w:p>
      <w:pPr>
        <w:pStyle w:val="Heading3"/>
      </w:pPr>
      <w:r>
        <w:rPr>
          <w:rFonts w:ascii="Calibri" w:hAnsi="Calibri"/>
          <w:b/>
          <w:color w:val="3B4259"/>
          <w:sz w:val="24"/>
        </w:rPr>
        <w:t>Air Liquide (AI FP) — Q2 2026 Earnings (July 28, 2026)</w:t>
      </w:r>
    </w:p>
    <w:p>
      <w:r>
        <w:rPr>
          <w:rFonts w:ascii="Calibri" w:hAnsi="Calibri"/>
          <w:color w:val="525866"/>
          <w:sz w:val="22"/>
        </w:rPr>
        <w:t>Reporting period: Calendar Q2 2026 (April–June 2026) — directly overlaps with APD’s Q3 FY2026. This is the most timely and directly comparable peer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Air Liquide Commentary</w:t>
            </w:r>
          </w:p>
        </w:tc>
        <w:tc>
          <w:tcPr>
            <w:tcW w:type="dxa" w:w="2880"/>
            <w:shd w:val="clear" w:color="auto" w:fill="3B4259"/>
          </w:tcPr>
          <w:p>
            <w:r>
              <w:rPr>
                <w:rFonts w:ascii="Calibri" w:hAnsi="Calibri"/>
                <w:b/>
                <w:color w:val="FFFFFF"/>
                <w:sz w:val="22"/>
              </w:rPr>
              <w:t>APD Read-Through</w:t>
            </w:r>
          </w:p>
        </w:tc>
      </w:tr>
      <w:tr>
        <w:tc>
          <w:tcPr>
            <w:tcW w:type="dxa" w:w="2880"/>
          </w:tcPr>
          <w:p>
            <w:r>
              <w:rPr>
                <w:rFonts w:ascii="Calibri" w:hAnsi="Calibri"/>
                <w:sz w:val="22"/>
              </w:rPr>
              <w:t>Overall Demand</w:t>
            </w:r>
          </w:p>
        </w:tc>
        <w:tc>
          <w:tcPr>
            <w:tcW w:type="dxa" w:w="2880"/>
          </w:tcPr>
          <w:p>
            <w:r>
              <w:rPr>
                <w:rFonts w:ascii="Calibri" w:hAnsi="Calibri"/>
                <w:sz w:val="22"/>
              </w:rPr>
              <w:t>Comparable sales growth accelerated to +3.5% in Q2 (vs. +1.9% in Q1), landing above expectations. Overall sales growth ex-FX and energy reached +5.2%. Driven by “strong underlying performance across both booming electronics and improving industrial merchant.” Recurring net profit up 10% ex-currency. Record project backlog of €6B (up from €5.5B in Q1).</w:t>
            </w:r>
          </w:p>
        </w:tc>
        <w:tc>
          <w:tcPr>
            <w:tcW w:type="dxa" w:w="2880"/>
          </w:tcPr>
          <w:p>
            <w:r>
              <w:rPr>
                <w:rFonts w:ascii="Calibri" w:hAnsi="Calibri"/>
                <w:b/>
                <w:color w:val="30A46C"/>
                <w:sz w:val="22"/>
              </w:rPr>
              <w:t>Positive.</w:t>
            </w:r>
            <w:r>
              <w:rPr>
                <w:rFonts w:ascii="Calibri" w:hAnsi="Calibri"/>
                <w:sz w:val="22"/>
              </w:rPr>
              <w:t xml:space="preserve"> Accelerating growth and record backlog signal robust industrial gas demand environment heading into APD’s Q3 print.</w:t>
            </w:r>
          </w:p>
        </w:tc>
      </w:tr>
      <w:tr>
        <w:tc>
          <w:tcPr>
            <w:tcW w:type="dxa" w:w="2880"/>
          </w:tcPr>
          <w:p>
            <w:r>
              <w:rPr>
                <w:rFonts w:ascii="Calibri" w:hAnsi="Calibri"/>
                <w:sz w:val="22"/>
              </w:rPr>
              <w:t>Electronics</w:t>
            </w:r>
          </w:p>
        </w:tc>
        <w:tc>
          <w:tcPr>
            <w:tcW w:type="dxa" w:w="2880"/>
          </w:tcPr>
          <w:p>
            <w:r>
              <w:rPr>
                <w:rFonts w:ascii="Calibri" w:hAnsi="Calibri"/>
                <w:sz w:val="22"/>
              </w:rPr>
              <w:t>Electronics growth accelerated to +10% YoY in Q2 (“booming”). Underlying growth +8% even normalizing for a South Korean customer order pull-forward. Project decisions exceeded €1B in H1 2026 (1.5x all of 2025), “almost all driven by artificial intelligence needs.” Three large U.S. projects totaling &gt;$480M secured; Asia signings &gt;$550M. “Very strong demand for carrier gases and advanced materials” in China and Taiwan.</w:t>
            </w:r>
          </w:p>
        </w:tc>
        <w:tc>
          <w:tcPr>
            <w:tcW w:type="dxa" w:w="2880"/>
          </w:tcPr>
          <w:p>
            <w:r>
              <w:rPr>
                <w:rFonts w:ascii="Calibri" w:hAnsi="Calibri"/>
                <w:b/>
                <w:color w:val="30A46C"/>
                <w:sz w:val="22"/>
              </w:rPr>
              <w:t>Strongly Positive.</w:t>
            </w:r>
            <w:r>
              <w:rPr>
                <w:rFonts w:ascii="Calibri" w:hAnsi="Calibri"/>
                <w:sz w:val="22"/>
              </w:rPr>
              <w:t xml:space="preserve"> Directly validates APD’s Samsung Korea win and electronics backlog growth thesis. AI-driven demand is accelerating, not plateauing.</w:t>
            </w:r>
          </w:p>
        </w:tc>
      </w:tr>
      <w:tr>
        <w:tc>
          <w:tcPr>
            <w:tcW w:type="dxa" w:w="2880"/>
          </w:tcPr>
          <w:p>
            <w:r>
              <w:rPr>
                <w:rFonts w:ascii="Calibri" w:hAnsi="Calibri"/>
                <w:sz w:val="22"/>
              </w:rPr>
              <w:t>Merchant Pricing</w:t>
            </w:r>
          </w:p>
        </w:tc>
        <w:tc>
          <w:tcPr>
            <w:tcW w:type="dxa" w:w="2880"/>
          </w:tcPr>
          <w:p>
            <w:r>
              <w:rPr>
                <w:rFonts w:ascii="Calibri" w:hAnsi="Calibri"/>
                <w:sz w:val="22"/>
              </w:rPr>
              <w:t>Industrial merchant pricing accelerated to +5.2% in Q2. Americas pricing +6.7%. Europe pricing +3.1% (“proactively countering growing inflationary pressures”). Asia pricing turned positive at +1.4% (vs. -0.4% in Q1).</w:t>
            </w:r>
          </w:p>
        </w:tc>
        <w:tc>
          <w:tcPr>
            <w:tcW w:type="dxa" w:w="2880"/>
          </w:tcPr>
          <w:p>
            <w:r>
              <w:rPr>
                <w:rFonts w:ascii="Calibri" w:hAnsi="Calibri"/>
                <w:b/>
                <w:color w:val="30A46C"/>
                <w:sz w:val="22"/>
              </w:rPr>
              <w:t>Positive.</w:t>
            </w:r>
            <w:r>
              <w:rPr>
                <w:rFonts w:ascii="Calibri" w:hAnsi="Calibri"/>
                <w:sz w:val="22"/>
              </w:rPr>
              <w:t xml:space="preserve"> Broad-based pricing acceleration supports APD’s non-helium merchant pricing narrative; Asia pricing turning positive is particularly relevant given APD’s Asia electronics exposure.</w:t>
            </w:r>
          </w:p>
        </w:tc>
      </w:tr>
      <w:tr>
        <w:tc>
          <w:tcPr>
            <w:tcW w:type="dxa" w:w="2880"/>
          </w:tcPr>
          <w:p>
            <w:r>
              <w:rPr>
                <w:rFonts w:ascii="Calibri" w:hAnsi="Calibri"/>
                <w:sz w:val="22"/>
              </w:rPr>
              <w:t>U.S. Gulf Coast (Refining &amp; Chemicals)</w:t>
            </w:r>
          </w:p>
        </w:tc>
        <w:tc>
          <w:tcPr>
            <w:tcW w:type="dxa" w:w="2880"/>
          </w:tcPr>
          <w:p>
            <w:r>
              <w:rPr>
                <w:rFonts w:ascii="Calibri" w:hAnsi="Calibri"/>
                <w:sz w:val="22"/>
              </w:rPr>
              <w:t>“Record high volume in the US” in large industry, driven by “new project start-ups and ramp-ups, alongside high demand across our Gulf Coast pipeline network, especially from both chemical and refining customers.”</w:t>
            </w:r>
          </w:p>
        </w:tc>
        <w:tc>
          <w:tcPr>
            <w:tcW w:type="dxa" w:w="2880"/>
          </w:tcPr>
          <w:p>
            <w:r>
              <w:rPr>
                <w:rFonts w:ascii="Calibri" w:hAnsi="Calibri"/>
                <w:b/>
                <w:color w:val="30A46C"/>
                <w:sz w:val="22"/>
              </w:rPr>
              <w:t>Positive.</w:t>
            </w:r>
            <w:r>
              <w:rPr>
                <w:rFonts w:ascii="Calibri" w:hAnsi="Calibri"/>
                <w:sz w:val="22"/>
              </w:rPr>
              <w:t xml:space="preserve"> Directly corroborates APD’s U.S. refinery hydrogen pipeline running at record levels; supports on-site volume growth expectations for Q3.</w:t>
            </w:r>
          </w:p>
        </w:tc>
      </w:tr>
      <w:tr>
        <w:tc>
          <w:tcPr>
            <w:tcW w:type="dxa" w:w="2880"/>
          </w:tcPr>
          <w:p>
            <w:r>
              <w:rPr>
                <w:rFonts w:ascii="Calibri" w:hAnsi="Calibri"/>
                <w:sz w:val="22"/>
              </w:rPr>
              <w:t>Europe</w:t>
            </w:r>
          </w:p>
        </w:tc>
        <w:tc>
          <w:tcPr>
            <w:tcW w:type="dxa" w:w="2880"/>
          </w:tcPr>
          <w:p>
            <w:r>
              <w:rPr>
                <w:rFonts w:ascii="Calibri" w:hAnsi="Calibri"/>
                <w:sz w:val="22"/>
              </w:rPr>
              <w:t>EMEA saw only a “modest increase in growth vs. last quarter.” Large industry demand remained “low, driven by weak sales and low activity in the Middle East.” Partially offset by growing hydrogen sales in refining and pharmaceutical merchant volumes.</w:t>
            </w:r>
          </w:p>
        </w:tc>
        <w:tc>
          <w:tcPr>
            <w:tcW w:type="dxa" w:w="2880"/>
          </w:tcPr>
          <w:p>
            <w:r>
              <w:rPr>
                <w:rFonts w:ascii="Calibri" w:hAnsi="Calibri"/>
                <w:b/>
                <w:color w:val="E5484D"/>
                <w:sz w:val="22"/>
              </w:rPr>
              <w:t>Mixed.</w:t>
            </w:r>
            <w:r>
              <w:rPr>
                <w:rFonts w:ascii="Calibri" w:hAnsi="Calibri"/>
                <w:sz w:val="22"/>
              </w:rPr>
              <w:t xml:space="preserve"> Confirms APD’s cautious stance on European chemical industry; refining and pharma provide partial offsets but the overall European industrial environment remains soft.</w:t>
            </w:r>
          </w:p>
        </w:tc>
      </w:tr>
      <w:tr>
        <w:tc>
          <w:tcPr>
            <w:tcW w:type="dxa" w:w="2880"/>
          </w:tcPr>
          <w:p>
            <w:r>
              <w:rPr>
                <w:rFonts w:ascii="Calibri" w:hAnsi="Calibri"/>
                <w:sz w:val="22"/>
              </w:rPr>
              <w:t>Asia</w:t>
            </w:r>
          </w:p>
        </w:tc>
        <w:tc>
          <w:tcPr>
            <w:tcW w:type="dxa" w:w="2880"/>
          </w:tcPr>
          <w:p>
            <w:r>
              <w:rPr>
                <w:rFonts w:ascii="Calibri" w:hAnsi="Calibri"/>
                <w:sz w:val="22"/>
              </w:rPr>
              <w:t>Asia delivered “sequential growth led by material pickup in activity.” China sales growth propelled by “strong demand across on-site, packaged gas and bulk gases.” Large industry activity “remained mixed” with hydrogen sales growth in Korea not fully offsetting low activity elsewhere. Merchant pricing turned positive (+1.4% vs. -0.4% in Q1).</w:t>
            </w:r>
          </w:p>
        </w:tc>
        <w:tc>
          <w:tcPr>
            <w:tcW w:type="dxa" w:w="2880"/>
          </w:tcPr>
          <w:p>
            <w:r>
              <w:rPr>
                <w:rFonts w:ascii="Calibri" w:hAnsi="Calibri"/>
                <w:b/>
                <w:color w:val="30A46C"/>
                <w:sz w:val="22"/>
              </w:rPr>
              <w:t>Mixed to Positive.</w:t>
            </w:r>
            <w:r>
              <w:rPr>
                <w:rFonts w:ascii="Calibri" w:hAnsi="Calibri"/>
                <w:sz w:val="22"/>
              </w:rPr>
              <w:t xml:space="preserve"> China on-site strength and Korea electronics are positive; broader Asia large industry remains mixed, consistent with APD’s cautious Asia commentary.</w:t>
            </w:r>
          </w:p>
        </w:tc>
      </w:tr>
      <w:tr>
        <w:tc>
          <w:tcPr>
            <w:tcW w:type="dxa" w:w="2880"/>
          </w:tcPr>
          <w:p>
            <w:r>
              <w:rPr>
                <w:rFonts w:ascii="Calibri" w:hAnsi="Calibri"/>
                <w:sz w:val="22"/>
              </w:rPr>
              <w:t>Helium</w:t>
            </w:r>
          </w:p>
        </w:tc>
        <w:tc>
          <w:tcPr>
            <w:tcW w:type="dxa" w:w="2880"/>
          </w:tcPr>
          <w:p>
            <w:r>
              <w:rPr>
                <w:rFonts w:ascii="Calibri" w:hAnsi="Calibri"/>
                <w:sz w:val="22"/>
              </w:rPr>
              <w:t>“The negative delta is volume, which were attributed to the helium shortage.” Global helium shortage noted as a factor impacting merchant volumes.</w:t>
            </w:r>
          </w:p>
        </w:tc>
        <w:tc>
          <w:tcPr>
            <w:tcW w:type="dxa" w:w="2880"/>
          </w:tcPr>
          <w:p>
            <w:r>
              <w:rPr>
                <w:rFonts w:ascii="Calibri" w:hAnsi="Calibri"/>
                <w:b/>
                <w:color w:val="002FA7"/>
                <w:sz w:val="22"/>
              </w:rPr>
              <w:t>Neutral.</w:t>
            </w:r>
            <w:r>
              <w:rPr>
                <w:rFonts w:ascii="Calibri" w:hAnsi="Calibri"/>
                <w:sz w:val="22"/>
              </w:rPr>
              <w:t xml:space="preserve"> Confirms the global helium shortage is a sector-wide headwind, not APD-specific; consistent with APD’s maintained 4% EPS headwind guidance.</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Net Read-Through for APD Q3 FY2026</w:t>
            </w:r>
          </w:p>
        </w:tc>
        <w:tc>
          <w:tcPr>
            <w:tcW w:type="dxa" w:w="2880"/>
            <w:shd w:val="clear" w:color="auto" w:fill="3B4259"/>
          </w:tcPr>
          <w:p>
            <w:r>
              <w:rPr>
                <w:rFonts w:ascii="Calibri" w:hAnsi="Calibri"/>
                <w:b/>
                <w:color w:val="FFFFFF"/>
                <w:sz w:val="22"/>
              </w:rPr>
              <w:t>Primary Source</w:t>
            </w:r>
          </w:p>
        </w:tc>
      </w:tr>
      <w:tr>
        <w:tc>
          <w:tcPr>
            <w:tcW w:type="dxa" w:w="2880"/>
          </w:tcPr>
          <w:p>
            <w:r>
              <w:rPr>
                <w:rFonts w:ascii="Calibri" w:hAnsi="Calibri"/>
                <w:sz w:val="22"/>
              </w:rPr>
              <w:t>Electronics / AI demand</w:t>
            </w:r>
          </w:p>
        </w:tc>
        <w:tc>
          <w:tcPr>
            <w:tcW w:type="dxa" w:w="2880"/>
          </w:tcPr>
          <w:p>
            <w:r>
              <w:rPr>
                <w:rFonts w:ascii="Calibri" w:hAnsi="Calibri"/>
                <w:b/>
                <w:color w:val="30A46C"/>
                <w:sz w:val="22"/>
              </w:rPr>
              <w:t>Strongly Positive</w:t>
            </w:r>
          </w:p>
        </w:tc>
        <w:tc>
          <w:tcPr>
            <w:tcW w:type="dxa" w:w="2880"/>
          </w:tcPr>
          <w:p>
            <w:r>
              <w:rPr>
                <w:rFonts w:ascii="Calibri" w:hAnsi="Calibri"/>
                <w:sz w:val="22"/>
              </w:rPr>
              <w:t>Air Liquide Q2 2026; Linde Q1 2026 forward guidance</w:t>
            </w:r>
          </w:p>
        </w:tc>
      </w:tr>
      <w:tr>
        <w:tc>
          <w:tcPr>
            <w:tcW w:type="dxa" w:w="2880"/>
          </w:tcPr>
          <w:p>
            <w:r>
              <w:rPr>
                <w:rFonts w:ascii="Calibri" w:hAnsi="Calibri"/>
                <w:sz w:val="22"/>
              </w:rPr>
              <w:t>U.S. Gulf Coast refining &amp; chemicals</w:t>
            </w:r>
          </w:p>
        </w:tc>
        <w:tc>
          <w:tcPr>
            <w:tcW w:type="dxa" w:w="2880"/>
          </w:tcPr>
          <w:p>
            <w:r>
              <w:rPr>
                <w:rFonts w:ascii="Calibri" w:hAnsi="Calibri"/>
                <w:b/>
                <w:color w:val="30A46C"/>
                <w:sz w:val="22"/>
              </w:rPr>
              <w:t>Positive</w:t>
            </w:r>
          </w:p>
        </w:tc>
        <w:tc>
          <w:tcPr>
            <w:tcW w:type="dxa" w:w="2880"/>
          </w:tcPr>
          <w:p>
            <w:r>
              <w:rPr>
                <w:rFonts w:ascii="Calibri" w:hAnsi="Calibri"/>
                <w:sz w:val="22"/>
              </w:rPr>
              <w:t>Air Liquide Q2 2026; Linde Q1 2026 forward guidance</w:t>
            </w:r>
          </w:p>
        </w:tc>
      </w:tr>
      <w:tr>
        <w:tc>
          <w:tcPr>
            <w:tcW w:type="dxa" w:w="2880"/>
          </w:tcPr>
          <w:p>
            <w:r>
              <w:rPr>
                <w:rFonts w:ascii="Calibri" w:hAnsi="Calibri"/>
                <w:sz w:val="22"/>
              </w:rPr>
              <w:t>Merchant pricing (non-helium)</w:t>
            </w:r>
          </w:p>
        </w:tc>
        <w:tc>
          <w:tcPr>
            <w:tcW w:type="dxa" w:w="2880"/>
          </w:tcPr>
          <w:p>
            <w:r>
              <w:rPr>
                <w:rFonts w:ascii="Calibri" w:hAnsi="Calibri"/>
                <w:b/>
                <w:color w:val="30A46C"/>
                <w:sz w:val="22"/>
              </w:rPr>
              <w:t>Positive</w:t>
            </w:r>
          </w:p>
        </w:tc>
        <w:tc>
          <w:tcPr>
            <w:tcW w:type="dxa" w:w="2880"/>
          </w:tcPr>
          <w:p>
            <w:r>
              <w:rPr>
                <w:rFonts w:ascii="Calibri" w:hAnsi="Calibri"/>
                <w:sz w:val="22"/>
              </w:rPr>
              <w:t>Air Liquide Q2 2026 (+5.2% overall; +6.7% Americas)</w:t>
            </w:r>
          </w:p>
        </w:tc>
      </w:tr>
      <w:tr>
        <w:tc>
          <w:tcPr>
            <w:tcW w:type="dxa" w:w="2880"/>
          </w:tcPr>
          <w:p>
            <w:r>
              <w:rPr>
                <w:rFonts w:ascii="Calibri" w:hAnsi="Calibri"/>
                <w:sz w:val="22"/>
              </w:rPr>
              <w:t>China on-site / coal gasification</w:t>
            </w:r>
          </w:p>
        </w:tc>
        <w:tc>
          <w:tcPr>
            <w:tcW w:type="dxa" w:w="2880"/>
          </w:tcPr>
          <w:p>
            <w:r>
              <w:rPr>
                <w:rFonts w:ascii="Calibri" w:hAnsi="Calibri"/>
                <w:b/>
                <w:color w:val="30A46C"/>
                <w:sz w:val="22"/>
              </w:rPr>
              <w:t>Positive</w:t>
            </w:r>
          </w:p>
        </w:tc>
        <w:tc>
          <w:tcPr>
            <w:tcW w:type="dxa" w:w="2880"/>
          </w:tcPr>
          <w:p>
            <w:r>
              <w:rPr>
                <w:rFonts w:ascii="Calibri" w:hAnsi="Calibri"/>
                <w:sz w:val="22"/>
              </w:rPr>
              <w:t>Linde Q1 2026 forward guidance; Air Liquide Q2 2026</w:t>
            </w:r>
          </w:p>
        </w:tc>
      </w:tr>
      <w:tr>
        <w:tc>
          <w:tcPr>
            <w:tcW w:type="dxa" w:w="2880"/>
          </w:tcPr>
          <w:p>
            <w:r>
              <w:rPr>
                <w:rFonts w:ascii="Calibri" w:hAnsi="Calibri"/>
                <w:sz w:val="22"/>
              </w:rPr>
              <w:t>Europe industrial volumes</w:t>
            </w:r>
          </w:p>
        </w:tc>
        <w:tc>
          <w:tcPr>
            <w:tcW w:type="dxa" w:w="2880"/>
          </w:tcPr>
          <w:p>
            <w:r>
              <w:rPr>
                <w:rFonts w:ascii="Calibri" w:hAnsi="Calibri"/>
                <w:b/>
                <w:color w:val="E5484D"/>
                <w:sz w:val="22"/>
              </w:rPr>
              <w:t>Negative</w:t>
            </w:r>
          </w:p>
        </w:tc>
        <w:tc>
          <w:tcPr>
            <w:tcW w:type="dxa" w:w="2880"/>
          </w:tcPr>
          <w:p>
            <w:r>
              <w:rPr>
                <w:rFonts w:ascii="Calibri" w:hAnsi="Calibri"/>
                <w:sz w:val="22"/>
              </w:rPr>
              <w:t>Linde (EMEA “soft in June quarter”); Air Liquide (low large industry demand)</w:t>
            </w:r>
          </w:p>
        </w:tc>
      </w:tr>
      <w:tr>
        <w:tc>
          <w:tcPr>
            <w:tcW w:type="dxa" w:w="2880"/>
          </w:tcPr>
          <w:p>
            <w:r>
              <w:rPr>
                <w:rFonts w:ascii="Calibri" w:hAnsi="Calibri"/>
                <w:sz w:val="22"/>
              </w:rPr>
              <w:t>Helium pricing trajectory</w:t>
            </w:r>
          </w:p>
        </w:tc>
        <w:tc>
          <w:tcPr>
            <w:tcW w:type="dxa" w:w="2880"/>
          </w:tcPr>
          <w:p>
            <w:r>
              <w:rPr>
                <w:rFonts w:ascii="Calibri" w:hAnsi="Calibri"/>
                <w:b/>
                <w:color w:val="30A46C"/>
                <w:sz w:val="22"/>
              </w:rPr>
              <w:t>Cautiously Positive (upside risk to APD guidance)</w:t>
            </w:r>
          </w:p>
        </w:tc>
        <w:tc>
          <w:tcPr>
            <w:tcW w:type="dxa" w:w="2880"/>
          </w:tcPr>
          <w:p>
            <w:r>
              <w:rPr>
                <w:rFonts w:ascii="Calibri" w:hAnsi="Calibri"/>
                <w:sz w:val="22"/>
              </w:rPr>
              <w:t>Linde (pricing “continue to go up”); Air Liquide (global shortage confirmed)</w:t>
            </w:r>
          </w:p>
        </w:tc>
      </w:tr>
      <w:tr>
        <w:tc>
          <w:tcPr>
            <w:tcW w:type="dxa" w:w="2880"/>
          </w:tcPr>
          <w:p>
            <w:r>
              <w:rPr>
                <w:rFonts w:ascii="Calibri" w:hAnsi="Calibri"/>
                <w:sz w:val="22"/>
              </w:rPr>
              <w:t>Overall industrial gas demand</w:t>
            </w:r>
          </w:p>
        </w:tc>
        <w:tc>
          <w:tcPr>
            <w:tcW w:type="dxa" w:w="2880"/>
          </w:tcPr>
          <w:p>
            <w:r>
              <w:rPr>
                <w:rFonts w:ascii="Calibri" w:hAnsi="Calibri"/>
                <w:b/>
                <w:color w:val="30A46C"/>
                <w:sz w:val="22"/>
              </w:rPr>
              <w:t>Positive</w:t>
            </w:r>
          </w:p>
        </w:tc>
        <w:tc>
          <w:tcPr>
            <w:tcW w:type="dxa" w:w="2880"/>
          </w:tcPr>
          <w:p>
            <w:r>
              <w:rPr>
                <w:rFonts w:ascii="Calibri" w:hAnsi="Calibri"/>
                <w:sz w:val="22"/>
              </w:rPr>
              <w:t>Air Liquide Q2 2026 (record backlog; accelerating growth)</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Only one open-market insider transaction was identified in the period since last earnings — a discretionary open-market sale by the CFO shortly after the Q2 earnings release. </w:t>
      </w:r>
      <w:r>
        <w:rPr>
          <w:rFonts w:ascii="Calibri" w:hAnsi="Calibri"/>
          <w:b/>
          <w:color w:val="525866"/>
          <w:sz w:val="22"/>
        </w:rPr>
        <w:t>No insider buying was detected</w:t>
      </w:r>
      <w:r>
        <w:rPr>
          <w:rFonts w:ascii="Calibri" w:hAnsi="Calibri"/>
          <w:color w:val="525866"/>
          <w:sz w:val="22"/>
        </w:rPr>
        <w:t>, and the single sale is not large enough relative to the CFO’s remaining position to signal concern; the absence of clustered buying or unusual selling patterns means insider activity is not a meaningful signal heading into Q3.</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Melissa N. Schaeffer</w:t>
            </w:r>
          </w:p>
        </w:tc>
        <w:tc>
          <w:tcPr>
            <w:tcW w:type="dxa" w:w="1234"/>
          </w:tcPr>
          <w:p>
            <w:r>
              <w:rPr>
                <w:rFonts w:ascii="Calibri" w:hAnsi="Calibri"/>
                <w:sz w:val="22"/>
              </w:rPr>
              <w:t>EVP &amp; CFO</w:t>
            </w:r>
          </w:p>
        </w:tc>
        <w:tc>
          <w:tcPr>
            <w:tcW w:type="dxa" w:w="1234"/>
          </w:tcPr>
          <w:p>
            <w:r>
              <w:rPr>
                <w:rFonts w:ascii="Calibri" w:hAnsi="Calibri"/>
                <w:sz w:val="22"/>
              </w:rPr>
              <w:t>Open Market Sale</w:t>
            </w:r>
          </w:p>
        </w:tc>
        <w:tc>
          <w:tcPr>
            <w:tcW w:type="dxa" w:w="1234"/>
          </w:tcPr>
          <w:p>
            <w:r>
              <w:rPr>
                <w:rFonts w:ascii="Calibri" w:hAnsi="Calibri"/>
                <w:sz w:val="22"/>
              </w:rPr>
              <w:t>2,714</w:t>
            </w:r>
          </w:p>
        </w:tc>
        <w:tc>
          <w:tcPr>
            <w:tcW w:type="dxa" w:w="1234"/>
          </w:tcPr>
          <w:p>
            <w:r>
              <w:rPr>
                <w:rFonts w:ascii="Calibri" w:hAnsi="Calibri"/>
                <w:sz w:val="22"/>
              </w:rPr>
              <w:t>~$813K (at ~$300/share)</w:t>
            </w:r>
          </w:p>
        </w:tc>
        <w:tc>
          <w:tcPr>
            <w:tcW w:type="dxa" w:w="1234"/>
          </w:tcPr>
          <w:p>
            <w:r>
              <w:rPr>
                <w:rFonts w:ascii="Calibri" w:hAnsi="Calibri"/>
                <w:sz w:val="22"/>
              </w:rPr>
              <w:t>May 1, 2026</w:t>
            </w:r>
          </w:p>
        </w:tc>
        <w:tc>
          <w:tcPr>
            <w:tcW w:type="dxa" w:w="1234"/>
          </w:tcPr>
          <w:p>
            <w:r>
              <w:rPr>
                <w:rFonts w:ascii="Calibri" w:hAnsi="Calibri"/>
                <w:sz w:val="22"/>
              </w:rPr>
              <w:t>Discretionary sale; filed May 4, 2026. CFO retained 14,212 shares post-transaction. Sale occurred one day after Q2 earnings beat — likely routine post-earnings liquidity event. No 10b5-1 plan indicated.</w:t>
            </w:r>
          </w:p>
        </w:tc>
      </w:tr>
    </w:tbl>
    <w:p>
      <w:r>
        <w:rPr>
          <w:rFonts w:ascii="Calibri" w:hAnsi="Calibri"/>
          <w:b/>
          <w:color w:val="525866"/>
          <w:sz w:val="22"/>
        </w:rPr>
        <w:t xml:space="preserve">Source: </w:t>
      </w:r>
      <w:r>
        <w:rPr>
          <w:rFonts w:ascii="Calibri" w:hAnsi="Calibri"/>
          <w:color w:val="525866"/>
          <w:sz w:val="22"/>
        </w:rPr>
        <w:t>SEC Form 4 Filing — Schaeffer Melissa N. (APD), filed May 4, 2026, transaction date May 1, 2026 (https://www.sec.gov/Archives/edgar/data/2969/000122520826004772/xslF345X06/doc4.xml). Insider Transaction Data — SEC Form 4 Filings Database.</w:t>
      </w:r>
    </w:p>
    <w:p>
      <w:r>
        <w:rPr>
          <w:rFonts w:ascii="Calibri" w:hAnsi="Calibri"/>
          <w:color w:val="525866"/>
          <w:sz w:val="22"/>
        </w:rPr>
        <w:t>No other open-market buys or sells (Form 4 codes P/S) were identified for APD insiders in the period from April 30, 2026 through July 29, 2026. No 10b5-1 plan initiations were disclosed in this period. The absence of insider buying ahead of the July 30 earnings call is not unusual given the standard quiet period protocols, but the lack of any clustered buying following the June 30 project-exit disclosure (when the stock was near its post-earnings low) is a mild negative signal — though not conclusive given the typical blackout window around material announcements.</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Adjusted EPS, Revenue, Operating Margin, CapEx (https://insights.visiblealpha.com/mex/APD/NMV/IS; /SG; /CF). All consensus figures as of July 29, 2026; actuals as reported.</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APD, XLB, SPY daily closing prices, April 30 – July 29, 2026.</w:t>
      </w:r>
    </w:p>
    <w:p>
      <w:pPr>
        <w:pStyle w:val="ListBullet"/>
        <w:ind w:left="360" w:hanging="360"/>
      </w:pPr>
      <w:r>
        <w:rPr>
          <w:rFonts w:ascii="Calibri" w:hAnsi="Calibri"/>
          <w:b/>
          <w:color w:val="525866"/>
          <w:sz w:val="22"/>
        </w:rPr>
        <w:t>APD SEC Filings</w:t>
      </w:r>
      <w:r>
        <w:rPr>
          <w:rFonts w:ascii="Calibri" w:hAnsi="Calibri"/>
          <w:color w:val="525866"/>
          <w:sz w:val="22"/>
        </w:rPr>
        <w:t xml:space="preserve"> — 8-K filed June 30, 2026 (project exits and NEOM update); 8-K filed April 30, 2026 (Q2 FY2026 earnings release).</w:t>
      </w:r>
    </w:p>
    <w:p>
      <w:pPr>
        <w:pStyle w:val="ListBullet"/>
        <w:ind w:left="360" w:hanging="360"/>
      </w:pPr>
      <w:r>
        <w:rPr>
          <w:rFonts w:ascii="Calibri" w:hAnsi="Calibri"/>
          <w:b/>
          <w:color w:val="525866"/>
          <w:sz w:val="22"/>
        </w:rPr>
        <w:t>APD Earnings Call Transcript</w:t>
      </w:r>
      <w:r>
        <w:rPr>
          <w:rFonts w:ascii="Calibri" w:hAnsi="Calibri"/>
          <w:color w:val="525866"/>
          <w:sz w:val="22"/>
        </w:rPr>
        <w:t xml:space="preserve"> — Q2 FY2026 (April 30, 2026).</w:t>
      </w:r>
    </w:p>
    <w:p>
      <w:pPr>
        <w:pStyle w:val="ListBullet"/>
        <w:ind w:left="360" w:hanging="360"/>
      </w:pPr>
      <w:r>
        <w:rPr>
          <w:rFonts w:ascii="Calibri" w:hAnsi="Calibri"/>
          <w:b/>
          <w:color w:val="525866"/>
          <w:sz w:val="22"/>
        </w:rPr>
        <w:t>APD Conference Transcript</w:t>
      </w:r>
      <w:r>
        <w:rPr>
          <w:rFonts w:ascii="Calibri" w:hAnsi="Calibri"/>
          <w:color w:val="525866"/>
          <w:sz w:val="22"/>
        </w:rPr>
        <w:t xml:space="preserve"> — Bernstein Strategic Decisions Conference (May 27, 2026).</w:t>
      </w:r>
    </w:p>
    <w:p>
      <w:pPr>
        <w:pStyle w:val="ListBullet"/>
        <w:ind w:left="360" w:hanging="360"/>
      </w:pPr>
      <w:r>
        <w:rPr>
          <w:rFonts w:ascii="Calibri" w:hAnsi="Calibri"/>
          <w:b/>
          <w:color w:val="525866"/>
          <w:sz w:val="22"/>
        </w:rPr>
        <w:t>Linde (LIN) Q1 2026 Earnings Call Transcript</w:t>
      </w:r>
      <w:r>
        <w:rPr>
          <w:rFonts w:ascii="Calibri" w:hAnsi="Calibri"/>
          <w:color w:val="525866"/>
          <w:sz w:val="22"/>
        </w:rPr>
        <w:t xml:space="preserve"> — May 1, 2026. Forward-looking commentary for Q2 2026 (April–June 2026).</w:t>
      </w:r>
    </w:p>
    <w:p>
      <w:pPr>
        <w:pStyle w:val="ListBullet"/>
        <w:ind w:left="360" w:hanging="360"/>
      </w:pPr>
      <w:r>
        <w:rPr>
          <w:rFonts w:ascii="Calibri" w:hAnsi="Calibri"/>
          <w:b/>
          <w:color w:val="525866"/>
          <w:sz w:val="22"/>
        </w:rPr>
        <w:t>Air Liquide (AI FP) Q2 2026 Earnings Call Transcript</w:t>
      </w:r>
      <w:r>
        <w:rPr>
          <w:rFonts w:ascii="Calibri" w:hAnsi="Calibri"/>
          <w:color w:val="525866"/>
          <w:sz w:val="22"/>
        </w:rPr>
        <w:t xml:space="preserve"> — July 28, 2026. Calendar Q2 2026 (April–June 2026) results.</w:t>
      </w:r>
    </w:p>
    <w:p>
      <w:pPr>
        <w:pStyle w:val="ListBullet"/>
        <w:ind w:left="360" w:hanging="360"/>
      </w:pPr>
      <w:r>
        <w:rPr>
          <w:rFonts w:ascii="Calibri" w:hAnsi="Calibri"/>
          <w:b/>
          <w:color w:val="525866"/>
          <w:sz w:val="22"/>
        </w:rPr>
        <w:t>SEC Form 4 — Insider Transactions</w:t>
      </w:r>
      <w:r>
        <w:rPr>
          <w:rFonts w:ascii="Calibri" w:hAnsi="Calibri"/>
          <w:color w:val="525866"/>
          <w:sz w:val="22"/>
        </w:rPr>
        <w:t xml:space="preserve"> — Schaeffer Melissa N. (APD), filed May 4, 2026 (https://www.sec.gov/Archives/edgar/data/2969/000122520826004772/xslF345X06/doc4.xml).</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