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8" w:name="amphenol-aph--q2-fy2026-earnings-preview"/>
    <w:p>
      <w:pPr>
        <w:pStyle w:val="Heading1"/>
      </w:pPr>
      <w:r>
        <w:t xml:space="preserve">Amphenol (APH) — Q2 FY2026 Earnings Preview</w:t>
      </w:r>
    </w:p>
    <w:bookmarkStart w:id="9" w:name="Xe7060d7785c39040eb85d5f627f5c21446f6980"/>
    <w:p>
      <w:pPr>
        <w:pStyle w:val="Heading3"/>
      </w:pPr>
      <w:r>
        <w:t xml:space="preserve">Report expected after market close context: Wednesday, July 29, 2026 (quarter ended June 30, 2026)</w:t>
      </w:r>
    </w:p>
    <w:p>
      <w:r>
        <w:pict>
          <v:rect style="width:0;height:1.5pt" o:hralign="center" o:hrstd="t" o:hr="t"/>
        </w:pict>
      </w:r>
    </w:p>
    <w:bookmarkEnd w:id="9"/>
    <w:bookmarkStart w:id="10" w:name="Xf8f8c92907a0c8d7dff12fb0d67b9e7649e56f3"/>
    <w:p>
      <w:pPr>
        <w:pStyle w:val="Heading2"/>
      </w:pPr>
      <w:r>
        <w:t xml:space="preserve">1. The Setup: What's Guided vs. Where the Bar Really Is</w:t>
      </w:r>
    </w:p>
    <w:p>
      <w:pPr>
        <w:pStyle w:val="FirstParagraph"/>
      </w:pPr>
      <w:r>
        <w:t xml:space="preserve">On its Q1 call (reported April 29, 2026), Amphenol guided Q2 2026 to: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Q2 2026 Guidance</w:t>
            </w:r>
          </w:p>
        </w:tc>
        <w:tc>
          <w:tcPr/>
          <w:p>
            <w:pPr>
              <w:pStyle w:val="Compact"/>
            </w:pPr>
            <w:r>
              <w:t xml:space="preserve">Q2 2025 Actual</w:t>
            </w:r>
          </w:p>
        </w:tc>
        <w:tc>
          <w:tcPr/>
          <w:p>
            <w:pPr>
              <w:pStyle w:val="Compact"/>
            </w:pPr>
            <w:r>
              <w:t xml:space="preserve">Implied YoY</w:t>
            </w:r>
          </w:p>
        </w:tc>
        <w:tc>
          <w:tcPr/>
          <w:p>
            <w:pPr>
              <w:pStyle w:val="Compact"/>
            </w:pPr>
            <w:r>
              <w:t xml:space="preserve">Implied QoQ (vs. Q1'26)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Sales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$8.1B – $8.2B</w:t>
            </w:r>
          </w:p>
        </w:tc>
        <w:tc>
          <w:tcPr/>
          <w:p>
            <w:pPr>
              <w:pStyle w:val="Compact"/>
            </w:pPr>
            <w:r>
              <w:t xml:space="preserve">$5.65B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+43% to +45%</w:t>
            </w:r>
          </w:p>
        </w:tc>
        <w:tc>
          <w:tcPr/>
          <w:p>
            <w:pPr>
              <w:pStyle w:val="Compact"/>
            </w:pPr>
            <w:r>
              <w:t xml:space="preserve">+6% to +8%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$1.14 – $1.16</w:t>
            </w:r>
          </w:p>
        </w:tc>
        <w:tc>
          <w:tcPr/>
          <w:p>
            <w:pPr>
              <w:pStyle w:val="Compact"/>
            </w:pPr>
            <w:r>
              <w:t xml:space="preserve">$0.81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+41% to +43%</w:t>
            </w:r>
          </w:p>
        </w:tc>
        <w:tc>
          <w:tcPr/>
          <w:p>
            <w:pPr>
              <w:pStyle w:val="Compact"/>
            </w:pPr>
            <w:r>
              <w:t xml:space="preserve">+8% to +9%</w:t>
            </w:r>
          </w:p>
        </w:tc>
      </w:tr>
      <w:tr>
        <w:tc>
          <w:tcPr/>
          <w:p>
            <w:pPr>
              <w:pStyle w:val="Compact"/>
            </w:pPr>
            <w:r>
              <w:t xml:space="preserve">GAAP Diluted EPS</w:t>
            </w:r>
          </w:p>
        </w:tc>
        <w:tc>
          <w:tcPr/>
          <w:p>
            <w:pPr>
              <w:pStyle w:val="Compact"/>
            </w:pPr>
            <w:r>
              <w:t xml:space="preserve">$1.13 – $1.15</w:t>
            </w:r>
          </w:p>
        </w:tc>
        <w:tc>
          <w:tcPr/>
          <w:p>
            <w:pPr>
              <w:pStyle w:val="Compact"/>
            </w:pPr>
            <w:r>
              <w:t xml:space="preserve">$0.86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</w:tbl>
    <w:p>
      <w:pPr>
        <w:pStyle w:val="BodyText"/>
      </w:pPr>
      <w:r>
        <w:rPr>
          <w:b/>
          <w:bCs/>
        </w:rPr>
        <w:t xml:space="preserve">The key point for investors: APH's guidance is a floor, not a target.</w:t>
      </w:r>
      <w:r>
        <w:t xml:space="preserve"> </w:t>
      </w:r>
      <w:r>
        <w:t xml:space="preserve">The company has a long track record of beating and raising, and it did so emphatically last quarter — Q1 2026 sales of $7.6B and adjusted EPS of $1.06 both exceeded the</w:t>
      </w:r>
      <w:r>
        <w:t xml:space="preserve"> </w:t>
      </w:r>
      <w:r>
        <w:rPr>
          <w:i/>
          <w:iCs/>
        </w:rPr>
        <w:t xml:space="preserve">high end</w:t>
      </w:r>
      <w:r>
        <w:t xml:space="preserve"> </w:t>
      </w:r>
      <w:r>
        <w:t xml:space="preserve">of guidance, with EPS up 68% YoY. Q2 has also historically been a seasonally strong margin quarter (Q2 2025 set an adjusted operating margin record at the time). So the real question tomorrow is not whether APH hits the guide, but</w:t>
      </w:r>
      <w:r>
        <w:t xml:space="preserve"> </w:t>
      </w:r>
      <w:r>
        <w:rPr>
          <w:i/>
          <w:iCs/>
        </w:rPr>
        <w:t xml:space="preserve">by how much it beats and how aggressively it raises Q3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10"/>
    <w:bookmarkStart w:id="11" w:name="X3c6bc5bdb0af4a3919449fb584ba3ca13a3fc36"/>
    <w:p>
      <w:pPr>
        <w:pStyle w:val="Heading2"/>
      </w:pPr>
      <w:r>
        <w:t xml:space="preserve">2. The Single Most Important Variable: AI / IT Datacom</w:t>
      </w:r>
    </w:p>
    <w:p>
      <w:pPr>
        <w:pStyle w:val="FirstParagraph"/>
      </w:pPr>
      <w:r>
        <w:t xml:space="preserve">This is now the story that overwhelms everything else.</w:t>
      </w:r>
    </w:p>
    <w:p>
      <w:pPr>
        <w:pStyle w:val="Compact"/>
        <w:numPr>
          <w:ilvl w:val="0"/>
          <w:numId w:val="1001"/>
        </w:numPr>
      </w:pPr>
      <w:r>
        <w:t xml:space="preserve">IT datacom reached</w:t>
      </w:r>
      <w:r>
        <w:t xml:space="preserve"> </w:t>
      </w:r>
      <w:r>
        <w:rPr>
          <w:b/>
          <w:bCs/>
        </w:rPr>
        <w:t xml:space="preserve">~41% of total sales</w:t>
      </w:r>
      <w:r>
        <w:t xml:space="preserve"> </w:t>
      </w:r>
      <w:r>
        <w:t xml:space="preserve">in Q1 2026, growing</w:t>
      </w:r>
      <w:r>
        <w:t xml:space="preserve"> </w:t>
      </w:r>
      <w:r>
        <w:rPr>
          <w:b/>
          <w:bCs/>
        </w:rPr>
        <w:t xml:space="preserve">99% in USD and 81% organically</w:t>
      </w:r>
      <w:r>
        <w:t xml:space="preserve">, driven almost entirely by AI.</w:t>
      </w:r>
    </w:p>
    <w:p>
      <w:pPr>
        <w:pStyle w:val="Compact"/>
        <w:numPr>
          <w:ilvl w:val="0"/>
          <w:numId w:val="1001"/>
        </w:numPr>
      </w:pPr>
      <w:r>
        <w:t xml:space="preserve">Management guided IT datacom to grow</w:t>
      </w:r>
      <w:r>
        <w:t xml:space="preserve"> </w:t>
      </w:r>
      <w:r>
        <w:rPr>
          <w:b/>
          <w:bCs/>
        </w:rPr>
        <w:t xml:space="preserve">low-teens sequentially</w:t>
      </w:r>
      <w:r>
        <w:t xml:space="preserve"> </w:t>
      </w:r>
      <w:r>
        <w:t xml:space="preserve">in Q2 — and last quarter they guided "low double-digit" and delivered +27% sequential (+16% organic).</w:t>
      </w:r>
      <w:r>
        <w:t xml:space="preserve"> </w:t>
      </w:r>
      <w:r>
        <w:rPr>
          <w:b/>
          <w:bCs/>
        </w:rPr>
        <w:t xml:space="preserve">The pattern of sandbagging this segment is the crux of the setup.</w:t>
      </w:r>
    </w:p>
    <w:p>
      <w:pPr>
        <w:pStyle w:val="Compact"/>
        <w:numPr>
          <w:ilvl w:val="0"/>
          <w:numId w:val="1001"/>
        </w:numPr>
      </w:pPr>
      <w:r>
        <w:t xml:space="preserve">Order momentum is extraordinary: record Q1 orders of</w:t>
      </w:r>
      <w:r>
        <w:t xml:space="preserve"> </w:t>
      </w:r>
      <w:r>
        <w:rPr>
          <w:b/>
          <w:bCs/>
        </w:rPr>
        <w:t xml:space="preserve">$9.4B, book-to-bill 1.24:1</w:t>
      </w:r>
      <w:r>
        <w:t xml:space="preserve">, following a 1.31:1 book-to-bill in Q4 2025. Every end market had a positive book-to-bill.</w:t>
      </w:r>
    </w:p>
    <w:p>
      <w:pPr>
        <w:pStyle w:val="FirstParagraph"/>
      </w:pPr>
      <w:r>
        <w:rPr>
          <w:b/>
          <w:bCs/>
        </w:rPr>
        <w:t xml:space="preserve">What to listen for:</w:t>
      </w:r>
    </w:p>
    <w:p>
      <w:pPr>
        <w:pStyle w:val="Compact"/>
        <w:numPr>
          <w:ilvl w:val="0"/>
          <w:numId w:val="1002"/>
        </w:numPr>
      </w:pPr>
      <w:r>
        <w:t xml:space="preserve">Whether AI demand is still</w:t>
      </w:r>
      <w:r>
        <w:t xml:space="preserve"> </w:t>
      </w:r>
      <w:r>
        <w:rPr>
          <w:i/>
          <w:iCs/>
        </w:rPr>
        <w:t xml:space="preserve">accelerating</w:t>
      </w:r>
      <w:r>
        <w:t xml:space="preserve"> </w:t>
      </w:r>
      <w:r>
        <w:t xml:space="preserve">or beginning to plateau. Management repeatedly emphasized "more interconnect, no matter what" across copper, power, and optics — but also acknowledged "there will be ups and downs."</w:t>
      </w:r>
    </w:p>
    <w:p>
      <w:pPr>
        <w:pStyle w:val="Compact"/>
        <w:numPr>
          <w:ilvl w:val="0"/>
          <w:numId w:val="1002"/>
        </w:numPr>
      </w:pPr>
      <w:r>
        <w:t xml:space="preserve">Any color on 2027 (mgmt declined to guide it in Q1) and on customer capacity commitments / prepayments funding APH's CapEx (Q1 CapEx was $292M).</w:t>
      </w:r>
    </w:p>
    <w:p>
      <w:pPr>
        <w:pStyle w:val="Compact"/>
        <w:numPr>
          <w:ilvl w:val="0"/>
          <w:numId w:val="1002"/>
        </w:numPr>
      </w:pPr>
      <w:r>
        <w:t xml:space="preserve">Commentary on copper-vs-optics / CPO transition and whether APH's share in optical scale-up can match its dominant copper position.</w:t>
      </w:r>
    </w:p>
    <w:p>
      <w:pPr>
        <w:pStyle w:val="FirstParagraph"/>
      </w:pPr>
      <w:r>
        <w:rPr>
          <w:b/>
          <w:bCs/>
        </w:rPr>
        <w:t xml:space="preserve">Risk flag:</w:t>
      </w:r>
      <w:r>
        <w:t xml:space="preserve"> </w:t>
      </w:r>
      <w:r>
        <w:t xml:space="preserve">With ~40%+ of revenue now tied to a single, capex-driven theme, APH has meaningfully higher concentration risk than its historically diversified profile. Any hyperscaler digestion signal could hit the multiple hard.</w:t>
      </w:r>
    </w:p>
    <w:p>
      <w:r>
        <w:pict>
          <v:rect style="width:0;height:1.5pt" o:hralign="center" o:hrstd="t" o:hr="t"/>
        </w:pict>
      </w:r>
    </w:p>
    <w:bookmarkEnd w:id="11"/>
    <w:bookmarkStart w:id="12" w:name="Xf4662ac44e2a7b1f9b89e667343bf0777d47ac5"/>
    <w:p>
      <w:pPr>
        <w:pStyle w:val="Heading2"/>
      </w:pPr>
      <w:r>
        <w:t xml:space="preserve">3. CommScope (CCS) — The Integration to Watch</w:t>
      </w:r>
    </w:p>
    <w:p>
      <w:pPr>
        <w:pStyle w:val="FirstParagraph"/>
      </w:pPr>
      <w:r>
        <w:t xml:space="preserve">APH closed the ~$10.6B acquisition of CommScope's Connectivity &amp; Cable Solutions (CCS) business in early January 2026.</w:t>
      </w:r>
    </w:p>
    <w:p>
      <w:pPr>
        <w:pStyle w:val="Compact"/>
        <w:numPr>
          <w:ilvl w:val="0"/>
          <w:numId w:val="1003"/>
        </w:numPr>
      </w:pPr>
      <w:r>
        <w:t xml:space="preserve">Guided contribution:</w:t>
      </w:r>
      <w:r>
        <w:t xml:space="preserve"> </w:t>
      </w:r>
      <w:r>
        <w:rPr>
          <w:b/>
          <w:bCs/>
        </w:rPr>
        <w:t xml:space="preserve">~</w:t>
      </w:r>
      <m:oMath>
        <m:r>
          <m:t>4.1</m:t>
        </m:r>
        <m:r>
          <m:t>B</m:t>
        </m:r>
        <m:r>
          <m:t>i</m:t>
        </m:r>
        <m:r>
          <m:t>n</m:t>
        </m:r>
        <m:r>
          <m:t>F</m:t>
        </m:r>
        <m:r>
          <m:t>Y</m:t>
        </m:r>
        <m:r>
          <m:t>2026</m:t>
        </m:r>
        <m:r>
          <m:t>s</m:t>
        </m:r>
        <m:r>
          <m:t>a</m:t>
        </m:r>
        <m:r>
          <m:t>l</m:t>
        </m:r>
        <m:r>
          <m:t>e</m:t>
        </m:r>
        <m:r>
          <m:t>s</m:t>
        </m:r>
        <m:r>
          <m:rPr>
            <m:sty m:val="p"/>
          </m:rPr>
          <m:t>,</m:t>
        </m:r>
        <m:r>
          <m:t> </m:t>
        </m:r>
      </m:oMath>
      <w:r>
        <w:rPr>
          <w:b/>
          <w:bCs/>
        </w:rPr>
        <w:t xml:space="preserve">0.15 EPS accretion</w:t>
      </w:r>
      <w:r>
        <w:t xml:space="preserve"> </w:t>
      </w:r>
      <w:r>
        <w:t xml:space="preserve">— already above the ~$3.5–3.6B / mid-teens-growth framework given at signing.</w:t>
      </w:r>
    </w:p>
    <w:p>
      <w:pPr>
        <w:pStyle w:val="Compact"/>
        <w:numPr>
          <w:ilvl w:val="0"/>
          <w:numId w:val="1003"/>
        </w:numPr>
      </w:pPr>
      <w:r>
        <w:t xml:space="preserve">In Q1, CCS grew roughly</w:t>
      </w:r>
      <w:r>
        <w:t xml:space="preserve"> </w:t>
      </w:r>
      <w:r>
        <w:rPr>
          <w:b/>
          <w:bCs/>
        </w:rPr>
        <w:t xml:space="preserve">in line with Amphenol's own organic rate</w:t>
      </w:r>
      <w:r>
        <w:t xml:space="preserve"> </w:t>
      </w:r>
      <w:r>
        <w:t xml:space="preserve">— a strong start, and it's opening a new "rack-to-rack / across-and-between-data-center" fiber opportunity plus a new</w:t>
      </w:r>
      <w:r>
        <w:t xml:space="preserve"> </w:t>
      </w:r>
      <w:r>
        <w:rPr>
          <w:b/>
          <w:bCs/>
        </w:rPr>
        <w:t xml:space="preserve">building connectivity</w:t>
      </w:r>
      <w:r>
        <w:t xml:space="preserve"> </w:t>
      </w:r>
      <w:r>
        <w:t xml:space="preserve">channel (150+ countries).</w:t>
      </w:r>
    </w:p>
    <w:p>
      <w:pPr>
        <w:pStyle w:val="Compact"/>
        <w:numPr>
          <w:ilvl w:val="0"/>
          <w:numId w:val="1003"/>
        </w:numPr>
      </w:pPr>
      <w:r>
        <w:t xml:space="preserve">It is currently</w:t>
      </w:r>
      <w:r>
        <w:t xml:space="preserve"> </w:t>
      </w:r>
      <w:r>
        <w:rPr>
          <w:b/>
          <w:bCs/>
        </w:rPr>
        <w:t xml:space="preserve">margin dilutive</w:t>
      </w:r>
      <w:r>
        <w:t xml:space="preserve"> </w:t>
      </w:r>
      <w:r>
        <w:t xml:space="preserve">but management expects it to trend toward the corporate average over time.</w:t>
      </w:r>
    </w:p>
    <w:p>
      <w:pPr>
        <w:pStyle w:val="FirstParagraph"/>
      </w:pPr>
      <w:r>
        <w:rPr>
          <w:b/>
          <w:bCs/>
        </w:rPr>
        <w:t xml:space="preserve">What to watch:</w:t>
      </w:r>
      <w:r>
        <w:t xml:space="preserve"> </w:t>
      </w:r>
      <w:r>
        <w:t xml:space="preserve">the trajectory of CCS margins (a key swing factor for consolidated margin), fiber/preform supply constraints, and whether management raises the CCS accretion/revenue outlook.</w:t>
      </w:r>
    </w:p>
    <w:p>
      <w:r>
        <w:pict>
          <v:rect style="width:0;height:1.5pt" o:hralign="center" o:hrstd="t" o:hr="t"/>
        </w:pict>
      </w:r>
    </w:p>
    <w:bookmarkEnd w:id="12"/>
    <w:bookmarkStart w:id="13" w:name="X97acd840de7892bdf947728f3e46d3fd92ae11d"/>
    <w:p>
      <w:pPr>
        <w:pStyle w:val="Heading2"/>
      </w:pPr>
      <w:r>
        <w:t xml:space="preserve">4. Margins &amp; the Model</w:t>
      </w:r>
    </w:p>
    <w:p>
      <w:pPr>
        <w:pStyle w:val="Compact"/>
        <w:numPr>
          <w:ilvl w:val="0"/>
          <w:numId w:val="1004"/>
        </w:numPr>
      </w:pPr>
      <w:r>
        <w:t xml:space="preserve">Q1 2026 adjusted operating margin was</w:t>
      </w:r>
      <w:r>
        <w:t xml:space="preserve"> </w:t>
      </w:r>
      <w:r>
        <w:rPr>
          <w:b/>
          <w:bCs/>
        </w:rPr>
        <w:t xml:space="preserve">27.3%</w:t>
      </w:r>
      <w:r>
        <w:t xml:space="preserve"> </w:t>
      </w:r>
      <w:r>
        <w:t xml:space="preserve">(+380 bps YoY), despite CCS dilution — an impressive result driven by operating leverage. Q2 is typically stronger seasonally.</w:t>
      </w:r>
    </w:p>
    <w:p>
      <w:pPr>
        <w:pStyle w:val="Compact"/>
        <w:numPr>
          <w:ilvl w:val="0"/>
          <w:numId w:val="1004"/>
        </w:numPr>
      </w:pPr>
      <w:r>
        <w:t xml:space="preserve">Watch the</w:t>
      </w:r>
      <w:r>
        <w:t xml:space="preserve"> </w:t>
      </w:r>
      <w:r>
        <w:rPr>
          <w:b/>
          <w:bCs/>
        </w:rPr>
        <w:t xml:space="preserve">Communications Solutions segment</w:t>
      </w:r>
      <w:r>
        <w:t xml:space="preserve"> </w:t>
      </w:r>
      <w:r>
        <w:t xml:space="preserve">(30.6% margin in Q1, now the largest segment at $4.5B) as the AI mix driver.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Conversion:</w:t>
      </w:r>
      <w:r>
        <w:t xml:space="preserve"> </w:t>
      </w:r>
      <w:r>
        <w:t xml:space="preserve">free cash flow was $831M in Q1 (89% of net income); Q2 is usually a stronger cash quarter (Q2 2025 FCF was $1.1B).</w:t>
      </w:r>
    </w:p>
    <w:p>
      <w:pPr>
        <w:pStyle w:val="FirstParagraph"/>
      </w:pPr>
      <w:r>
        <w:rPr>
          <w:b/>
          <w:bCs/>
        </w:rPr>
        <w:t xml:space="preserve">EPS math headwind to remember:</w:t>
      </w:r>
      <w:r>
        <w:t xml:space="preserve"> </w:t>
      </w:r>
      <w:r>
        <w:t xml:space="preserve">the adjusted tax rate was raised to</w:t>
      </w:r>
      <w:r>
        <w:t xml:space="preserve"> </w:t>
      </w:r>
      <w:r>
        <w:rPr>
          <w:b/>
          <w:bCs/>
        </w:rPr>
        <w:t xml:space="preserve">27%</w:t>
      </w:r>
      <w:r>
        <w:t xml:space="preserve"> </w:t>
      </w:r>
      <w:r>
        <w:t xml:space="preserve">(from ~24.5%) and is expected to stay there for 2026 — a structural drag on EPS growth comparisons that investors should not confuse with operational softness.</w:t>
      </w:r>
    </w:p>
    <w:p>
      <w:r>
        <w:pict>
          <v:rect style="width:0;height:1.5pt" o:hralign="center" o:hrstd="t" o:hr="t"/>
        </w:pict>
      </w:r>
    </w:p>
    <w:bookmarkEnd w:id="13"/>
    <w:bookmarkStart w:id="14" w:name="X057a9c6bb1bebfad998b2861e1d614c3c880cda"/>
    <w:p>
      <w:pPr>
        <w:pStyle w:val="Heading2"/>
      </w:pPr>
      <w:r>
        <w:t xml:space="preserve">5. The Rest of the Portfolio (Q2 sequential guidance from management)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End Market</w:t>
            </w:r>
          </w:p>
        </w:tc>
        <w:tc>
          <w:tcPr/>
          <w:p>
            <w:pPr>
              <w:pStyle w:val="Compact"/>
            </w:pPr>
            <w:r>
              <w:t xml:space="preserve">~% of Sales (Q1'26)</w:t>
            </w:r>
          </w:p>
        </w:tc>
        <w:tc>
          <w:tcPr/>
          <w:p>
            <w:pPr>
              <w:pStyle w:val="Compact"/>
            </w:pPr>
            <w:r>
              <w:t xml:space="preserve">Q1 Organic YoY</w:t>
            </w:r>
          </w:p>
        </w:tc>
        <w:tc>
          <w:tcPr/>
          <w:p>
            <w:pPr>
              <w:pStyle w:val="Compact"/>
            </w:pPr>
            <w:r>
              <w:t xml:space="preserve">Q2 Sequential Guide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 Datacom</w:t>
            </w:r>
          </w:p>
        </w:tc>
        <w:tc>
          <w:tcPr/>
          <w:p>
            <w:pPr>
              <w:pStyle w:val="Compact"/>
            </w:pPr>
            <w:r>
              <w:t xml:space="preserve">~41%</w:t>
            </w:r>
          </w:p>
        </w:tc>
        <w:tc>
          <w:tcPr/>
          <w:p>
            <w:pPr>
              <w:pStyle w:val="Compact"/>
            </w:pPr>
            <w:r>
              <w:t xml:space="preserve">+81%</w:t>
            </w:r>
          </w:p>
        </w:tc>
        <w:tc>
          <w:tcPr/>
          <w:p>
            <w:pPr>
              <w:pStyle w:val="Compact"/>
            </w:pPr>
            <w:r>
              <w:t xml:space="preserve">up low-teens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Industrial</w:t>
            </w:r>
          </w:p>
        </w:tc>
        <w:tc>
          <w:tcPr/>
          <w:p>
            <w:pPr>
              <w:pStyle w:val="Compact"/>
            </w:pPr>
            <w:r>
              <w:t xml:space="preserve">20%</w:t>
            </w:r>
          </w:p>
        </w:tc>
        <w:tc>
          <w:tcPr/>
          <w:p>
            <w:pPr>
              <w:pStyle w:val="Compact"/>
            </w:pPr>
            <w:r>
              <w:t xml:space="preserve">+16%</w:t>
            </w:r>
          </w:p>
        </w:tc>
        <w:tc>
          <w:tcPr/>
          <w:p>
            <w:pPr>
              <w:pStyle w:val="Compact"/>
            </w:pPr>
            <w:r>
              <w:t xml:space="preserve">up high single digits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Comms Networks</w:t>
            </w:r>
          </w:p>
        </w:tc>
        <w:tc>
          <w:tcPr/>
          <w:p>
            <w:pPr>
              <w:pStyle w:val="Compact"/>
            </w:pPr>
            <w:r>
              <w:t xml:space="preserve">12%</w:t>
            </w:r>
          </w:p>
        </w:tc>
        <w:tc>
          <w:tcPr/>
          <w:p>
            <w:pPr>
              <w:pStyle w:val="Compact"/>
            </w:pPr>
            <w:r>
              <w:t xml:space="preserve">flat (organic)</w:t>
            </w:r>
          </w:p>
        </w:tc>
        <w:tc>
          <w:tcPr/>
          <w:p>
            <w:pPr>
              <w:pStyle w:val="Compact"/>
            </w:pPr>
            <w:r>
              <w:t xml:space="preserve">flat</w:t>
            </w:r>
          </w:p>
        </w:tc>
      </w:tr>
      <w:tr>
        <w:tc>
          <w:tcPr/>
          <w:p>
            <w:pPr>
              <w:pStyle w:val="Compact"/>
            </w:pPr>
            <w:r>
              <w:t xml:space="preserve">Automotive</w:t>
            </w:r>
          </w:p>
        </w:tc>
        <w:tc>
          <w:tcPr/>
          <w:p>
            <w:pPr>
              <w:pStyle w:val="Compact"/>
            </w:pPr>
            <w:r>
              <w:t xml:space="preserve">11%</w:t>
            </w:r>
          </w:p>
        </w:tc>
        <w:tc>
          <w:tcPr/>
          <w:p>
            <w:pPr>
              <w:pStyle w:val="Compact"/>
            </w:pPr>
            <w:r>
              <w:t xml:space="preserve">+2%</w:t>
            </w:r>
          </w:p>
        </w:tc>
        <w:tc>
          <w:tcPr/>
          <w:p>
            <w:pPr>
              <w:pStyle w:val="Compact"/>
            </w:pPr>
            <w:r>
              <w:t xml:space="preserve">up modestly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Defense</w:t>
            </w:r>
          </w:p>
        </w:tc>
        <w:tc>
          <w:tcPr/>
          <w:p>
            <w:pPr>
              <w:pStyle w:val="Compact"/>
            </w:pPr>
            <w:r>
              <w:t xml:space="preserve">8%</w:t>
            </w:r>
          </w:p>
        </w:tc>
        <w:tc>
          <w:tcPr/>
          <w:p>
            <w:pPr>
              <w:pStyle w:val="Compact"/>
            </w:pPr>
            <w:r>
              <w:t xml:space="preserve">+25%</w:t>
            </w:r>
          </w:p>
        </w:tc>
        <w:tc>
          <w:tcPr/>
          <w:p>
            <w:pPr>
              <w:pStyle w:val="Compact"/>
            </w:pPr>
            <w:r>
              <w:t xml:space="preserve">up high single digits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Commercial Air</w:t>
            </w:r>
          </w:p>
        </w:tc>
        <w:tc>
          <w:tcPr/>
          <w:p>
            <w:pPr>
              <w:pStyle w:val="Compact"/>
            </w:pPr>
            <w:r>
              <w:t xml:space="preserve">4%</w:t>
            </w:r>
          </w:p>
        </w:tc>
        <w:tc>
          <w:tcPr/>
          <w:p>
            <w:pPr>
              <w:pStyle w:val="Compact"/>
            </w:pPr>
            <w:r>
              <w:t xml:space="preserve">+20%</w:t>
            </w:r>
          </w:p>
        </w:tc>
        <w:tc>
          <w:tcPr/>
          <w:p>
            <w:pPr>
              <w:pStyle w:val="Compact"/>
            </w:pPr>
            <w:r>
              <w:t xml:space="preserve">slight further moderation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Mobile Devices</w:t>
            </w:r>
          </w:p>
        </w:tc>
        <w:tc>
          <w:tcPr/>
          <w:p>
            <w:pPr>
              <w:pStyle w:val="Compact"/>
            </w:pPr>
            <w:r>
              <w:t xml:space="preserve">4%</w:t>
            </w:r>
          </w:p>
        </w:tc>
        <w:tc>
          <w:tcPr/>
          <w:p>
            <w:pPr>
              <w:pStyle w:val="Compact"/>
            </w:pPr>
            <w:r>
              <w:t xml:space="preserve">+1%</w:t>
            </w:r>
          </w:p>
        </w:tc>
        <w:tc>
          <w:tcPr/>
          <w:p>
            <w:pPr>
              <w:pStyle w:val="Compact"/>
            </w:pPr>
            <w:r>
              <w:t xml:space="preserve">modest seasonal decline</w:t>
            </w:r>
          </w:p>
        </w:tc>
      </w:tr>
    </w:tbl>
    <w:p>
      <w:pPr>
        <w:pStyle w:val="BodyText"/>
      </w:pPr>
      <w:r>
        <w:rPr>
          <w:b/>
          <w:bCs/>
        </w:rPr>
        <w:t xml:space="preserve">Defense</w:t>
      </w:r>
      <w:r>
        <w:t xml:space="preserve"> </w:t>
      </w:r>
      <w:r>
        <w:t xml:space="preserve">is a structural bright spot — management framed a potential "once-in-a-generation" global re-armament cycle (missile defense, smart munitions, next-gen contractors) and grew 25% organically in Q1.</w:t>
      </w:r>
      <w:r>
        <w:t xml:space="preserve"> </w:t>
      </w:r>
      <w:r>
        <w:rPr>
          <w:b/>
          <w:bCs/>
        </w:rPr>
        <w:t xml:space="preserve">Industrial</w:t>
      </w:r>
      <w:r>
        <w:t xml:space="preserve"> </w:t>
      </w:r>
      <w:r>
        <w:t xml:space="preserve">is broadly re-accelerating across nearly all sub-segments. Auto remains the softest spot, dragged by Asia.</w:t>
      </w:r>
    </w:p>
    <w:p>
      <w:r>
        <w:pict>
          <v:rect style="width:0;height:1.5pt" o:hralign="center" o:hrstd="t" o:hr="t"/>
        </w:pict>
      </w:r>
    </w:p>
    <w:bookmarkEnd w:id="14"/>
    <w:bookmarkStart w:id="15" w:name="X34ef8591eaab134e82a61870c66c778613e31ec"/>
    <w:p>
      <w:pPr>
        <w:pStyle w:val="Heading2"/>
      </w:pPr>
      <w:r>
        <w:t xml:space="preserve">6. Overhangs &amp; Risks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China tax matter:</w:t>
      </w:r>
      <w:r>
        <w:t xml:space="preserve"> </w:t>
      </w:r>
      <w:r>
        <w:t xml:space="preserve">APH received unfavorable determinations and fully accrued the **</w:t>
      </w:r>
      <m:oMath>
        <m:r>
          <m:t>230</m:t>
        </m:r>
        <m:r>
          <m:t>M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i</m:t>
        </m:r>
        <m:r>
          <m:t>n</m:t>
        </m:r>
        <m:r>
          <m:t>p</m:t>
        </m:r>
        <m:r>
          <m:t>a</m:t>
        </m:r>
        <m:r>
          <m:t>y</m:t>
        </m:r>
        <m:r>
          <m:t>m</m:t>
        </m:r>
        <m:r>
          <m:t>e</m:t>
        </m:r>
        <m:r>
          <m:t>n</m:t>
        </m:r>
        <m:r>
          <m:t>t</m:t>
        </m:r>
        <m:r>
          <m:t>n</m:t>
        </m:r>
        <m:r>
          <m:t>o</m:t>
        </m:r>
        <m:r>
          <m:t>t</m:t>
        </m:r>
        <m:r>
          <m:t>i</m:t>
        </m:r>
        <m:r>
          <m:t>c</m:t>
        </m:r>
        <m:r>
          <m:t>e</m:t>
        </m:r>
        <m:r>
          <m:t>s</m:t>
        </m:r>
        <m:r>
          <m:rPr>
            <m:sty m:val="p"/>
          </m:rPr>
          <m:t>(</m:t>
        </m:r>
      </m:oMath>
      <w:r>
        <w:t xml:space="preserve">100M in Q4'25 + $130M in Q1'26), plus a related $160M prior-period tax provision reassessment. This appears</w:t>
      </w:r>
      <w:r>
        <w:t xml:space="preserve"> </w:t>
      </w:r>
      <w:r>
        <w:rPr>
          <w:i/>
          <w:iCs/>
        </w:rPr>
        <w:t xml:space="preserve">resolved/fully reserved</w:t>
      </w:r>
      <w:r>
        <w:t xml:space="preserve">, but watch for any further escalation or additional jurisdictions.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Balance sheet:</w:t>
      </w:r>
      <w:r>
        <w:t xml:space="preserve"> </w:t>
      </w:r>
      <w:r>
        <w:t xml:space="preserve">Post-CommScope, total debt is</w:t>
      </w:r>
      <w:r>
        <w:t xml:space="preserve"> </w:t>
      </w:r>
      <w:r>
        <w:rPr>
          <w:b/>
          <w:bCs/>
        </w:rPr>
        <w:t xml:space="preserve">$18.7B</w:t>
      </w:r>
      <w:r>
        <w:t xml:space="preserve">, net debt</w:t>
      </w:r>
      <w:r>
        <w:t xml:space="preserve"> </w:t>
      </w:r>
      <m:oMath>
        <m:r>
          <m:t>14.2</m:t>
        </m:r>
        <m:r>
          <m:t>B</m:t>
        </m:r>
        <m:r>
          <m:rPr>
            <m:sty m:val="p"/>
          </m:rPr>
          <m:t>,</m:t>
        </m:r>
        <m:r>
          <m:t>n</m:t>
        </m:r>
        <m:r>
          <m:t>e</m:t>
        </m:r>
        <m:r>
          <m:t>t</m:t>
        </m:r>
        <m:r>
          <m:t>l</m:t>
        </m:r>
        <m:r>
          <m:t>e</m:t>
        </m:r>
        <m:r>
          <m:t>v</m:t>
        </m:r>
        <m:r>
          <m:t>e</m:t>
        </m:r>
        <m:r>
          <m:t>r</m:t>
        </m:r>
        <m:r>
          <m:t>a</m:t>
        </m:r>
        <m:r>
          <m:t>g</m:t>
        </m:r>
        <m:r>
          <m:t>e</m:t>
        </m:r>
        <m:r>
          <m:t>1.6</m:t>
        </m:r>
        <m:r>
          <m:t>x</m:t>
        </m:r>
        <m:r>
          <m:rPr>
            <m:sty m:val="p"/>
          </m:rPr>
          <m:t>.</m:t>
        </m:r>
        <m:r>
          <m:t>A</m:t>
        </m:r>
        <m:r>
          <m:t>P</m:t>
        </m:r>
        <m:r>
          <m:t>H</m:t>
        </m:r>
        <m:r>
          <m:t>t</m:t>
        </m:r>
        <m:r>
          <m:t>e</m:t>
        </m:r>
        <m:r>
          <m:t>r</m:t>
        </m:r>
        <m:r>
          <m:t>m</m:t>
        </m:r>
        <m:r>
          <m:t>e</m:t>
        </m:r>
        <m:r>
          <m:t>d</m:t>
        </m:r>
        <m:r>
          <m:t>o</m:t>
        </m:r>
        <m:r>
          <m:t>u</m:t>
        </m:r>
        <m:r>
          <m:t>t</m:t>
        </m:r>
        <m:r>
          <m:t>d</m:t>
        </m:r>
        <m:r>
          <m:t>e</m:t>
        </m:r>
        <m:r>
          <m:t>b</m:t>
        </m:r>
        <m:r>
          <m:t>t</m:t>
        </m:r>
        <m:r>
          <m:t>w</m:t>
        </m:r>
        <m:r>
          <m:t>i</m:t>
        </m:r>
        <m:r>
          <m:t>t</m:t>
        </m:r>
        <m:r>
          <m:t>h</m:t>
        </m:r>
        <m:r>
          <m:t>a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€</m:t>
        </m:r>
        <m:r>
          <m:t>1.1</m:t>
        </m:r>
        <m:r>
          <m:t>B</m:t>
        </m:r>
        <m:r>
          <m:t>s</m:t>
        </m:r>
        <m:r>
          <m:t>e</m:t>
        </m:r>
        <m:r>
          <m:t>n</m:t>
        </m:r>
        <m:r>
          <m:t>i</m:t>
        </m:r>
        <m:r>
          <m:t>o</m:t>
        </m:r>
        <m:r>
          <m:t>r</m:t>
        </m:r>
        <m:r>
          <m:t>n</m:t>
        </m:r>
        <m:r>
          <m:t>o</m:t>
        </m:r>
        <m:r>
          <m:t>t</m:t>
        </m:r>
        <m:r>
          <m:t>e</m:t>
        </m:r>
        <m:r>
          <m:t>s</m:t>
        </m:r>
        <m:r>
          <m:t>o</m:t>
        </m:r>
        <m:r>
          <m:t>f</m:t>
        </m:r>
        <m:r>
          <m:t>f</m:t>
        </m:r>
        <m:r>
          <m:t>e</m:t>
        </m:r>
        <m:r>
          <m:t>r</m:t>
        </m:r>
        <m:r>
          <m:t>i</m:t>
        </m:r>
        <m:r>
          <m:t>n</m:t>
        </m:r>
        <m:r>
          <m:t>g</m:t>
        </m:r>
        <m:r>
          <m:t>p</m:t>
        </m:r>
        <m:r>
          <m:t>r</m:t>
        </m:r>
        <m:r>
          <m:t>i</m:t>
        </m:r>
        <m:r>
          <m:t>c</m:t>
        </m:r>
        <m:r>
          <m:t>e</m:t>
        </m:r>
        <m:r>
          <m:t>d</m:t>
        </m:r>
        <m:r>
          <m:t>i</m:t>
        </m:r>
        <m:r>
          <m:t>n</m:t>
        </m:r>
        <m:r>
          <m:t>M</m:t>
        </m:r>
        <m:r>
          <m:t>a</m:t>
        </m:r>
        <m:r>
          <m:t>y</m:t>
        </m:r>
        <m:r>
          <m:t>2026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.</m:t>
        </m:r>
        <m:r>
          <m:t>Q</m:t>
        </m:r>
        <m:r>
          <m:t>u</m:t>
        </m:r>
        <m:r>
          <m:t>a</m:t>
        </m:r>
        <m:r>
          <m:t>r</m:t>
        </m:r>
        <m:r>
          <m:t>t</m:t>
        </m:r>
        <m:r>
          <m:t>e</m:t>
        </m:r>
        <m:r>
          <m:t>r</m:t>
        </m:r>
        <m:r>
          <m:t>l</m:t>
        </m:r>
        <m:r>
          <m:t>y</m:t>
        </m:r>
        <m:r>
          <m:t>n</m:t>
        </m:r>
        <m:r>
          <m:t>e</m:t>
        </m:r>
        <m:r>
          <m:t>t</m:t>
        </m:r>
        <m:r>
          <m:t>i</m:t>
        </m:r>
        <m:r>
          <m:t>n</m:t>
        </m:r>
        <m:r>
          <m:t>t</m:t>
        </m:r>
        <m:r>
          <m:t>e</m:t>
        </m:r>
        <m:r>
          <m:t>r</m:t>
        </m:r>
        <m:r>
          <m:t>e</m:t>
        </m:r>
        <m:r>
          <m:t>s</m:t>
        </m:r>
        <m:r>
          <m:t>t</m:t>
        </m:r>
        <m:r>
          <m:t>e</m:t>
        </m:r>
        <m:r>
          <m:t>x</m:t>
        </m:r>
        <m:r>
          <m:t>p</m:t>
        </m:r>
        <m:r>
          <m:t>e</m:t>
        </m:r>
        <m:r>
          <m:t>n</m:t>
        </m:r>
        <m:r>
          <m:t>s</m:t>
        </m:r>
        <m:r>
          <m:t>e</m:t>
        </m:r>
        <m:r>
          <m:t>g</m:t>
        </m:r>
        <m:r>
          <m:t>u</m:t>
        </m:r>
        <m:r>
          <m:t>i</m:t>
        </m:r>
        <m:r>
          <m:t>d</m:t>
        </m:r>
        <m:r>
          <m:t>e</m:t>
        </m:r>
        <m:r>
          <m:t>d</m:t>
        </m:r>
        <m:r>
          <m:t>t</m:t>
        </m:r>
        <m:r>
          <m:t>o</m:t>
        </m:r>
        <m:r>
          <m:t> </m:t>
        </m:r>
      </m:oMath>
      <w:r>
        <w:t xml:space="preserve">200M for the rest of 2026. Leverage is manageable but higher than APH's historical norm.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Capital returns are muted relative to growth:</w:t>
      </w:r>
      <w:r>
        <w:t xml:space="preserve"> </w:t>
      </w:r>
      <w:r>
        <w:t xml:space="preserve">Q1 buybacks were modest (1.3M shares at ~$140; $485M total returned incl. dividend) as cash is prioritized to CapEx and deleveraging.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Concentration/cyclicality:</w:t>
      </w:r>
      <w:r>
        <w:t xml:space="preserve"> </w:t>
      </w:r>
      <w:r>
        <w:t xml:space="preserve">AI-driven IT datacom dominance cuts both ways.</w:t>
      </w:r>
    </w:p>
    <w:p>
      <w:r>
        <w:pict>
          <v:rect style="width:0;height:1.5pt" o:hralign="center" o:hrstd="t" o:hr="t"/>
        </w:pict>
      </w:r>
    </w:p>
    <w:bookmarkEnd w:id="15"/>
    <w:bookmarkStart w:id="16" w:name="X560509c2130d19163c2a7e43db30823e9022656"/>
    <w:p>
      <w:pPr>
        <w:pStyle w:val="Heading2"/>
      </w:pPr>
      <w:r>
        <w:t xml:space="preserve">7. The Stock Going In</w:t>
      </w:r>
    </w:p>
    <w:p>
      <w:pPr>
        <w:pStyle w:val="FirstParagraph"/>
      </w:pPr>
      <w:r>
        <w:t xml:space="preserve">APH shares closed at</w:t>
      </w:r>
      <w:r>
        <w:t xml:space="preserve"> </w:t>
      </w:r>
      <w:r>
        <w:rPr>
          <w:b/>
          <w:bCs/>
        </w:rPr>
        <w:t xml:space="preserve">$143.88 on July 28</w:t>
      </w:r>
      <w:r>
        <w:t xml:space="preserve">, and the price action into the print is worth flagging:</w:t>
      </w:r>
    </w:p>
    <w:p>
      <w:pPr>
        <w:pStyle w:val="Compact"/>
        <w:numPr>
          <w:ilvl w:val="0"/>
          <w:numId w:val="1006"/>
        </w:numPr>
      </w:pPr>
      <w:r>
        <w:t xml:space="preserve">The stock ripped from a mid-May low of ~</w:t>
      </w:r>
      <m:oMath>
        <m:r>
          <m:t>119</m:t>
        </m:r>
        <m:r>
          <m:t>t</m:t>
        </m:r>
        <m:r>
          <m:t>o</m:t>
        </m:r>
        <m:r>
          <m:t>a</m:t>
        </m:r>
        <m:r>
          <m:t>n</m:t>
        </m:r>
        <m:r>
          <m:t>a</m:t>
        </m:r>
        <m:r>
          <m:t>l</m:t>
        </m:r>
        <m:r>
          <m:t>l</m:t>
        </m:r>
        <m:r>
          <m:rPr>
            <m:sty m:val="p"/>
          </m:rPr>
          <m:t>−</m:t>
        </m:r>
        <m:r>
          <m:t>t</m:t>
        </m:r>
        <m:r>
          <m:t>i</m:t>
        </m:r>
        <m:r>
          <m:t>m</m:t>
        </m:r>
        <m:r>
          <m:t>e</m:t>
        </m:r>
        <m:r>
          <m:t>h</m:t>
        </m:r>
        <m:r>
          <m:t>i</m:t>
        </m:r>
        <m:r>
          <m:t>g</m:t>
        </m:r>
        <m:r>
          <m:t>h</m:t>
        </m:r>
        <m:r>
          <m:t>o</m:t>
        </m:r>
        <m:r>
          <m:t>f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176.32 on June 30** (+48%), then</w:t>
      </w:r>
      <w:r>
        <w:t xml:space="preserve"> </w:t>
      </w:r>
      <w:r>
        <w:rPr>
          <w:b/>
          <w:bCs/>
        </w:rPr>
        <w:t xml:space="preserve">pulled back ~18%</w:t>
      </w:r>
      <w:r>
        <w:t xml:space="preserve"> </w:t>
      </w:r>
      <w:r>
        <w:t xml:space="preserve">into earnings.</w:t>
      </w:r>
    </w:p>
    <w:p>
      <w:pPr>
        <w:pStyle w:val="Compact"/>
        <w:numPr>
          <w:ilvl w:val="0"/>
          <w:numId w:val="1006"/>
        </w:numPr>
      </w:pPr>
      <w:r>
        <w:t xml:space="preserve">Over just the last week (July 21 → 28), shares fell from ~</w:t>
      </w:r>
      <m:oMath>
        <m:r>
          <m:t>158</m:t>
        </m:r>
        <m:r>
          <m:t>t</m:t>
        </m:r>
        <m:r>
          <m:t>o</m:t>
        </m:r>
        <m:r>
          <m:t> </m:t>
        </m:r>
      </m:oMath>
      <w:r>
        <w:t xml:space="preserve">144 (**~9%**), suggesting some de-risking/nervousness heading into the report.</w:t>
      </w:r>
    </w:p>
    <w:p>
      <w:pPr>
        <w:pStyle w:val="Compact"/>
        <w:numPr>
          <w:ilvl w:val="0"/>
          <w:numId w:val="1006"/>
        </w:numPr>
      </w:pPr>
      <w:r>
        <w:t xml:space="preserve">On a year-to-date basis (started 2026 at ~$140), the stock is roughly flat despite the sharp intra-year swings — a market that has repeatedly re-rated APH up on AI optimism and then taken profits.</w:t>
      </w:r>
    </w:p>
    <w:p>
      <w:pPr>
        <w:pStyle w:val="FirstParagraph"/>
      </w:pPr>
      <w:r>
        <w:rPr>
          <w:b/>
          <w:bCs/>
        </w:rPr>
        <w:t xml:space="preserve">Interpretation:</w:t>
      </w:r>
      <w:r>
        <w:t xml:space="preserve"> </w:t>
      </w:r>
      <w:r>
        <w:t xml:space="preserve">The recent drawdown lowers the near-term expectations bar somewhat, but valuation remains elevated on an AI-story premium. Given APH's history of beat-and-raise, the setup favors a beat on the print — but the</w:t>
      </w:r>
      <w:r>
        <w:t xml:space="preserve"> </w:t>
      </w:r>
      <w:r>
        <w:rPr>
          <w:i/>
          <w:iCs/>
        </w:rPr>
        <w:t xml:space="preserve">reaction</w:t>
      </w:r>
      <w:r>
        <w:t xml:space="preserve"> </w:t>
      </w:r>
      <w:r>
        <w:t xml:space="preserve">will hinge almost entirely on (a) the magnitude of the Q3 raise, (b) IT datacom/AI order durability commentary, and (c) any sign of AI demand plateauing or CCS margin disappointment.</w:t>
      </w:r>
    </w:p>
    <w:p>
      <w:r>
        <w:pict>
          <v:rect style="width:0;height:1.5pt" o:hralign="center" o:hrstd="t" o:hr="t"/>
        </w:pict>
      </w:r>
    </w:p>
    <w:bookmarkEnd w:id="16"/>
    <w:bookmarkStart w:id="17" w:name="bottom-line--what-matters-tomorrow"/>
    <w:p>
      <w:pPr>
        <w:pStyle w:val="Heading2"/>
      </w:pPr>
      <w:r>
        <w:t xml:space="preserve">Bottom Line — What Matters Tomorrow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Size of the beat + Q3 guide</w:t>
      </w:r>
      <w:r>
        <w:t xml:space="preserve"> </w:t>
      </w:r>
      <w:r>
        <w:t xml:space="preserve">(APH consistently guides conservatively — a modest guide is not a red flag; a modest</w:t>
      </w:r>
      <w:r>
        <w:t xml:space="preserve"> </w:t>
      </w:r>
      <w:r>
        <w:rPr>
          <w:i/>
          <w:iCs/>
        </w:rPr>
        <w:t xml:space="preserve">beat</w:t>
      </w:r>
      <w:r>
        <w:t xml:space="preserve"> </w:t>
      </w:r>
      <w:r>
        <w:t xml:space="preserve">would be).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AI/IT datacom orders &amp; book-to-bill</w:t>
      </w:r>
      <w:r>
        <w:t xml:space="preserve"> </w:t>
      </w:r>
      <w:r>
        <w:t xml:space="preserve">— is momentum still accelerating? This is the whole ballgame.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CCS margin trajectory and any raised accretion outlook.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Consolidated adjusted operating margin</w:t>
      </w:r>
      <w:r>
        <w:t xml:space="preserve"> </w:t>
      </w:r>
      <w:r>
        <w:t xml:space="preserve">— can leverage keep offsetting CCS dilution (target: hold/near 27%+)?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Tone on 2027 and AI capacity commitments</w:t>
      </w:r>
      <w:r>
        <w:t xml:space="preserve"> </w:t>
      </w:r>
      <w:r>
        <w:t xml:space="preserve">— any forward visibility management is willing to offer.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Confirmation that the China tax matter is fully behind them.</w:t>
      </w:r>
    </w:p>
    <w:p>
      <w:pPr>
        <w:pStyle w:val="FirstParagraph"/>
      </w:pPr>
      <w:r>
        <w:t xml:space="preserve">With the stock having given back a chunk of its June melt-up, a strong beat-and-raise with reassuring AI order commentary is the bullish path; the vulnerability is any hint of AI demand digestion or margin/integration slippage against a still-premium valuation.</w:t>
      </w:r>
    </w:p>
    <w:p>
      <w:pPr>
        <w:pStyle w:val="BodyText"/>
      </w:pPr>
      <w:r>
        <w:rPr>
          <w:i/>
          <w:iCs/>
        </w:rPr>
        <w:t xml:space="preserve">Note: This preview is based on company filings, transcripts, and price data through July 28, 2026. It is informational and not investment advice.</w:t>
      </w:r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2026-07-29T01:11:45Z</dcterms:created>
  <dcterms:modified xsi:type="dcterms:W3CDTF">2026-07-29T01:11:45Z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